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A67B" w14:textId="4D4FD886" w:rsidR="00A952E8" w:rsidRDefault="001D025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Fishery closures</w:t>
      </w:r>
      <w:r w:rsidR="0071357D">
        <w:rPr>
          <w:rFonts w:ascii="Times New Roman" w:hAnsi="Times New Roman" w:cs="Times New Roman"/>
          <w:sz w:val="24"/>
          <w:szCs w:val="24"/>
        </w:rPr>
        <w:t xml:space="preserve">, </w:t>
      </w:r>
      <w:r w:rsidR="00B26EC7">
        <w:rPr>
          <w:rFonts w:ascii="Times New Roman" w:hAnsi="Times New Roman" w:cs="Times New Roman"/>
          <w:sz w:val="24"/>
          <w:szCs w:val="24"/>
        </w:rPr>
        <w:t>more than</w:t>
      </w:r>
      <w:bookmarkStart w:id="0" w:name="_GoBack"/>
      <w:bookmarkEnd w:id="0"/>
      <w:r w:rsidR="0071357D">
        <w:rPr>
          <w:rFonts w:ascii="Times New Roman" w:hAnsi="Times New Roman" w:cs="Times New Roman"/>
          <w:sz w:val="24"/>
          <w:szCs w:val="24"/>
        </w:rPr>
        <w:t xml:space="preserve"> predator release,</w:t>
      </w:r>
      <w:r>
        <w:rPr>
          <w:rFonts w:ascii="Times New Roman" w:hAnsi="Times New Roman" w:cs="Times New Roman"/>
          <w:sz w:val="24"/>
          <w:szCs w:val="24"/>
        </w:rPr>
        <w:t xml:space="preserve"> increased resilience of</w:t>
      </w:r>
      <w:r w:rsidR="00312B86">
        <w:rPr>
          <w:rFonts w:ascii="Times New Roman" w:hAnsi="Times New Roman" w:cs="Times New Roman"/>
          <w:sz w:val="24"/>
          <w:szCs w:val="24"/>
        </w:rPr>
        <w:t xml:space="preserve"> nearshore fish and invertebrates to </w:t>
      </w:r>
      <w:r>
        <w:rPr>
          <w:rFonts w:ascii="Times New Roman" w:hAnsi="Times New Roman" w:cs="Times New Roman"/>
          <w:sz w:val="24"/>
          <w:szCs w:val="24"/>
        </w:rPr>
        <w:t>the Deepwater Horizon oil spill</w:t>
      </w:r>
    </w:p>
    <w:p w14:paraId="69486944" w14:textId="77777777" w:rsidR="00312B86" w:rsidRDefault="00312B86" w:rsidP="00312B86">
      <w:pPr>
        <w:spacing w:after="0" w:line="480" w:lineRule="auto"/>
        <w:rPr>
          <w:rFonts w:ascii="Times New Roman" w:hAnsi="Times New Roman" w:cs="Times New Roman"/>
          <w:sz w:val="24"/>
          <w:szCs w:val="24"/>
        </w:rPr>
      </w:pPr>
    </w:p>
    <w:p w14:paraId="19FB3278" w14:textId="0B5B3DD9"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Pr>
          <w:rFonts w:ascii="Times New Roman" w:hAnsi="Times New Roman" w:cs="Times New Roman"/>
          <w:sz w:val="24"/>
          <w:szCs w:val="24"/>
        </w:rPr>
        <w:t>, Kenneth W. Able</w:t>
      </w:r>
      <w:r>
        <w:rPr>
          <w:rFonts w:ascii="Times New Roman" w:hAnsi="Times New Roman" w:cs="Times New Roman"/>
          <w:sz w:val="24"/>
          <w:szCs w:val="24"/>
          <w:vertAlign w:val="superscript"/>
        </w:rPr>
        <w:t>2</w:t>
      </w:r>
      <w:r w:rsidR="007871E5">
        <w:rPr>
          <w:rFonts w:ascii="Times New Roman" w:hAnsi="Times New Roman" w:cs="Times New Roman"/>
          <w:sz w:val="24"/>
          <w:szCs w:val="24"/>
        </w:rPr>
        <w:t>, Kim d</w:t>
      </w:r>
      <w:r>
        <w:rPr>
          <w:rFonts w:ascii="Times New Roman" w:hAnsi="Times New Roman" w:cs="Times New Roman"/>
          <w:sz w:val="24"/>
          <w:szCs w:val="24"/>
        </w:rPr>
        <w:t>e Mutsert</w:t>
      </w:r>
      <w:r>
        <w:rPr>
          <w:rFonts w:ascii="Times New Roman" w:hAnsi="Times New Roman" w:cs="Times New Roman"/>
          <w:sz w:val="24"/>
          <w:szCs w:val="24"/>
          <w:vertAlign w:val="superscript"/>
        </w:rPr>
        <w:t>3</w:t>
      </w:r>
      <w:r>
        <w:rPr>
          <w:rFonts w:ascii="Times New Roman" w:hAnsi="Times New Roman" w:cs="Times New Roman"/>
          <w:sz w:val="24"/>
          <w:szCs w:val="24"/>
        </w:rPr>
        <w:t>, F. Joel Fodrie</w:t>
      </w:r>
      <w:r>
        <w:rPr>
          <w:rFonts w:ascii="Times New Roman" w:hAnsi="Times New Roman" w:cs="Times New Roman"/>
          <w:sz w:val="24"/>
          <w:szCs w:val="24"/>
          <w:vertAlign w:val="superscript"/>
        </w:rPr>
        <w:t>4</w:t>
      </w:r>
      <w:r>
        <w:rPr>
          <w:rFonts w:ascii="Times New Roman" w:hAnsi="Times New Roman" w:cs="Times New Roman"/>
          <w:sz w:val="24"/>
          <w:szCs w:val="24"/>
        </w:rPr>
        <w:t>, Paola C. López-Duarte</w:t>
      </w:r>
      <w:r>
        <w:rPr>
          <w:rFonts w:ascii="Times New Roman" w:hAnsi="Times New Roman" w:cs="Times New Roman"/>
          <w:sz w:val="24"/>
          <w:szCs w:val="24"/>
          <w:vertAlign w:val="superscript"/>
        </w:rPr>
        <w:t>5</w:t>
      </w:r>
      <w:r>
        <w:rPr>
          <w:rFonts w:ascii="Times New Roman" w:hAnsi="Times New Roman" w:cs="Times New Roman"/>
          <w:sz w:val="24"/>
          <w:szCs w:val="24"/>
        </w:rPr>
        <w:t>, Charles W. Martin</w:t>
      </w:r>
      <w:r>
        <w:rPr>
          <w:rFonts w:ascii="Times New Roman" w:hAnsi="Times New Roman" w:cs="Times New Roman"/>
          <w:sz w:val="24"/>
          <w:szCs w:val="24"/>
          <w:vertAlign w:val="superscript"/>
        </w:rPr>
        <w:t>6</w:t>
      </w:r>
      <w:r>
        <w:rPr>
          <w:rFonts w:ascii="Times New Roman" w:hAnsi="Times New Roman" w:cs="Times New Roman"/>
          <w:sz w:val="24"/>
          <w:szCs w:val="24"/>
        </w:rPr>
        <w:t>, Michael J. McCann</w:t>
      </w:r>
      <w:r w:rsidR="002669F5">
        <w:rPr>
          <w:rFonts w:ascii="Times New Roman" w:hAnsi="Times New Roman" w:cs="Times New Roman"/>
          <w:sz w:val="24"/>
          <w:szCs w:val="24"/>
          <w:vertAlign w:val="superscript"/>
        </w:rPr>
        <w:t>7</w:t>
      </w:r>
      <w:r>
        <w:rPr>
          <w:rFonts w:ascii="Times New Roman" w:hAnsi="Times New Roman" w:cs="Times New Roman"/>
          <w:sz w:val="24"/>
          <w:szCs w:val="24"/>
        </w:rPr>
        <w:t>, Philipp Neubauer</w:t>
      </w:r>
      <w:r w:rsidR="002669F5">
        <w:rPr>
          <w:rFonts w:ascii="Times New Roman" w:hAnsi="Times New Roman" w:cs="Times New Roman"/>
          <w:sz w:val="24"/>
          <w:szCs w:val="24"/>
          <w:vertAlign w:val="superscript"/>
        </w:rPr>
        <w:t>8</w:t>
      </w:r>
      <w:r>
        <w:rPr>
          <w:rFonts w:ascii="Times New Roman" w:hAnsi="Times New Roman" w:cs="Times New Roman"/>
          <w:sz w:val="24"/>
          <w:szCs w:val="24"/>
        </w:rPr>
        <w:t>, Jill A. Olin</w:t>
      </w:r>
      <w:r w:rsidR="002669F5">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2669F5">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11</w:t>
      </w:r>
      <w:r>
        <w:rPr>
          <w:rFonts w:ascii="Times New Roman" w:hAnsi="Times New Roman" w:cs="Times New Roman"/>
          <w:sz w:val="24"/>
          <w:szCs w:val="24"/>
        </w:rPr>
        <w:t>, Olaf P. Jensen</w:t>
      </w:r>
      <w:r>
        <w:rPr>
          <w:rFonts w:ascii="Times New Roman" w:hAnsi="Times New Roman" w:cs="Times New Roman"/>
          <w:sz w:val="24"/>
          <w:szCs w:val="24"/>
          <w:vertAlign w:val="superscript"/>
        </w:rPr>
        <w:t>1</w:t>
      </w:r>
      <w:r w:rsidR="002669F5">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2B867B4B"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669F5">
        <w:rPr>
          <w:rFonts w:ascii="Times New Roman" w:hAnsi="Times New Roman" w:cs="Times New Roman"/>
          <w:sz w:val="24"/>
          <w:szCs w:val="24"/>
        </w:rPr>
        <w:t>Fisheries Resource Analysis and Monitoring Division, Northwest Fisheries Science Center, Seattle, WA 98112, USA</w:t>
      </w:r>
    </w:p>
    <w:p w14:paraId="496AF939" w14:textId="77777777" w:rsidR="00312B86" w:rsidRDefault="00312B86" w:rsidP="00312B86">
      <w:pPr>
        <w:spacing w:after="0" w:line="480" w:lineRule="auto"/>
        <w:rPr>
          <w:rFonts w:ascii="Times New Roman" w:hAnsi="Times New Roman" w:cs="Times New Roman"/>
          <w:sz w:val="24"/>
          <w:szCs w:val="24"/>
        </w:rPr>
      </w:pPr>
    </w:p>
    <w:p w14:paraId="04DF3E0B" w14:textId="77777777" w:rsidR="00312B86" w:rsidRP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Abstract</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1BFD88B4"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 responses after a high-intensity low-duration stressor can arise because focal populations are embedded in a larger ecosystem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alone </w:t>
      </w:r>
      <w:r>
        <w:rPr>
          <w:rFonts w:ascii="Times New Roman" w:hAnsi="Times New Roman" w:cs="Times New Roman"/>
          <w:sz w:val="24"/>
          <w:szCs w:val="24"/>
        </w:rPr>
        <w:t xml:space="preserve">that 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Deepwater Horizon </w:t>
      </w:r>
      <w:proofErr w:type="spellStart"/>
      <w:r w:rsidR="001163ED" w:rsidRPr="001163ED">
        <w:rPr>
          <w:rFonts w:ascii="Times New Roman" w:hAnsi="Times New Roman" w:cs="Times New Roman"/>
          <w:sz w:val="24"/>
          <w:szCs w:val="24"/>
        </w:rPr>
        <w:t>Macondo</w:t>
      </w:r>
      <w:proofErr w:type="spellEnd"/>
      <w:r w:rsidR="001163ED" w:rsidRPr="001163ED">
        <w:rPr>
          <w:rFonts w:ascii="Times New Roman" w:hAnsi="Times New Roman" w:cs="Times New Roman"/>
          <w:sz w:val="24"/>
          <w:szCs w:val="24"/>
        </w:rPr>
        <w:t xml:space="preserve">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salt</w:t>
      </w:r>
      <w:r w:rsidR="001163ED" w:rsidRPr="001163ED">
        <w:rPr>
          <w:rFonts w:ascii="Times New Roman" w:hAnsi="Times New Roman" w:cs="Times New Roman"/>
          <w:sz w:val="24"/>
          <w:szCs w:val="24"/>
        </w:rPr>
        <w:t>marsh ecosystems. F</w:t>
      </w:r>
      <w:r w:rsidR="001163ED">
        <w:rPr>
          <w:rFonts w:ascii="Times New Roman" w:hAnsi="Times New Roman" w:cs="Times New Roman"/>
          <w:sz w:val="24"/>
          <w:szCs w:val="24"/>
        </w:rPr>
        <w:t>or marsh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w:t>
      </w:r>
      <w:r w:rsidR="00D45A80">
        <w:rPr>
          <w:rFonts w:ascii="Times New Roman" w:hAnsi="Times New Roman" w:cs="Times New Roman"/>
          <w:sz w:val="24"/>
          <w:szCs w:val="24"/>
        </w:rPr>
        <w:t>-</w:t>
      </w:r>
      <w:r w:rsidR="001163ED" w:rsidRPr="001163ED">
        <w:rPr>
          <w:rFonts w:ascii="Times New Roman" w:hAnsi="Times New Roman" w:cs="Times New Roman"/>
          <w:sz w:val="24"/>
          <w:szCs w:val="24"/>
        </w:rPr>
        <w:t xml:space="preserve"> or or</w:t>
      </w:r>
      <w:r w:rsidR="00D45A80">
        <w:rPr>
          <w:rFonts w:ascii="Times New Roman" w:hAnsi="Times New Roman" w:cs="Times New Roman"/>
          <w:sz w:val="24"/>
          <w:szCs w:val="24"/>
        </w:rPr>
        <w:t>ganismal-</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1163ED">
        <w:rPr>
          <w:rFonts w:ascii="Times New Roman" w:hAnsi="Times New Roman" w:cs="Times New Roman"/>
          <w:sz w:val="24"/>
          <w:szCs w:val="24"/>
        </w:rPr>
        <w:t xml:space="preserve"> no impact at </w:t>
      </w:r>
      <w:r w:rsidR="00D45A80">
        <w:rPr>
          <w:rFonts w:ascii="Times New Roman" w:hAnsi="Times New Roman" w:cs="Times New Roman"/>
          <w:sz w:val="24"/>
          <w:szCs w:val="24"/>
        </w:rPr>
        <w:t>the population-</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2014)","noteIndex":0},"citationItems":[{"id":1484,"uris":["http://zotero.org/users/783258/items/IANH8UUZ"],"uri":["http://zotero.org/users/783258/items/IANH8UUZ"],"itemData":{"id":1484,"type":"article-journal","abstract":"Syntheses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B95D5A" w:rsidRPr="00B95D5A">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{"citationID":"vT2EIuIM","properties":{"formattedCitation":"(Martin 2017)","plainCitation":"(Martin 2017)","noteIndex":0},"citationItems":[{"id":1624,"uris":["http://zotero.org/users/783258/items/QIA5H79V"],"uri":["http://zotero.org/users/783258/items/QIA5H79V"],"itemData":{"id":1624,"type":"article-journal","abstract":"The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6D50CD" w:rsidRPr="006D50CD">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lastRenderedPageBreak/>
        <w:t>Second, short generation times of small-bodied marsh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2019)","noteIndex":0},"citationItems":[{"id":1627,"uris":["http://zotero.org/users/783258/items/XUDBAZV6"],"uri":["http://zotero.org/users/783258/items/XUDBAZV6"],"itemData":{"id":1627,"type":"article-journal","abstract":"Fundulus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J."}],"issued":{"date-parts":[["2017",10,1]]}}},{"id":1910,"uris":["http://zotero.org/users/783258/items/7Z2JK3PC"],"uri":["http://zotero.org/users/783258/items/7Z2JK3PC"],"itemData":{"id":1910,"type":"article-journal","abstract":"The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CB1DC0" w:rsidRPr="00CB1DC0">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2014)","noteIndex":0},"citationItems":[{"id":1631,"uris":["http://zotero.org/users/783258/items/4JH3Y6C7"],"uri":["http://zotero.org/users/783258/items/4JH3Y6C7"],"itemData":{"id":1631,"type":"article-journal","abstract":"The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Spill","volume":"9","author":[{"family":"Ham","given":"Joris L.","non-dropping-particle":"van der"},{"family":"Mutsert","given":"Kim","non-dropping-particle":"de"}],"issued":{"date-parts":[["2014",10,1]]}}}],"schema":"https://github.com/citation-style-language/schema/raw/master/csl-citation.json"} </w:instrText>
      </w:r>
      <w:r w:rsidR="00CC01F4">
        <w:rPr>
          <w:rFonts w:ascii="Times New Roman" w:hAnsi="Times New Roman" w:cs="Times New Roman"/>
          <w:sz w:val="24"/>
          <w:szCs w:val="24"/>
        </w:rPr>
        <w:fldChar w:fldCharType="separate"/>
      </w:r>
      <w:r w:rsidR="00CC01F4" w:rsidRPr="00CC01F4">
        <w:rPr>
          <w:rFonts w:ascii="Times New Roman" w:hAnsi="Times New Roman" w:cs="Times New Roman"/>
          <w:sz w:val="24"/>
        </w:rPr>
        <w:t>(van der Ham and de Mutsert 2014)</w:t>
      </w:r>
      <w:r w:rsidR="00CC01F4">
        <w:rPr>
          <w:rFonts w:ascii="Times New Roman" w:hAnsi="Times New Roman" w:cs="Times New Roman"/>
          <w:sz w:val="24"/>
          <w:szCs w:val="24"/>
        </w:rPr>
        <w:fldChar w:fldCharType="end"/>
      </w:r>
      <w:r w:rsidR="007E59D8">
        <w:rPr>
          <w:rFonts w:ascii="Times New Roman" w:hAnsi="Times New Roman" w:cs="Times New Roman"/>
          <w:sz w:val="24"/>
          <w:szCs w:val="24"/>
        </w:rPr>
        <w:t xml:space="preserve">. </w:t>
      </w:r>
      <w:r w:rsidR="0022159B">
        <w:rPr>
          <w:rFonts w:ascii="Times New Roman" w:hAnsi="Times New Roman" w:cs="Times New Roman"/>
          <w:sz w:val="24"/>
          <w:szCs w:val="24"/>
        </w:rPr>
        <w:t xml:space="preserve">Finally, fishes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w:t>
      </w:r>
      <w:proofErr w:type="spellStart"/>
      <w:r w:rsidR="0022159B">
        <w:rPr>
          <w:rFonts w:ascii="Times New Roman" w:hAnsi="Times New Roman" w:cs="Times New Roman"/>
          <w:sz w:val="24"/>
          <w:szCs w:val="24"/>
        </w:rPr>
        <w:t>picivorous</w:t>
      </w:r>
      <w:proofErr w:type="spellEnd"/>
      <w:r w:rsidR="0022159B">
        <w:rPr>
          <w:rFonts w:ascii="Times New Roman" w:hAnsi="Times New Roman" w:cs="Times New Roman"/>
          <w:sz w:val="24"/>
          <w:szCs w:val="24"/>
        </w:rPr>
        <w:t xml:space="preserve">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2017)","noteIndex":0},"citationItems":[{"id":1493,"uris":["http://zotero.org/users/783258/items/UTGR4JTS"],"uri":["http://zotero.org/users/783258/items/UTGR4JTS"],"itemData":{"id":1493,"type":"article-journal","abstract":"Gulf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2159B" w:rsidRPr="00CC01F4">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much</w:t>
      </w:r>
      <w:r w:rsidR="007E59D8">
        <w:rPr>
          <w:rFonts w:ascii="Times New Roman" w:hAnsi="Times New Roman" w:cs="Times New Roman"/>
          <w:sz w:val="24"/>
          <w:szCs w:val="24"/>
        </w:rPr>
        <w:t xml:space="preserve"> devoted research, the final two remain largely un</w:t>
      </w:r>
      <w:r>
        <w:rPr>
          <w:rFonts w:ascii="Times New Roman" w:hAnsi="Times New Roman" w:cs="Times New Roman"/>
          <w:sz w:val="24"/>
          <w:szCs w:val="24"/>
        </w:rPr>
        <w:t>tested</w:t>
      </w:r>
      <w:r w:rsidR="007E59D8">
        <w:rPr>
          <w:rFonts w:ascii="Times New Roman" w:hAnsi="Times New Roman" w:cs="Times New Roman"/>
          <w:sz w:val="24"/>
          <w:szCs w:val="24"/>
        </w:rPr>
        <w:t xml:space="preserve"> across a diversity of saltmarsh </w:t>
      </w:r>
      <w:r w:rsidR="00311EFF">
        <w:rPr>
          <w:rFonts w:ascii="Times New Roman" w:hAnsi="Times New Roman" w:cs="Times New Roman"/>
          <w:sz w:val="24"/>
          <w:szCs w:val="24"/>
        </w:rPr>
        <w:t>taxa</w:t>
      </w:r>
      <w:r w:rsidR="007E59D8">
        <w:rPr>
          <w:rFonts w:ascii="Times New Roman" w:hAnsi="Times New Roman" w:cs="Times New Roman"/>
          <w:sz w:val="24"/>
          <w:szCs w:val="24"/>
        </w:rPr>
        <w:t xml:space="preserve">. </w:t>
      </w:r>
    </w:p>
    <w:p w14:paraId="30169C6E" w14:textId="4DE79DF1"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2008)","noteIndex":0},"citationItems":[{"id":1658,"uris":["http://zotero.org/users/783258/items/78SGRBKV"],"uri":["http://zotero.org/users/783258/items/78SGRBKV"],"itemData":{"id":1658,"type":"article-journal","abstract":"Stimulated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Glenn"}],"issued":{"date-parts":[["2000",4,1]]}}},{"id":1665,"uris":["http://zotero.org/users/783258/items/VN8NHLAB"],"uri":["http://zotero.org/users/783258/items/VN8NHLAB"],"itemData":{"id":1665,"type":"article-journal","container-title":"Ocean &amp; Coastal Management","issue":"11-12","page":"565–580","source":"Google Scholar","title":"The economic significance of the Gulf of Mexico related to population, income, employment, minerals, fisheries and shipping","volume":"47","author":[{"family":"Adams","given":"Charles M."},{"family":"Hernandez","given":"Emilio"},{"family":"Cato","given":"James C."}],"issued":{"date-parts":[["2004"]]}}},{"id":1663,"uris":["http://zotero.org/users/783258/items/VC86N2WQ"],"uri":["http://zotero.org/users/783258/items/VC86N2WQ"],"itemData":{"id":1663,"type":"article-journal","source":"Google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Pr="0006069A">
        <w:rPr>
          <w:rFonts w:ascii="Times New Roman" w:hAnsi="Times New Roman" w:cs="Times New Roman"/>
          <w:sz w:val="24"/>
        </w:rPr>
        <w:t>(Chesney et al. 2000, Adams et al. 2004, Lellis-Dibble et al. 2008)</w:t>
      </w:r>
      <w:r>
        <w:rPr>
          <w:rFonts w:ascii="Times New Roman" w:hAnsi="Times New Roman" w:cs="Times New Roman"/>
          <w:sz w:val="24"/>
          <w:szCs w:val="24"/>
        </w:rPr>
        <w:fldChar w:fldCharType="end"/>
      </w:r>
      <w:r>
        <w:rPr>
          <w:rFonts w:ascii="Times New Roman" w:hAnsi="Times New Roman" w:cs="Times New Roman"/>
          <w:sz w:val="24"/>
          <w:szCs w:val="24"/>
        </w:rPr>
        <w:t>. Valuable fisheries in Gulf Coast estuaries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2014)","noteIndex":0},"citationItems":[{"id":1916,"uris":["http://zotero.org/users/783258/items/WGZVCED9"],"uri":["http://zotero.org/users/783258/items/WGZVCED9"],"itemData":{"id":1916,"type":"article-journal","abstract":"With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1913,"uris":["http://zotero.org/users/783258/items/4E94HPD3"],"uri":["http://zotero.org/users/783258/items/4E94HPD3"],"itemData":{"id":1913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CB1DC0" w:rsidRPr="00CB1DC0">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proofErr w:type="spellStart"/>
      <w:r>
        <w:rPr>
          <w:rFonts w:ascii="Times New Roman" w:hAnsi="Times New Roman" w:cs="Times New Roman"/>
          <w:i/>
          <w:sz w:val="24"/>
          <w:szCs w:val="24"/>
        </w:rPr>
        <w:t>Crassostrea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virginica</w:t>
      </w:r>
      <w:proofErr w:type="spellEnd"/>
      <w:r>
        <w:rPr>
          <w:rFonts w:ascii="Times New Roman" w:hAnsi="Times New Roman" w:cs="Times New Roman"/>
          <w:sz w:val="24"/>
          <w:szCs w:val="24"/>
        </w:rPr>
        <w:t xml:space="preserve">), various species of </w:t>
      </w:r>
      <w:proofErr w:type="spellStart"/>
      <w:r>
        <w:rPr>
          <w:rFonts w:ascii="Times New Roman" w:hAnsi="Times New Roman" w:cs="Times New Roman"/>
          <w:sz w:val="24"/>
          <w:szCs w:val="24"/>
        </w:rPr>
        <w:t>Penaeid</w:t>
      </w:r>
      <w:proofErr w:type="spellEnd"/>
      <w:r>
        <w:rPr>
          <w:rFonts w:ascii="Times New Roman" w:hAnsi="Times New Roman" w:cs="Times New Roman"/>
          <w:sz w:val="24"/>
          <w:szCs w:val="24"/>
        </w:rPr>
        <w:t xml:space="preserve"> shrimps, blue crabs (</w:t>
      </w:r>
      <w:proofErr w:type="spellStart"/>
      <w:r>
        <w:rPr>
          <w:rFonts w:ascii="Times New Roman" w:hAnsi="Times New Roman" w:cs="Times New Roman"/>
          <w:i/>
          <w:sz w:val="24"/>
          <w:szCs w:val="24"/>
        </w:rPr>
        <w:t>Callinectes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sapidus</w:t>
      </w:r>
      <w:proofErr w:type="spellEnd"/>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Pr>
          <w:rFonts w:ascii="Times New Roman" w:hAnsi="Times New Roman" w:cs="Times New Roman"/>
          <w:sz w:val="24"/>
          <w:szCs w:val="24"/>
        </w:rPr>
        <w:t>gulf menhaden (</w:t>
      </w:r>
      <w:proofErr w:type="spellStart"/>
      <w:r>
        <w:rPr>
          <w:rFonts w:ascii="Times New Roman" w:hAnsi="Times New Roman" w:cs="Times New Roman"/>
          <w:i/>
          <w:sz w:val="24"/>
          <w:szCs w:val="24"/>
        </w:rPr>
        <w:t>Brevoortia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patronus</w:t>
      </w:r>
      <w:proofErr w:type="spellEnd"/>
      <w:r>
        <w:rPr>
          <w:rFonts w:ascii="Times New Roman" w:hAnsi="Times New Roman" w:cs="Times New Roman"/>
          <w:sz w:val="24"/>
          <w:szCs w:val="24"/>
        </w:rPr>
        <w:t>) are harvested and exported globally, while abundant recreationally-important species such as red drum (</w:t>
      </w:r>
      <w:proofErr w:type="spellStart"/>
      <w:r>
        <w:rPr>
          <w:rFonts w:ascii="Times New Roman" w:hAnsi="Times New Roman" w:cs="Times New Roman"/>
          <w:i/>
          <w:sz w:val="24"/>
          <w:szCs w:val="24"/>
        </w:rPr>
        <w:t>Sciaenops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ocellatus</w:t>
      </w:r>
      <w:proofErr w:type="spellEnd"/>
      <w:r>
        <w:rPr>
          <w:rFonts w:ascii="Times New Roman" w:hAnsi="Times New Roman" w:cs="Times New Roman"/>
          <w:sz w:val="24"/>
          <w:szCs w:val="24"/>
        </w:rPr>
        <w:t>), spotted seatrout (</w:t>
      </w:r>
      <w:proofErr w:type="spellStart"/>
      <w:r>
        <w:rPr>
          <w:rFonts w:ascii="Times New Roman" w:hAnsi="Times New Roman" w:cs="Times New Roman"/>
          <w:i/>
          <w:sz w:val="24"/>
          <w:szCs w:val="24"/>
        </w:rPr>
        <w:t>Cynoscion</w:t>
      </w:r>
      <w:proofErr w:type="spellEnd"/>
      <w:r>
        <w:rPr>
          <w:rFonts w:ascii="Times New Roman" w:hAnsi="Times New Roman" w:cs="Times New Roman"/>
          <w:i/>
          <w:sz w:val="24"/>
          <w:szCs w:val="24"/>
        </w:rPr>
        <w:t xml:space="preserve"> nebulosus</w:t>
      </w:r>
      <w:r>
        <w:rPr>
          <w:rFonts w:ascii="Times New Roman" w:hAnsi="Times New Roman" w:cs="Times New Roman"/>
          <w:sz w:val="24"/>
          <w:szCs w:val="24"/>
        </w:rPr>
        <w:t>), and flounders (</w:t>
      </w:r>
      <w:proofErr w:type="spellStart"/>
      <w:r>
        <w:rPr>
          <w:rFonts w:ascii="Times New Roman" w:hAnsi="Times New Roman" w:cs="Times New Roman"/>
          <w:i/>
          <w:sz w:val="24"/>
          <w:szCs w:val="24"/>
        </w:rPr>
        <w:t>Paralichthys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spp.) promote thriving tourism revenues for Gulf residents. </w:t>
      </w:r>
    </w:p>
    <w:p w14:paraId="6E7BF0B7" w14:textId="69A1452A"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Deepwater Horizon oil spill, however, had negative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xml:space="preserve">. Two weeks following the collapse of the drilling platform, the National Oceanographic and Atmospheric Administration (NOAA) initiated closures on </w:t>
      </w:r>
      <w:r>
        <w:rPr>
          <w:rFonts w:ascii="Times New Roman" w:hAnsi="Times New Roman" w:cs="Times New Roman"/>
          <w:sz w:val="24"/>
          <w:szCs w:val="24"/>
        </w:rPr>
        <w:lastRenderedPageBreak/>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2012)","noteIndex":0},"citationItems":[{"id":1668,"uris":["http://zotero.org/users/783258/items/VRXTAD8K"],"uri":["http://zotero.org/users/783258/items/VRXTAD8K"],"itemData":{"id":1668,"type":"article-journal","container-title":"Proceedings of the National Academy of Sciences","issue":"50","page":"20212–20221","source":"Google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E23B23" w:rsidRPr="00E23B23">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 xml:space="preserve">. Despite the capping of the wellhead in July and the gradual reduction in closure area, </w:t>
      </w:r>
      <w:r w:rsidR="002A60CF">
        <w:rPr>
          <w:rFonts w:ascii="Times New Roman" w:hAnsi="Times New Roman" w:cs="Times New Roman"/>
          <w:sz w:val="24"/>
          <w:szCs w:val="24"/>
        </w:rPr>
        <w:t>the spill has been implicated in</w:t>
      </w:r>
      <w:r>
        <w:rPr>
          <w:rFonts w:ascii="Times New Roman" w:hAnsi="Times New Roman" w:cs="Times New Roman"/>
          <w:sz w:val="24"/>
          <w:szCs w:val="24"/>
        </w:rPr>
        <w:t xml:space="preserve"> commercial losses of $4.9 billion and recreational losses of $3.5 billion in the years following the spill</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{"citationID":"ZU3LoT5g","properties":{"formattedCitation":"(Sumaila et al. 2012)","plainCitation":"(Sumaila et al. 2012)","noteIndex":0},"citationItems":[{"id":1674,"uris":["http://zotero.org/users/783258/items/TB8CYUYT"],"uri":["http://zotero.org/users/783258/items/TB8CYUYT"],"itemData":{"id":1674,"type":"article-journal","container-title":"Canadian Journal of Fisheries and Aquatic Sciences","issue":"3","page":"499–510","source":"Google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E23B23">
        <w:rPr>
          <w:rFonts w:ascii="Times New Roman" w:hAnsi="Times New Roman" w:cs="Times New Roman"/>
          <w:sz w:val="24"/>
          <w:szCs w:val="24"/>
        </w:rPr>
        <w:fldChar w:fldCharType="separate"/>
      </w:r>
      <w:r w:rsidR="00E23B23" w:rsidRPr="00E23B23">
        <w:rPr>
          <w:rFonts w:ascii="Times New Roman" w:hAnsi="Times New Roman" w:cs="Times New Roman"/>
          <w:sz w:val="24"/>
        </w:rPr>
        <w:t>(Sumaila et al. 2012)</w:t>
      </w:r>
      <w:r w:rsidR="00E23B23">
        <w:rPr>
          <w:rFonts w:ascii="Times New Roman" w:hAnsi="Times New Roman" w:cs="Times New Roman"/>
          <w:sz w:val="24"/>
          <w:szCs w:val="24"/>
        </w:rPr>
        <w:fldChar w:fldCharType="end"/>
      </w:r>
      <w:r>
        <w:rPr>
          <w:rFonts w:ascii="Times New Roman" w:hAnsi="Times New Roman" w:cs="Times New Roman"/>
          <w:sz w:val="24"/>
          <w:szCs w:val="24"/>
        </w:rPr>
        <w:t xml:space="preserve">. However, the indirect, ecological consequences of this cessation of fishing remains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2016)","noteIndex":0},"citationItems":[{"id":1671,"uris":["http://zotero.org/users/783258/items/C36IM6IB"],"uri":["http://zotero.org/users/783258/items/C36IM6IB"],"itemData":{"id":1671,"type":"article-journal","container-title":"Transactions of the American Fisheries Society","issue":"1","page":"108–119","source":"Google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7D707F" w:rsidRPr="007D707F">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56F3049C" w14:textId="6525A5D7" w:rsidR="00953D57" w:rsidRDefault="0006069A" w:rsidP="009E4F7A">
      <w:pPr>
        <w:pStyle w:val="Default"/>
        <w:spacing w:line="480" w:lineRule="auto"/>
        <w:ind w:firstLine="720"/>
        <w:rPr>
          <w:rFonts w:ascii="Times New Roman" w:hAnsi="Times New Roman" w:cs="Times New Roman"/>
        </w:rPr>
      </w:pPr>
      <w:r>
        <w:rPr>
          <w:rFonts w:ascii="Times New Roman" w:hAnsi="Times New Roman" w:cs="Times New Roman"/>
        </w:rPr>
        <w:t>An alternative consideration for reconciling the conflicting individual- and population-level responses observed for marsh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w:t>
      </w:r>
      <w:proofErr w:type="spellStart"/>
      <w:r w:rsidR="00CB1DC0">
        <w:rPr>
          <w:rFonts w:ascii="Times New Roman" w:hAnsi="Times New Roman" w:cs="Times New Roman"/>
        </w:rPr>
        <w:t>Fodrie</w:t>
      </w:r>
      <w:proofErr w:type="spellEnd"/>
      <w:r w:rsidR="00CB1DC0">
        <w:rPr>
          <w:rFonts w:ascii="Times New Roman" w:hAnsi="Times New Roman" w:cs="Times New Roman"/>
        </w:rPr>
        <w:t xml:space="preserve"> et al. 2014)</w:t>
      </w:r>
      <w:r>
        <w:rPr>
          <w:rFonts w:ascii="Times New Roman" w:hAnsi="Times New Roman" w:cs="Times New Roman"/>
        </w:rPr>
        <w:t>. Specifically, exposure to crude oil released from the 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 xml:space="preserve">persal of </w:t>
      </w:r>
      <w:proofErr w:type="spellStart"/>
      <w:r w:rsidR="007D707F">
        <w:rPr>
          <w:rFonts w:ascii="Times New Roman" w:hAnsi="Times New Roman" w:cs="Times New Roman"/>
        </w:rPr>
        <w:t>piscivorous</w:t>
      </w:r>
      <w:proofErr w:type="spellEnd"/>
      <w:r w:rsidR="007D707F">
        <w:rPr>
          <w:rFonts w:ascii="Times New Roman" w:hAnsi="Times New Roman" w:cs="Times New Roman"/>
        </w:rPr>
        <w:t xml:space="preserve"> predators</w:t>
      </w:r>
      <w:r>
        <w:rPr>
          <w:rFonts w:ascii="Times New Roman" w:hAnsi="Times New Roman" w:cs="Times New Roman"/>
        </w:rPr>
        <w:t xml:space="preserve"> including bottlenose dolphin (</w:t>
      </w:r>
      <w:proofErr w:type="spellStart"/>
      <w:r>
        <w:rPr>
          <w:rFonts w:ascii="Times New Roman" w:hAnsi="Times New Roman" w:cs="Times New Roman"/>
          <w:i/>
        </w:rPr>
        <w:t>Tursiops</w:t>
      </w:r>
      <w:proofErr w:type="spellEnd"/>
      <w:r>
        <w:rPr>
          <w:rFonts w:ascii="Times New Roman" w:hAnsi="Times New Roman" w:cs="Times New Roman"/>
          <w:i/>
        </w:rPr>
        <w:t xml:space="preserve"> </w:t>
      </w:r>
      <w:proofErr w:type="spellStart"/>
      <w:r>
        <w:rPr>
          <w:rFonts w:ascii="Times New Roman" w:hAnsi="Times New Roman" w:cs="Times New Roman"/>
          <w:i/>
        </w:rPr>
        <w:t>truncatus</w:t>
      </w:r>
      <w:proofErr w:type="spellEnd"/>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CB1DC0">
        <w:rPr>
          <w:rFonts w:ascii="Times New Roman" w:hAnsi="Times New Roman" w:cs="Times New Roman"/>
        </w:rPr>
        <w:instrText xml:space="preserve"> ADDIN ZOTERO_ITEM CSL_CITATION {"citationID":"vu1718nE","properties":{"formattedCitation":"(Venn-Watson et al. 2015)","plainCitation":"(Venn-Watson et al. 2015)","noteIndex":0},"citationItems":[{"id":1680,"uris":["http://zotero.org/users/783258/items/KV377XZD"],"uri":["http://zotero.org/users/783258/items/KV377XZD"],"itemData":{"id":1680,"type":"article-journal","container-title":"PLoS One","issue":"5","page":"e0126538","source":"Google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A60CF" w:rsidRPr="002A60CF">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CB1DC0">
        <w:rPr>
          <w:rFonts w:ascii="Times New Roman" w:hAnsi="Times New Roman" w:cs="Times New Roman"/>
        </w:rPr>
        <w:instrText xml:space="preserve"> ADDIN ZOTERO_ITEM CSL_CITATION {"citationID":"cff6AGDw","properties":{"formattedCitation":"(Haney et al. 2014)","plainCitation":"(Haney et al. 2014)","noteIndex":0},"citationItems":[{"id":1677,"uris":["http://zotero.org/users/783258/items/Y7VEH6EY"],"uri":["http://zotero.org/users/783258/items/Y7VEH6EY"],"itemData":{"id":1677,"type":"article-journal","container-title":"Marine Ecology Progress Series","page":"239–252","source":"Google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A60CF" w:rsidRPr="002A60CF">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were observed up to three years following the oil spill </w:t>
      </w:r>
      <w:r w:rsidR="002A60CF">
        <w:rPr>
          <w:rFonts w:ascii="Times New Roman" w:hAnsi="Times New Roman" w:cs="Times New Roman"/>
        </w:rPr>
        <w:fldChar w:fldCharType="begin"/>
      </w:r>
      <w:r w:rsidR="00CB1DC0">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2017)","noteIndex":0},"citationItems":[{"id":1683,"uris":["http://zotero.org/users/783258/items/X55T5BX6"],"uri":["http://zotero.org/users/783258/items/X55T5BX6"],"itemData":{"id":1683,"type":"article-journal","container-title":"Environmental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J."}],"issued":{"date-parts":[["2013"]]}}},{"id":1608,"uris":["http://zotero.org/users/783258/items/EE863BQX"],"uri":["http://zotero.org/users/783258/items/EE863BQX"],"itemData":{"id":1608,"type":"article-journal","container-title":"Endangered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A60CF" w:rsidRPr="002A60CF">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CB1DC0">
        <w:rPr>
          <w:rFonts w:ascii="Times New Roman" w:hAnsi="Times New Roman" w:cs="Times New Roman"/>
        </w:rPr>
        <w:instrText xml:space="preserve"> ADDIN ZOTERO_ITEM CSL_CITATION {"citationID":"XGyoISOW","properties":{"formattedCitation":"(Short et al. 2017)","plainCitation":"(Short et al. 2017)","noteIndex":0},"citationItems":[{"id":1493,"uris":["http://zotero.org/users/783258/items/UTGR4JTS"],"uri":["http://zotero.org/users/783258/items/UTGR4JTS"],"itemData":{"id":1493,"type":"article-journal","abstract":"Gulf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7D707F" w:rsidRPr="007D707F">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color w:val="1B1C20"/>
        </w:rPr>
        <w:t xml:space="preserve">However, estimating the total loss of </w:t>
      </w:r>
      <w:r>
        <w:rPr>
          <w:rFonts w:ascii="Times New Roman" w:hAnsi="Times New Roman" w:cs="Times New Roman"/>
        </w:rPr>
        <w:t xml:space="preserve">predatory biomass is hampered by the </w:t>
      </w:r>
      <w:r>
        <w:rPr>
          <w:rFonts w:ascii="Times New Roman" w:hAnsi="Times New Roman" w:cs="Times New Roman"/>
          <w:color w:val="1B1C20"/>
        </w:rPr>
        <w:t>resolution of surveys and a lack of direct measurements of the m</w:t>
      </w:r>
      <w:r w:rsidR="002A60CF">
        <w:rPr>
          <w:rFonts w:ascii="Times New Roman" w:hAnsi="Times New Roman" w:cs="Times New Roman"/>
          <w:color w:val="1B1C20"/>
        </w:rPr>
        <w:t>ortality processes. Thus, any attempts to do so likely underestimate the total. This is because i</w:t>
      </w:r>
      <w:r>
        <w:rPr>
          <w:rFonts w:ascii="Times New Roman" w:hAnsi="Times New Roman" w:cs="Times New Roman"/>
          <w:color w:val="1B1C20"/>
        </w:rPr>
        <w:t xml:space="preserve">ndirect effects that may decrease lifespans and </w:t>
      </w:r>
      <w:r>
        <w:rPr>
          <w:rFonts w:ascii="Times New Roman" w:hAnsi="Times New Roman" w:cs="Times New Roman"/>
          <w:color w:val="1B1C20"/>
        </w:rPr>
        <w:lastRenderedPageBreak/>
        <w:t xml:space="preserve">reproductive potential </w:t>
      </w:r>
      <w:r w:rsidR="007D707F">
        <w:rPr>
          <w:rFonts w:ascii="Times New Roman" w:hAnsi="Times New Roman" w:cs="Times New Roman"/>
          <w:color w:val="1B1C20"/>
        </w:rPr>
        <w:fldChar w:fldCharType="begin"/>
      </w:r>
      <w:r w:rsidR="00CB1DC0">
        <w:rPr>
          <w:rFonts w:ascii="Times New Roman" w:hAnsi="Times New Roman" w:cs="Times New Roman"/>
          <w:color w:val="1B1C20"/>
        </w:rPr>
        <w:instrText xml:space="preserve"> ADDIN ZOTERO_ITEM CSL_CITATION {"citationID":"9xBLnHs7","properties":{"formattedCitation":"(Peterson et al. 2003)","plainCitation":"(Peterson et al. 2003)","noteIndex":0},"citationItems":[{"id":1686,"uris":["http://zotero.org/users/783258/items/8JR97AF2"],"uri":["http://zotero.org/users/783258/items/8JR97AF2"],"itemData":{"id":1686,"type":"article-journal","container-title":"Science","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7D707F">
        <w:rPr>
          <w:rFonts w:ascii="Times New Roman" w:hAnsi="Times New Roman" w:cs="Times New Roman"/>
          <w:color w:val="1B1C20"/>
        </w:rPr>
        <w:fldChar w:fldCharType="separate"/>
      </w:r>
      <w:r w:rsidR="007D707F" w:rsidRPr="007D707F">
        <w:rPr>
          <w:rFonts w:ascii="Times New Roman" w:hAnsi="Times New Roman" w:cs="Times New Roman"/>
        </w:rPr>
        <w:t>(Peterson et al. 2003)</w:t>
      </w:r>
      <w:r w:rsidR="007D707F">
        <w:rPr>
          <w:rFonts w:ascii="Times New Roman" w:hAnsi="Times New Roman" w:cs="Times New Roman"/>
          <w:color w:val="1B1C20"/>
        </w:rPr>
        <w:fldChar w:fldCharType="end"/>
      </w:r>
      <w:r>
        <w:rPr>
          <w:rFonts w:ascii="Times New Roman" w:hAnsi="Times New Roman" w:cs="Times New Roman"/>
          <w:color w:val="1B1C20"/>
        </w:rPr>
        <w:t xml:space="preserve"> are difficult to quantify, but impart considerable pressure</w:t>
      </w:r>
      <w:r w:rsidR="002A60CF">
        <w:rPr>
          <w:rFonts w:ascii="Times New Roman" w:hAnsi="Times New Roman" w:cs="Times New Roman"/>
          <w:color w:val="1B1C20"/>
        </w:rPr>
        <w:t>s on individuals and populations</w:t>
      </w:r>
      <w:r>
        <w:rPr>
          <w:rFonts w:ascii="Times New Roman" w:hAnsi="Times New Roman" w:cs="Times New Roman"/>
          <w:color w:val="1B1C20"/>
        </w:rPr>
        <w:t xml:space="preserve">. </w:t>
      </w:r>
    </w:p>
    <w:p w14:paraId="4404CA89" w14:textId="342D5FB7" w:rsidR="00953D57" w:rsidRDefault="00953D57" w:rsidP="00953D57">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 xml:space="preserve">Ecosystem </w:t>
      </w:r>
      <w:commentRangeEnd w:id="1"/>
      <w:r>
        <w:rPr>
          <w:rStyle w:val="CommentReference"/>
        </w:rPr>
        <w:commentReference w:id="1"/>
      </w:r>
      <w:r>
        <w:rPr>
          <w:rFonts w:ascii="Times New Roman" w:hAnsi="Times New Roman" w:cs="Times New Roman"/>
          <w:sz w:val="24"/>
          <w:szCs w:val="24"/>
        </w:rPr>
        <w:t xml:space="preserve">models allow us to integrate both the direct impacts of stressors and the indirect impacts of stressors that are mediated through food web interactions. In this respect, they have been used to study the impact of stressors such as oil spills </w:t>
      </w:r>
      <w:r>
        <w:rPr>
          <w:rFonts w:ascii="Times New Roman" w:hAnsi="Times New Roman" w:cs="Times New Roman"/>
          <w:sz w:val="24"/>
          <w:szCs w:val="24"/>
        </w:rPr>
        <w:fldChar w:fldCharType="begin"/>
      </w:r>
      <w:r w:rsidR="001F68AB">
        <w:rPr>
          <w:rFonts w:ascii="Times New Roman" w:hAnsi="Times New Roman" w:cs="Times New Roman"/>
          <w:sz w:val="24"/>
          <w:szCs w:val="24"/>
        </w:rPr>
        <w:instrText xml:space="preserve"> ADDIN ZOTERO_ITEM CSL_CITATION {"citationID":"u7jNZGwf","properties":{"formattedCitation":"(Ainsworth et al. 2018, Lewis et al. n.d.)","plainCitation":"(Ainsworth et al. 2018, Lewis et al. n.d.)","noteIndex":0},"citationItems":[{"id":1636,"uris":["http://zotero.org/users/783258/items/26MYWEBS"],"uri":["http://zotero.org/users/783258/items/26MYWEBS"],"itemData":{"id":1636,"type":"article-journal","abstract":"We use a spatially explicit biogeochemical end-to-end ecosystem model, Atlantis, to simulate impacts from the Deepwater Horizon oil spill and subsequent recovery of fish guilds. Dose-response relationships with expected oil concentrations were utilized to estimate the impact on fish growth and mortality rates. We also examine the effects of fisheries closures and impacts on recruitment. We validate predictions of the model by comparing population trends and age structure before and after the oil spill with fisheries independent data. The model suggests that recruitment effects and fishery closures had little influence on biomass dynamics. However, at the assumed level of oil concentrations and toxicity, impacts on fish mortality and growth rates were large and commensurate with observations. Sensitivity analysis suggests the biomass of large reef fish decreased by 25% to 50% in areas most affected by the spill, and biomass of large demersal fish decreased even more, by 40% to 70%. Impacts on reef and demersal forage caused starvation mortality in predators and increased reliance on pelagic forage. Impacts on the food web translated effects of the spill far away from the oiled area. Effects on age structure suggest possible delayed impacts on fishery yields. Recovery of high-turnover populations generally is predicted to occur within 10 years, but some slower-growing populations may take 30+ years to fully recover.","container-title":"PLOS ONE","DOI":"10.1371/journal.pone.0190840","ISSN":"1932-6203","issue":"1","journalAbbreviation":"PLOS ONE","language":"en","page":"e0190840","source":"PLoS Journals","title":"Impacts of the Deepwater Horizon oil spill evaluated using an end-to-end ecosystem model","volume":"13","author":[{"family":"Ainsworth","given":"Cameron H."},{"family":"Paris","given":"Claire B."},{"family":"Perlin","given":"Natalie"},{"family":"Dornberger","given":"Lindsey N."},{"family":"Iii","given":"William F. Patterson"},{"family":"Chancellor","given":"Emily"},{"family":"Murawski","given":"Steve"},{"family":"Hollander","given":"David"},{"family":"Daly","given":"Kendra"},{"family":"Romero","given":"Isabel C."},{"family":"Coleman","given":"Felicia"},{"family":"Perryman","given":"Holly"}],"issued":{"date-parts":[["2018",1,25]]}}},{"id":2758,"uris":["http://zotero.org/users/783258/items/Y35CUJCY"],"uri":["http://zotero.org/users/783258/items/Y35CUJCY"],"itemData":{"id":2758,"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Oceanography","DOI":"10.1002/lno.11790","ISSN":"1939-5590","issue":"n/a","language":"en","note":"_eprint: https://onlinelibrary.wiley.com/doi/pdf/10.1002/lno.11790","source":"Wiley Online Library","title":"Complexities of disturbance response in a marine food web","URL":"https://onlinelibrary.wiley.com/doi/abs/10.1002/lno.11790","volume":"n/a","author":[{"family":"Lewis","given":"Kristy A."},{"family":"Christian","given":"Robert R."},{"family":"Martin","given":"Charles W."},{"family":"Allen","given":"Kira L."},{"family":"McDonald","given":"Ashley M."},{"family":"Roberts","given":"Victoria M."},{"family":"Shaffer","given":"Michelle N."},{"family":"Valentine","given":"John F."}],"accessed":{"date-parts":[["2022",2,26]]}}}],"schema":"https://github.com/citation-style-language/schema/raw/master/csl-citation.json"} </w:instrText>
      </w:r>
      <w:r>
        <w:rPr>
          <w:rFonts w:ascii="Times New Roman" w:hAnsi="Times New Roman" w:cs="Times New Roman"/>
          <w:sz w:val="24"/>
          <w:szCs w:val="24"/>
        </w:rPr>
        <w:fldChar w:fldCharType="separate"/>
      </w:r>
      <w:r w:rsidR="001F68AB" w:rsidRPr="001F68AB">
        <w:rPr>
          <w:rFonts w:ascii="Times New Roman" w:hAnsi="Times New Roman" w:cs="Times New Roman"/>
          <w:sz w:val="24"/>
        </w:rPr>
        <w:t xml:space="preserve">(Ainsworth et al. 2018, Lewis et al. </w:t>
      </w:r>
      <w:proofErr w:type="spellStart"/>
      <w:r w:rsidR="001F68AB" w:rsidRPr="001F68AB">
        <w:rPr>
          <w:rFonts w:ascii="Times New Roman" w:hAnsi="Times New Roman" w:cs="Times New Roman"/>
          <w:sz w:val="24"/>
        </w:rPr>
        <w:t>n.d.</w:t>
      </w:r>
      <w:proofErr w:type="spellEnd"/>
      <w:r w:rsidR="001F68AB" w:rsidRPr="001F68AB">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hypoxia </w:t>
      </w:r>
      <w:r>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{"citationID":"vQv6OZ54","properties":{"formattedCitation":"(de Mutsert et al. 2017)","plainCitation":"(de Mutsert et al. 2017)","noteIndex":0},"citationItems":[{"id":1617,"uris":["http://zotero.org/users/783258/items/D2L3FSK3"],"uri":["http://zotero.org/users/783258/items/D2L3FSK3"],"itemData":{"id":1617,"type":"article-journal","abstract":"A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Mutsert","given":"Kim","non-dropping-particle":"de"},{"family":"Lewis","given":"Kristy"},{"family":"Milroy","given":"Scott"},{"family":"Buszowski","given":"Joe"},{"family":"Steenbeek","given":"Jeroen"}],"issued":{"date-parts":[["2017",9,24]]}}}],"schema":"https://github.com/citation-style-language/schema/raw/master/csl-citation.json"} </w:instrText>
      </w:r>
      <w:r>
        <w:rPr>
          <w:rFonts w:ascii="Times New Roman" w:hAnsi="Times New Roman" w:cs="Times New Roman"/>
          <w:sz w:val="24"/>
          <w:szCs w:val="24"/>
        </w:rPr>
        <w:fldChar w:fldCharType="separate"/>
      </w:r>
      <w:r w:rsidRPr="00953D57">
        <w:rPr>
          <w:rFonts w:ascii="Times New Roman" w:hAnsi="Times New Roman" w:cs="Times New Roman"/>
          <w:sz w:val="24"/>
        </w:rPr>
        <w:t xml:space="preserve">(de </w:t>
      </w:r>
      <w:proofErr w:type="spellStart"/>
      <w:r w:rsidRPr="00953D57">
        <w:rPr>
          <w:rFonts w:ascii="Times New Roman" w:hAnsi="Times New Roman" w:cs="Times New Roman"/>
          <w:sz w:val="24"/>
        </w:rPr>
        <w:t>Mutsert</w:t>
      </w:r>
      <w:proofErr w:type="spellEnd"/>
      <w:r w:rsidRPr="00953D57">
        <w:rPr>
          <w:rFonts w:ascii="Times New Roman" w:hAnsi="Times New Roman" w:cs="Times New Roman"/>
          <w:sz w:val="24"/>
        </w:rPr>
        <w:t xml:space="preserve">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ocean acidification </w:t>
      </w:r>
      <w:r>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{"citationID":"4CYOHuSw","properties":{"formattedCitation":"(Marshall et al. 2017)","plainCitation":"(Marshall et al. 2017)","noteIndex":0},"citationItems":[{"id":1639,"uris":["http://zotero.org/users/783258/items/9JX5XFBV"],"uri":["http://zotero.org/users/783258/items/9JX5XFBV"],"itemData":{"id":1639,"type":"article-journal","abstract":"The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Pr>
          <w:rFonts w:ascii="Times New Roman" w:hAnsi="Times New Roman" w:cs="Times New Roman"/>
          <w:sz w:val="24"/>
          <w:szCs w:val="24"/>
        </w:rPr>
        <w:fldChar w:fldCharType="separate"/>
      </w:r>
      <w:r w:rsidRPr="00953D57">
        <w:rPr>
          <w:rFonts w:ascii="Times New Roman" w:hAnsi="Times New Roman" w:cs="Times New Roman"/>
          <w:sz w:val="24"/>
        </w:rPr>
        <w:t>(Marshall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1F68AB">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2017)","noteIndex":0},"citationItems":[{"id":1699,"uris":["http://zotero.org/users/783258/items/E8CVRNNG"],"uri":["http://zotero.org/users/783258/items/E8CVRNNG"],"itemData":{"id":1699,"type":"article-journal","abstract":"Abstract.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1F68AB" w:rsidRPr="001F68AB">
        <w:rPr>
          <w:rFonts w:ascii="Times New Roman" w:hAnsi="Times New Roman" w:cs="Times New Roman"/>
          <w:sz w:val="24"/>
        </w:rPr>
        <w:t>(Koehn et al. 2017)</w:t>
      </w:r>
      <w:r w:rsidR="001F68AB">
        <w:rPr>
          <w:rFonts w:ascii="Times New Roman" w:hAnsi="Times New Roman" w:cs="Times New Roman"/>
          <w:sz w:val="24"/>
          <w:szCs w:val="24"/>
        </w:rPr>
        <w:fldChar w:fldCharType="end"/>
      </w:r>
      <w:r>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Pr>
          <w:rFonts w:ascii="Times New Roman" w:hAnsi="Times New Roman" w:cs="Times New Roman"/>
          <w:sz w:val="24"/>
          <w:szCs w:val="24"/>
        </w:rPr>
        <w:t>particularly useful for generating new hypotheses and ruling out implausible ones (</w:t>
      </w:r>
      <w:r w:rsidRPr="003D58F7">
        <w:rPr>
          <w:rFonts w:ascii="Times New Roman" w:hAnsi="Times New Roman" w:cs="Times New Roman"/>
          <w:sz w:val="24"/>
          <w:szCs w:val="24"/>
          <w:highlight w:val="yellow"/>
        </w:rPr>
        <w:t>cite</w:t>
      </w:r>
      <w:r>
        <w:rPr>
          <w:rFonts w:ascii="Times New Roman" w:hAnsi="Times New Roman" w:cs="Times New Roman"/>
          <w:sz w:val="24"/>
          <w:szCs w:val="24"/>
        </w:rPr>
        <w:t xml:space="preserve">). </w:t>
      </w:r>
    </w:p>
    <w:p w14:paraId="06DAB8E6" w14:textId="47F35F3B"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study we use mass-balance food web models coupled with a generalized equilibrium model to examine whether fishery closures, predator mortality, or both can plausibly explain the persistence of nearshore fish and invertebrates following </w:t>
      </w:r>
      <w:r w:rsidR="00DE2AB3">
        <w:rPr>
          <w:rFonts w:ascii="Times New Roman" w:hAnsi="Times New Roman" w:cs="Times New Roman"/>
          <w:sz w:val="24"/>
          <w:szCs w:val="24"/>
        </w:rPr>
        <w:t>Deepwater Horizon</w:t>
      </w:r>
      <w:r>
        <w:rPr>
          <w:rFonts w:ascii="Times New Roman" w:hAnsi="Times New Roman" w:cs="Times New Roman"/>
          <w:sz w:val="24"/>
          <w:szCs w:val="24"/>
        </w:rPr>
        <w:t xml:space="preserve">. Furthermore, we explore this question </w:t>
      </w:r>
      <w:r w:rsidR="001E17C5">
        <w:rPr>
          <w:rFonts w:ascii="Times New Roman" w:hAnsi="Times New Roman" w:cs="Times New Roman"/>
          <w:sz w:val="24"/>
          <w:szCs w:val="24"/>
        </w:rPr>
        <w:t xml:space="preserve">by </w:t>
      </w:r>
      <w:r>
        <w:rPr>
          <w:rFonts w:ascii="Times New Roman" w:hAnsi="Times New Roman" w:cs="Times New Roman"/>
          <w:sz w:val="24"/>
          <w:szCs w:val="24"/>
        </w:rPr>
        <w:t>quantifying 1) only direct impacts of fisheries and predators and 2) both the direct impacts and impacts mediated through all food web interactions. This allows us to understand the added benefit of using the more holistic food web model</w:t>
      </w:r>
      <w:r w:rsidR="00CF7A8A">
        <w:rPr>
          <w:rFonts w:ascii="Times New Roman" w:hAnsi="Times New Roman" w:cs="Times New Roman"/>
          <w:sz w:val="24"/>
          <w:szCs w:val="24"/>
        </w:rPr>
        <w:t xml:space="preserve"> </w:t>
      </w:r>
      <w:r w:rsidR="00D86793">
        <w:rPr>
          <w:rFonts w:ascii="Times New Roman" w:hAnsi="Times New Roman" w:cs="Times New Roman"/>
          <w:sz w:val="24"/>
          <w:szCs w:val="24"/>
        </w:rPr>
        <w:t xml:space="preserve">to </w:t>
      </w:r>
      <w:r w:rsidR="00CF7A8A">
        <w:rPr>
          <w:rFonts w:ascii="Times New Roman" w:hAnsi="Times New Roman" w:cs="Times New Roman"/>
          <w:sz w:val="24"/>
          <w:szCs w:val="24"/>
        </w:rPr>
        <w:t>study these questions</w:t>
      </w:r>
      <w:r>
        <w:rPr>
          <w:rFonts w:ascii="Times New Roman" w:hAnsi="Times New Roman" w:cs="Times New Roman"/>
          <w:sz w:val="24"/>
          <w:szCs w:val="24"/>
        </w:rPr>
        <w:t xml:space="preserve">.  </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14:paraId="133820A8" w14:textId="0EE550B9"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w:t>
      </w:r>
      <w:proofErr w:type="spellStart"/>
      <w:r w:rsidR="00440F38">
        <w:rPr>
          <w:rFonts w:ascii="Times New Roman" w:hAnsi="Times New Roman" w:cs="Times New Roman"/>
          <w:sz w:val="24"/>
          <w:szCs w:val="24"/>
        </w:rPr>
        <w:t>Barataria</w:t>
      </w:r>
      <w:proofErr w:type="spellEnd"/>
      <w:r w:rsidR="00440F38">
        <w:rPr>
          <w:rFonts w:ascii="Times New Roman" w:hAnsi="Times New Roman" w:cs="Times New Roman"/>
          <w:sz w:val="24"/>
          <w:szCs w:val="24"/>
        </w:rPr>
        <w:t xml:space="preserve"> Bay</w:t>
      </w:r>
      <w:r w:rsidR="00E851D9">
        <w:rPr>
          <w:rFonts w:ascii="Times New Roman" w:hAnsi="Times New Roman" w:cs="Times New Roman"/>
          <w:sz w:val="24"/>
          <w:szCs w:val="24"/>
        </w:rPr>
        <w:t xml:space="preserve">, </w:t>
      </w:r>
      <w:proofErr w:type="spellStart"/>
      <w:r w:rsidR="00E851D9">
        <w:rPr>
          <w:rFonts w:ascii="Times New Roman" w:hAnsi="Times New Roman" w:cs="Times New Roman"/>
          <w:sz w:val="24"/>
          <w:szCs w:val="24"/>
        </w:rPr>
        <w:t>Lousiana</w:t>
      </w:r>
      <w:proofErr w:type="spellEnd"/>
      <w:r w:rsidR="00E851D9">
        <w:rPr>
          <w:rFonts w:ascii="Times New Roman" w:hAnsi="Times New Roman" w:cs="Times New Roman"/>
          <w:sz w:val="24"/>
          <w:szCs w:val="24"/>
        </w:rPr>
        <w:t xml:space="preserve">, USA: </w:t>
      </w:r>
      <w:proofErr w:type="spellStart"/>
      <w:r w:rsidR="00E851D9">
        <w:rPr>
          <w:rFonts w:ascii="Times New Roman" w:hAnsi="Times New Roman" w:cs="Times New Roman"/>
          <w:sz w:val="24"/>
          <w:szCs w:val="24"/>
        </w:rPr>
        <w:t>Panaeid</w:t>
      </w:r>
      <w:proofErr w:type="spellEnd"/>
      <w:r w:rsidR="00E851D9">
        <w:rPr>
          <w:rFonts w:ascii="Times New Roman" w:hAnsi="Times New Roman" w:cs="Times New Roman"/>
          <w:sz w:val="24"/>
          <w:szCs w:val="24"/>
        </w:rPr>
        <w:t xml:space="preserve"> shrimp; b</w:t>
      </w:r>
      <w:r w:rsidR="006B792B">
        <w:rPr>
          <w:rFonts w:ascii="Times New Roman" w:hAnsi="Times New Roman" w:cs="Times New Roman"/>
          <w:sz w:val="24"/>
          <w:szCs w:val="24"/>
        </w:rPr>
        <w:t>lue c</w:t>
      </w:r>
      <w:r>
        <w:rPr>
          <w:rFonts w:ascii="Times New Roman" w:hAnsi="Times New Roman" w:cs="Times New Roman"/>
          <w:sz w:val="24"/>
          <w:szCs w:val="24"/>
        </w:rPr>
        <w:t>rabs; 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 r</w:t>
      </w:r>
      <w:r>
        <w:rPr>
          <w:rFonts w:ascii="Times New Roman" w:hAnsi="Times New Roman" w:cs="Times New Roman"/>
          <w:sz w:val="24"/>
          <w:szCs w:val="24"/>
        </w:rPr>
        <w:t>ed drum</w:t>
      </w:r>
      <w:r w:rsidR="006B792B">
        <w:rPr>
          <w:rFonts w:ascii="Times New Roman" w:hAnsi="Times New Roman" w:cs="Times New Roman"/>
          <w:sz w:val="24"/>
          <w:szCs w:val="24"/>
        </w:rPr>
        <w:t>; and g</w:t>
      </w:r>
      <w:r w:rsidR="000C6C6A">
        <w:rPr>
          <w:rFonts w:ascii="Times New Roman" w:hAnsi="Times New Roman" w:cs="Times New Roman"/>
          <w:sz w:val="24"/>
          <w:szCs w:val="24"/>
        </w:rPr>
        <w:t>ulf 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 birds, and 3) dolphins. We </w:t>
      </w:r>
      <w:r w:rsidR="00EE2AE1">
        <w:rPr>
          <w:rFonts w:ascii="Times New Roman" w:hAnsi="Times New Roman" w:cs="Times New Roman"/>
          <w:sz w:val="24"/>
          <w:szCs w:val="24"/>
        </w:rPr>
        <w:t xml:space="preserve">then </w:t>
      </w:r>
      <w:r>
        <w:rPr>
          <w:rFonts w:ascii="Times New Roman" w:hAnsi="Times New Roman" w:cs="Times New Roman"/>
          <w:sz w:val="24"/>
          <w:szCs w:val="24"/>
        </w:rPr>
        <w:t xml:space="preserve">applied a generalized equilibrium model </w:t>
      </w:r>
      <w:r>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2014)","noteIndex":0},"citationItems":[{"id":556,"uris":["http://zotero.org/users/783258/items/T5PD7UGN"],"uri":["http://zotero.org/users/783258/items/T5PD7UGN"],"itemData":{"id":556,"type":"article-journal","abstract":"Ecosystem-based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Pr="00B529FC">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to explore the indirect effects that account for </w:t>
      </w:r>
      <w:r w:rsidR="00EE2AE1">
        <w:rPr>
          <w:rFonts w:ascii="Times New Roman" w:hAnsi="Times New Roman" w:cs="Times New Roman"/>
          <w:sz w:val="24"/>
          <w:szCs w:val="24"/>
        </w:rPr>
        <w:t xml:space="preserve">impacts </w:t>
      </w:r>
      <w:r w:rsidR="00E956A8">
        <w:rPr>
          <w:rFonts w:ascii="Times New Roman" w:hAnsi="Times New Roman" w:cs="Times New Roman"/>
          <w:sz w:val="24"/>
          <w:szCs w:val="24"/>
        </w:rPr>
        <w:t xml:space="preserve">of fisheries, sea birds, and dolphins </w:t>
      </w:r>
      <w:r w:rsidR="00EE2AE1">
        <w:rPr>
          <w:rFonts w:ascii="Times New Roman" w:hAnsi="Times New Roman" w:cs="Times New Roman"/>
          <w:sz w:val="24"/>
          <w:szCs w:val="24"/>
        </w:rPr>
        <w:t xml:space="preserve">on 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C6C6A">
        <w:rPr>
          <w:rFonts w:ascii="Times New Roman" w:hAnsi="Times New Roman" w:cs="Times New Roman"/>
          <w:sz w:val="24"/>
          <w:szCs w:val="24"/>
        </w:rPr>
        <w:t xml:space="preserve">. </w:t>
      </w:r>
      <w:r w:rsidR="00CB2185">
        <w:rPr>
          <w:rFonts w:ascii="Times New Roman" w:hAnsi="Times New Roman" w:cs="Times New Roman"/>
          <w:sz w:val="24"/>
          <w:szCs w:val="24"/>
        </w:rPr>
        <w:t xml:space="preserve">This tool allows us to ask the following question of our mass-balance model: “how much will the biomass of a species change from an X% </w:t>
      </w:r>
      <w:r w:rsidR="00CD5BB3">
        <w:rPr>
          <w:rFonts w:ascii="Times New Roman" w:hAnsi="Times New Roman" w:cs="Times New Roman"/>
          <w:sz w:val="24"/>
          <w:szCs w:val="24"/>
        </w:rPr>
        <w:t>change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CB2185">
        <w:rPr>
          <w:rFonts w:ascii="Times New Roman" w:hAnsi="Times New Roman" w:cs="Times New Roman"/>
          <w:sz w:val="24"/>
          <w:szCs w:val="24"/>
        </w:rPr>
        <w:t xml:space="preserve">a predator species (or an X% </w:t>
      </w:r>
      <w:r w:rsidR="00CD5BB3">
        <w:rPr>
          <w:rFonts w:ascii="Times New Roman" w:hAnsi="Times New Roman" w:cs="Times New Roman"/>
          <w:sz w:val="24"/>
          <w:szCs w:val="24"/>
        </w:rPr>
        <w:t xml:space="preserve">change </w:t>
      </w:r>
      <w:r w:rsidR="00CB2185">
        <w:rPr>
          <w:rFonts w:ascii="Times New Roman" w:hAnsi="Times New Roman" w:cs="Times New Roman"/>
          <w:sz w:val="24"/>
          <w:szCs w:val="24"/>
        </w:rPr>
        <w:t>in fishing effort)</w:t>
      </w:r>
      <w:r w:rsidR="00EF70E6">
        <w:rPr>
          <w:rFonts w:ascii="Times New Roman" w:hAnsi="Times New Roman" w:cs="Times New Roman"/>
          <w:sz w:val="24"/>
          <w:szCs w:val="24"/>
        </w:rPr>
        <w:t>?</w:t>
      </w:r>
      <w:r w:rsidR="00B7572F">
        <w:rPr>
          <w:rFonts w:ascii="Times New Roman" w:hAnsi="Times New Roman" w:cs="Times New Roman"/>
          <w:sz w:val="24"/>
          <w:szCs w:val="24"/>
        </w:rPr>
        <w:t>”</w:t>
      </w:r>
      <w:r w:rsidR="00CB2185">
        <w:rPr>
          <w:rFonts w:ascii="Times New Roman" w:hAnsi="Times New Roman" w:cs="Times New Roman"/>
          <w:sz w:val="24"/>
          <w:szCs w:val="24"/>
        </w:rPr>
        <w:t xml:space="preserve"> While dynamic non-equilibrium food web models can also</w:t>
      </w:r>
      <w:r w:rsidR="00B7572F">
        <w:rPr>
          <w:rFonts w:ascii="Times New Roman" w:hAnsi="Times New Roman" w:cs="Times New Roman"/>
          <w:sz w:val="24"/>
          <w:szCs w:val="24"/>
        </w:rPr>
        <w:t xml:space="preserve"> explore </w:t>
      </w:r>
      <w:r w:rsidR="00EF70E6">
        <w:rPr>
          <w:rFonts w:ascii="Times New Roman" w:hAnsi="Times New Roman" w:cs="Times New Roman"/>
          <w:sz w:val="24"/>
          <w:szCs w:val="24"/>
        </w:rPr>
        <w:t xml:space="preserve">these </w:t>
      </w:r>
      <w:r w:rsidR="00B7572F">
        <w:rPr>
          <w:rFonts w:ascii="Times New Roman" w:hAnsi="Times New Roman" w:cs="Times New Roman"/>
          <w:sz w:val="24"/>
          <w:szCs w:val="24"/>
        </w:rPr>
        <w:t>indirect effects</w:t>
      </w:r>
      <w:r w:rsidR="00CB2185">
        <w:rPr>
          <w:rFonts w:ascii="Times New Roman" w:hAnsi="Times New Roman" w:cs="Times New Roman"/>
          <w:sz w:val="24"/>
          <w:szCs w:val="24"/>
        </w:rPr>
        <w:t>, they require extensive tuning of functional response parameter</w:t>
      </w:r>
      <w:r w:rsidR="00EF70E6">
        <w:rPr>
          <w:rFonts w:ascii="Times New Roman" w:hAnsi="Times New Roman" w:cs="Times New Roman"/>
          <w:sz w:val="24"/>
          <w:szCs w:val="24"/>
        </w:rPr>
        <w:t>s</w:t>
      </w:r>
      <w:r w:rsidR="00CB2185">
        <w:rPr>
          <w:rFonts w:ascii="Times New Roman" w:hAnsi="Times New Roman" w:cs="Times New Roman"/>
          <w:sz w:val="24"/>
          <w:szCs w:val="24"/>
        </w:rPr>
        <w:t xml:space="preserve">, which have little to no data available to inform parameter values. </w:t>
      </w:r>
      <w:r w:rsidR="004614E2">
        <w:rPr>
          <w:rFonts w:ascii="Times New Roman" w:hAnsi="Times New Roman" w:cs="Times New Roman"/>
          <w:sz w:val="24"/>
          <w:szCs w:val="24"/>
        </w:rPr>
        <w:t xml:space="preserve">Because the generalized equilibrium models are fast to compute and are meant to be applied within a “neighborhood” of equilibrium, we can easily simulate many different </w:t>
      </w:r>
      <w:r w:rsidR="006D7B25">
        <w:rPr>
          <w:rFonts w:ascii="Times New Roman" w:hAnsi="Times New Roman" w:cs="Times New Roman"/>
          <w:sz w:val="24"/>
          <w:szCs w:val="24"/>
        </w:rPr>
        <w:t xml:space="preserve">flexible </w:t>
      </w:r>
      <w:r w:rsidR="004614E2">
        <w:rPr>
          <w:rFonts w:ascii="Times New Roman" w:hAnsi="Times New Roman" w:cs="Times New Roman"/>
          <w:sz w:val="24"/>
          <w:szCs w:val="24"/>
        </w:rPr>
        <w:t>functional response scenarios to better understand a range of possible results.</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t>Developing a mass-balance model</w:t>
      </w:r>
    </w:p>
    <w:p w14:paraId="2357A4FD" w14:textId="0F3928EF"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w:t>
      </w:r>
      <w:proofErr w:type="spellStart"/>
      <w:r w:rsidR="003550F2">
        <w:rPr>
          <w:rFonts w:ascii="Times New Roman" w:hAnsi="Times New Roman" w:cs="Times New Roman"/>
          <w:sz w:val="24"/>
          <w:szCs w:val="24"/>
        </w:rPr>
        <w:t>R</w:t>
      </w:r>
      <w:r w:rsidR="00CD5BB3">
        <w:rPr>
          <w:rFonts w:ascii="Times New Roman" w:hAnsi="Times New Roman" w:cs="Times New Roman"/>
          <w:sz w:val="24"/>
          <w:szCs w:val="24"/>
        </w:rPr>
        <w:t>path</w:t>
      </w:r>
      <w:proofErr w:type="spellEnd"/>
      <w:r w:rsidR="00CD5BB3">
        <w:rPr>
          <w:rFonts w:ascii="Times New Roman" w:hAnsi="Times New Roman" w:cs="Times New Roman"/>
          <w:sz w:val="24"/>
          <w:szCs w:val="24"/>
        </w:rPr>
        <w:t xml:space="preserve"> package </w:t>
      </w:r>
      <w:r w:rsidR="00A660E2">
        <w:rPr>
          <w:rFonts w:ascii="Times New Roman" w:hAnsi="Times New Roman" w:cs="Times New Roman"/>
          <w:sz w:val="24"/>
          <w:szCs w:val="24"/>
        </w:rPr>
        <w:fldChar w:fldCharType="begin"/>
      </w:r>
      <w:r w:rsidR="00A660E2">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2020)","noteIndex":0},"citationItems":[{"id":1925,"uris":["http://zotero.org/users/783258/items/J5B5TZU5"],"uri":["http://zotero.org/users/783258/items/J5B5TZU5"],"itemData":{"id":1925,"type":"article-journal","abstract":"Ecosystem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A660E2" w:rsidRPr="00A660E2">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w:t>
      </w:r>
      <w:proofErr w:type="spellStart"/>
      <w:r w:rsidR="00CD5BB3">
        <w:rPr>
          <w:rFonts w:ascii="Times New Roman" w:hAnsi="Times New Roman" w:cs="Times New Roman"/>
          <w:sz w:val="24"/>
          <w:szCs w:val="24"/>
        </w:rPr>
        <w:t>Ecopath</w:t>
      </w:r>
      <w:proofErr w:type="spellEnd"/>
      <w:r w:rsidR="00CD5BB3">
        <w:rPr>
          <w:rFonts w:ascii="Times New Roman" w:hAnsi="Times New Roman" w:cs="Times New Roman"/>
          <w:sz w:val="24"/>
          <w:szCs w:val="24"/>
        </w:rPr>
        <w:t xml:space="preserve"> </w:t>
      </w:r>
      <w:r w:rsidR="00CD5BB3">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1992)","noteIndex":0},"citationItems":[{"id":214,"uris":["http://zotero.org/users/783258/items/2IXK427F"],"uri":["http://zotero.org/users/783258/items/2IXK427F"],"itemData":{"id":214,"type":"article-journal","container-title":"Ecological modelling","issue":"3","page":"169–185","source":"Google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CD5BB3" w:rsidRPr="00CD5BB3">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{"citationID":"DrlInH5L","properties":{"formattedCitation":"(R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9B4C42">
        <w:rPr>
          <w:rFonts w:ascii="Times New Roman" w:hAnsi="Times New Roman" w:cs="Times New Roman"/>
          <w:sz w:val="24"/>
          <w:szCs w:val="24"/>
        </w:rPr>
        <w:fldChar w:fldCharType="separate"/>
      </w:r>
      <w:r w:rsidR="00CB1DC0" w:rsidRPr="00CB1DC0">
        <w:rPr>
          <w:rFonts w:ascii="Times New Roman" w:hAnsi="Times New Roman" w:cs="Times New Roman"/>
          <w:sz w:val="24"/>
        </w:rPr>
        <w:t>(R Core Team 2020)</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proofErr w:type="spellStart"/>
      <w:r w:rsidR="006B792B">
        <w:rPr>
          <w:rFonts w:ascii="Times New Roman" w:hAnsi="Times New Roman" w:cs="Times New Roman"/>
          <w:sz w:val="24"/>
          <w:szCs w:val="24"/>
        </w:rPr>
        <w:t>Ecopath</w:t>
      </w:r>
      <w:proofErr w:type="spellEnd"/>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 xml:space="preserve">in our model. </w:t>
      </w:r>
      <w:r w:rsidR="003E578A">
        <w:rPr>
          <w:rFonts w:ascii="Times New Roman" w:hAnsi="Times New Roman" w:cs="Times New Roman"/>
          <w:sz w:val="24"/>
          <w:szCs w:val="24"/>
        </w:rPr>
        <w:t xml:space="preserve">Food web dynamics in </w:t>
      </w:r>
      <w:proofErr w:type="spellStart"/>
      <w:r w:rsidR="003E578A">
        <w:rPr>
          <w:rFonts w:ascii="Times New Roman" w:hAnsi="Times New Roman" w:cs="Times New Roman"/>
          <w:sz w:val="24"/>
          <w:szCs w:val="24"/>
        </w:rPr>
        <w:t>Ecopath</w:t>
      </w:r>
      <w:proofErr w:type="spellEnd"/>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B26EC7"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45237F6E"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proofErr w:type="spellStart"/>
      <w:r w:rsidR="0077652B">
        <w:rPr>
          <w:rFonts w:ascii="Times New Roman" w:hAnsi="Times New Roman" w:cs="Times New Roman"/>
          <w:i/>
          <w:sz w:val="24"/>
          <w:szCs w:val="24"/>
        </w:rPr>
        <w:t>i</w:t>
      </w:r>
      <w:proofErr w:type="spellEnd"/>
      <w:r w:rsidR="0077652B">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production to biomass ratio of group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(under mass balance, this is equal to total mortality), </w:t>
      </w:r>
      <w:proofErr w:type="spellStart"/>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w:t>
      </w:r>
      <w:proofErr w:type="spellStart"/>
      <w:r w:rsidR="00043676">
        <w:rPr>
          <w:rFonts w:ascii="Times New Roman" w:hAnsi="Times New Roman" w:cs="Times New Roman"/>
          <w:sz w:val="24"/>
          <w:szCs w:val="24"/>
        </w:rPr>
        <w:t>ecotrophic</w:t>
      </w:r>
      <w:proofErr w:type="spellEnd"/>
      <w:r w:rsidR="00043676">
        <w:rPr>
          <w:rFonts w:ascii="Times New Roman" w:hAnsi="Times New Roman" w:cs="Times New Roman"/>
          <w:sz w:val="24"/>
          <w:szCs w:val="24"/>
        </w:rPr>
        <w:t xml:space="preserve">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proofErr w:type="spellStart"/>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proofErr w:type="spellEnd"/>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proofErr w:type="spellEnd"/>
      <w:r w:rsidR="00043676">
        <w:rPr>
          <w:rFonts w:ascii="Times New Roman" w:hAnsi="Times New Roman" w:cs="Times New Roman"/>
          <w:sz w:val="24"/>
          <w:szCs w:val="24"/>
        </w:rPr>
        <w:t xml:space="preserve"> is the diet composition, or proportion by mass of prey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similar life history characteristics and roles in the ecosystem.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proofErr w:type="spellStart"/>
      <w:r w:rsidR="00043676">
        <w:rPr>
          <w:rFonts w:ascii="Times New Roman" w:hAnsi="Times New Roman" w:cs="Times New Roman"/>
          <w:sz w:val="24"/>
          <w:szCs w:val="24"/>
        </w:rPr>
        <w:t>Ecopath</w:t>
      </w:r>
      <w:proofErr w:type="spellEnd"/>
      <w:r w:rsidR="00043676">
        <w:rPr>
          <w:rFonts w:ascii="Times New Roman" w:hAnsi="Times New Roman" w:cs="Times New Roman"/>
          <w:sz w:val="24"/>
          <w:szCs w:val="24"/>
        </w:rPr>
        <w:t xml:space="preserve"> is able to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 xml:space="preserve">In practice, this is often the </w:t>
      </w:r>
      <w:proofErr w:type="spellStart"/>
      <w:r w:rsidR="00431D43">
        <w:rPr>
          <w:rFonts w:ascii="Times New Roman" w:hAnsi="Times New Roman" w:cs="Times New Roman"/>
          <w:sz w:val="24"/>
          <w:szCs w:val="24"/>
        </w:rPr>
        <w:t>e</w:t>
      </w:r>
      <w:r w:rsidR="00043676">
        <w:rPr>
          <w:rFonts w:ascii="Times New Roman" w:hAnsi="Times New Roman" w:cs="Times New Roman"/>
          <w:sz w:val="24"/>
          <w:szCs w:val="24"/>
        </w:rPr>
        <w:t>cotrophic</w:t>
      </w:r>
      <w:proofErr w:type="spellEnd"/>
      <w:r w:rsidR="00043676">
        <w:rPr>
          <w:rFonts w:ascii="Times New Roman" w:hAnsi="Times New Roman" w:cs="Times New Roman"/>
          <w:sz w:val="24"/>
          <w:szCs w:val="24"/>
        </w:rPr>
        <w:t xml:space="preserve">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4CCF5583"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also allows for separation of functional groups into more than one life history stage, referred to as “stanzas.” In this case, the user defines the production to biomass ratio for all life stages, 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rate parameter, and the consumption to biomass ratio and biomass for a single “leading” stanza that is best</w:t>
      </w:r>
      <w:r w:rsidR="00A660E2">
        <w:rPr>
          <w:rFonts w:ascii="Times New Roman" w:hAnsi="Times New Roman" w:cs="Times New Roman"/>
          <w:sz w:val="24"/>
          <w:szCs w:val="24"/>
        </w:rPr>
        <w:t xml:space="preserve"> </w:t>
      </w:r>
      <w:r>
        <w:rPr>
          <w:rFonts w:ascii="Times New Roman" w:hAnsi="Times New Roman" w:cs="Times New Roman"/>
          <w:sz w:val="24"/>
          <w:szCs w:val="24"/>
        </w:rPr>
        <w:t xml:space="preserve">informed by data.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then fills in the remaining parameters by assuming a stable age distribution and a cubic relationship between length and </w:t>
      </w:r>
      <w:proofErr w:type="gramStart"/>
      <w:r>
        <w:rPr>
          <w:rFonts w:ascii="Times New Roman" w:hAnsi="Times New Roman" w:cs="Times New Roman"/>
          <w:sz w:val="24"/>
          <w:szCs w:val="24"/>
        </w:rPr>
        <w:t>biomass.</w:t>
      </w:r>
      <w:r w:rsidR="00DE70A3">
        <w:rPr>
          <w:rFonts w:ascii="Times New Roman" w:hAnsi="Times New Roman" w:cs="Times New Roman"/>
          <w:sz w:val="24"/>
          <w:szCs w:val="24"/>
        </w:rPr>
        <w:softHyphen/>
      </w:r>
      <w:proofErr w:type="gramEnd"/>
    </w:p>
    <w:p w14:paraId="0ABAE2ED" w14:textId="4123EB2B" w:rsidR="00C625C8" w:rsidRDefault="001541E7" w:rsidP="001646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mass-balance model is generally based on </w:t>
      </w:r>
      <w:proofErr w:type="spellStart"/>
      <w:r>
        <w:rPr>
          <w:rFonts w:ascii="Times New Roman" w:hAnsi="Times New Roman" w:cs="Times New Roman"/>
          <w:sz w:val="24"/>
          <w:szCs w:val="24"/>
        </w:rPr>
        <w:t>Barataria</w:t>
      </w:r>
      <w:proofErr w:type="spellEnd"/>
      <w:r>
        <w:rPr>
          <w:rFonts w:ascii="Times New Roman" w:hAnsi="Times New Roman" w:cs="Times New Roman"/>
          <w:sz w:val="24"/>
          <w:szCs w:val="24"/>
        </w:rPr>
        <w:t xml:space="preserve"> Bay and the broader Mississippi Delta</w:t>
      </w:r>
      <w:r w:rsidR="005815DE">
        <w:rPr>
          <w:rFonts w:ascii="Times New Roman" w:hAnsi="Times New Roman" w:cs="Times New Roman"/>
          <w:sz w:val="24"/>
          <w:szCs w:val="24"/>
        </w:rPr>
        <w:t xml:space="preserve"> </w:t>
      </w:r>
      <w:r w:rsidR="005C4F03">
        <w:rPr>
          <w:rFonts w:ascii="Times New Roman" w:hAnsi="Times New Roman" w:cs="Times New Roman"/>
          <w:sz w:val="24"/>
          <w:szCs w:val="24"/>
          <w:highlight w:val="yellow"/>
        </w:rPr>
        <w:t>(Fig. 1</w:t>
      </w:r>
      <w:r w:rsidR="005815DE" w:rsidRPr="005815DE">
        <w:rPr>
          <w:rFonts w:ascii="Times New Roman" w:hAnsi="Times New Roman" w:cs="Times New Roman"/>
          <w:sz w:val="24"/>
          <w:szCs w:val="24"/>
          <w:highlight w:val="yellow"/>
        </w:rPr>
        <w:t>)</w:t>
      </w:r>
      <w:r w:rsidRPr="005815DE">
        <w:rPr>
          <w:rFonts w:ascii="Times New Roman" w:hAnsi="Times New Roman" w:cs="Times New Roman"/>
          <w:sz w:val="24"/>
          <w:szCs w:val="24"/>
          <w:highlight w:val="yellow"/>
        </w:rPr>
        <w:t>.</w:t>
      </w:r>
      <w:r w:rsidR="00902471">
        <w:rPr>
          <w:rFonts w:ascii="Times New Roman" w:hAnsi="Times New Roman" w:cs="Times New Roman"/>
          <w:sz w:val="24"/>
          <w:szCs w:val="24"/>
        </w:rPr>
        <w:t xml:space="preserve"> Most parameters are based on de </w:t>
      </w:r>
      <w:proofErr w:type="spellStart"/>
      <w:r w:rsidR="00902471">
        <w:rPr>
          <w:rFonts w:ascii="Times New Roman" w:hAnsi="Times New Roman" w:cs="Times New Roman"/>
          <w:sz w:val="24"/>
          <w:szCs w:val="24"/>
        </w:rPr>
        <w:t>Mutsert</w:t>
      </w:r>
      <w:proofErr w:type="spellEnd"/>
      <w:r w:rsidR="00902471">
        <w:rPr>
          <w:rFonts w:ascii="Times New Roman" w:hAnsi="Times New Roman" w:cs="Times New Roman"/>
          <w:sz w:val="24"/>
          <w:szCs w:val="24"/>
        </w:rPr>
        <w:t xml:space="preserve"> et al. </w:t>
      </w:r>
      <w:r w:rsidR="00902471">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myyZeQeL","properties":{"formattedCitation":"(2017)","plainCitation":"(2017)","noteIndex":0},"citationItems":[{"id":1617,"uris":["http://zotero.org/users/783258/items/D2L3FSK3"],"uri":["http://zotero.org/users/783258/items/D2L3FSK3"],"itemData":{"id":1617,"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Mutsert","given":"Kim","non-dropping-particle":"de"},{"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5D6783" w:rsidRPr="005D6783">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Deepwater Horizon oil spill.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w:t>
      </w:r>
      <w:proofErr w:type="spellStart"/>
      <w:r w:rsidR="000F1A1C">
        <w:rPr>
          <w:rFonts w:ascii="Times New Roman" w:hAnsi="Times New Roman" w:cs="Times New Roman"/>
          <w:sz w:val="24"/>
          <w:szCs w:val="24"/>
        </w:rPr>
        <w:t>Barataria</w:t>
      </w:r>
      <w:proofErr w:type="spellEnd"/>
      <w:r w:rsidR="000F1A1C">
        <w:rPr>
          <w:rFonts w:ascii="Times New Roman" w:hAnsi="Times New Roman" w:cs="Times New Roman"/>
          <w:sz w:val="24"/>
          <w:szCs w:val="24"/>
        </w:rPr>
        <w:t xml:space="preserve">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 xml:space="preserve">indicating dolphins are over an order of magnitude more </w:t>
      </w:r>
      <w:r w:rsidR="000F1A1C">
        <w:rPr>
          <w:rFonts w:ascii="Times New Roman" w:hAnsi="Times New Roman" w:cs="Times New Roman"/>
          <w:sz w:val="24"/>
          <w:szCs w:val="24"/>
        </w:rPr>
        <w:lastRenderedPageBreak/>
        <w:t>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2017)","noteIndex":0},"citationItems":[{"id":1608,"uris":["http://zotero.org/users/783258/items/EE863BQX"],"uri":["http://zotero.org/users/783258/items/EE863BQX"],"itemData":{"id":1608,"type":"article-journal","container-title":"Endangered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A70490" w:rsidRPr="00D8465A">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de </w:t>
      </w:r>
      <w:proofErr w:type="spellStart"/>
      <w:r w:rsidR="000F1A1C">
        <w:rPr>
          <w:rFonts w:ascii="Times New Roman" w:hAnsi="Times New Roman" w:cs="Times New Roman"/>
          <w:sz w:val="24"/>
          <w:szCs w:val="24"/>
        </w:rPr>
        <w:t>Mutsert</w:t>
      </w:r>
      <w:proofErr w:type="spellEnd"/>
      <w:r w:rsidR="000F1A1C">
        <w:rPr>
          <w:rFonts w:ascii="Times New Roman" w:hAnsi="Times New Roman" w:cs="Times New Roman"/>
          <w:sz w:val="24"/>
          <w:szCs w:val="24"/>
        </w:rPr>
        <w:t xml:space="preserve"> et al. (2017): gars, stingrays, and diving birds (previous seabird densities were based only on pelicans). This led to</w:t>
      </w:r>
      <w:r w:rsidR="00F355A1">
        <w:rPr>
          <w:rFonts w:ascii="Times New Roman" w:hAnsi="Times New Roman" w:cs="Times New Roman"/>
          <w:sz w:val="24"/>
          <w:szCs w:val="24"/>
        </w:rPr>
        <w:t xml:space="preserve"> difficulty balancing the model, and </w:t>
      </w:r>
      <w:r w:rsidR="00C625C8">
        <w:rPr>
          <w:rFonts w:ascii="Times New Roman" w:hAnsi="Times New Roman" w:cs="Times New Roman"/>
          <w:sz w:val="24"/>
          <w:szCs w:val="24"/>
        </w:rPr>
        <w:t xml:space="preserve">there was not enough biomass of certain fish species to sustain predator populations. This is likely due to </w:t>
      </w:r>
      <w:r w:rsidR="00164606">
        <w:rPr>
          <w:rFonts w:ascii="Times New Roman" w:hAnsi="Times New Roman" w:cs="Times New Roman"/>
          <w:sz w:val="24"/>
          <w:szCs w:val="24"/>
        </w:rPr>
        <w:t xml:space="preserve">predator biomasses being based on assessments, which are close to a full census, while fish biomasses were based on fishery-independent surveys conducted by the Louisiana Department of Wildlife and Fisheries (LDWF) with much lower catchabilities. </w:t>
      </w:r>
      <w:r w:rsidR="00C625C8">
        <w:rPr>
          <w:rFonts w:ascii="Times New Roman" w:hAnsi="Times New Roman" w:cs="Times New Roman"/>
          <w:sz w:val="24"/>
          <w:szCs w:val="24"/>
        </w:rPr>
        <w:t xml:space="preserve">In order to balance the model, we increased biomasses of X </w:t>
      </w:r>
      <w:r w:rsidR="00164606">
        <w:rPr>
          <w:rFonts w:ascii="Times New Roman" w:hAnsi="Times New Roman" w:cs="Times New Roman"/>
          <w:sz w:val="24"/>
          <w:szCs w:val="24"/>
        </w:rPr>
        <w:t xml:space="preserve">from de </w:t>
      </w:r>
      <w:proofErr w:type="spellStart"/>
      <w:r w:rsidR="00164606">
        <w:rPr>
          <w:rFonts w:ascii="Times New Roman" w:hAnsi="Times New Roman" w:cs="Times New Roman"/>
          <w:sz w:val="24"/>
          <w:szCs w:val="24"/>
        </w:rPr>
        <w:t>Mutsert</w:t>
      </w:r>
      <w:proofErr w:type="spellEnd"/>
      <w:r w:rsidR="00164606">
        <w:rPr>
          <w:rFonts w:ascii="Times New Roman" w:hAnsi="Times New Roman" w:cs="Times New Roman"/>
          <w:sz w:val="24"/>
          <w:szCs w:val="24"/>
        </w:rPr>
        <w:t xml:space="preserve"> et al. (2017). Alternatively, w</w:t>
      </w:r>
      <w:r w:rsidR="00C625C8">
        <w:rPr>
          <w:rFonts w:ascii="Times New Roman" w:hAnsi="Times New Roman" w:cs="Times New Roman"/>
          <w:sz w:val="24"/>
          <w:szCs w:val="24"/>
        </w:rPr>
        <w:t xml:space="preserve">e tried quadrupling biomass of all species sampled by </w:t>
      </w:r>
      <w:r w:rsidR="00164606">
        <w:rPr>
          <w:rFonts w:ascii="Times New Roman" w:hAnsi="Times New Roman" w:cs="Times New Roman"/>
          <w:sz w:val="24"/>
          <w:szCs w:val="24"/>
        </w:rPr>
        <w:t xml:space="preserve">LDWF </w:t>
      </w:r>
      <w:r w:rsidR="00C625C8">
        <w:rPr>
          <w:rFonts w:ascii="Times New Roman" w:hAnsi="Times New Roman" w:cs="Times New Roman"/>
          <w:sz w:val="24"/>
          <w:szCs w:val="24"/>
        </w:rPr>
        <w:t>surveys</w:t>
      </w:r>
      <w:r w:rsidR="00F355A1">
        <w:rPr>
          <w:rFonts w:ascii="Times New Roman" w:hAnsi="Times New Roman" w:cs="Times New Roman"/>
          <w:sz w:val="24"/>
          <w:szCs w:val="24"/>
        </w:rPr>
        <w:t xml:space="preserve"> (i.e., assume 25% catchability across all functional groups with biomasses informed by LDWF sampling)</w:t>
      </w:r>
      <w:r w:rsidR="00C625C8">
        <w:rPr>
          <w:rFonts w:ascii="Times New Roman" w:hAnsi="Times New Roman" w:cs="Times New Roman"/>
          <w:sz w:val="24"/>
          <w:szCs w:val="24"/>
        </w:rPr>
        <w:t>, but this led to an overabundance of</w:t>
      </w:r>
      <w:r w:rsidR="00227D86">
        <w:rPr>
          <w:rFonts w:ascii="Times New Roman" w:hAnsi="Times New Roman" w:cs="Times New Roman"/>
          <w:sz w:val="24"/>
          <w:szCs w:val="24"/>
        </w:rPr>
        <w:t xml:space="preserve"> fish</w:t>
      </w:r>
      <w:r w:rsidR="00C625C8">
        <w:rPr>
          <w:rFonts w:ascii="Times New Roman" w:hAnsi="Times New Roman" w:cs="Times New Roman"/>
          <w:sz w:val="24"/>
          <w:szCs w:val="24"/>
        </w:rPr>
        <w:t xml:space="preserve"> species,</w:t>
      </w:r>
      <w:r w:rsidR="00227D86">
        <w:rPr>
          <w:rFonts w:ascii="Times New Roman" w:hAnsi="Times New Roman" w:cs="Times New Roman"/>
          <w:sz w:val="24"/>
          <w:szCs w:val="24"/>
        </w:rPr>
        <w:t xml:space="preserve"> and </w:t>
      </w:r>
      <w:r w:rsidR="00F355A1">
        <w:rPr>
          <w:rFonts w:ascii="Times New Roman" w:hAnsi="Times New Roman" w:cs="Times New Roman"/>
          <w:sz w:val="24"/>
          <w:szCs w:val="24"/>
        </w:rPr>
        <w:t xml:space="preserve">the </w:t>
      </w:r>
      <w:r w:rsidR="00227D86">
        <w:rPr>
          <w:rFonts w:ascii="Times New Roman" w:hAnsi="Times New Roman" w:cs="Times New Roman"/>
          <w:sz w:val="24"/>
          <w:szCs w:val="24"/>
        </w:rPr>
        <w:t>lower trophic levels</w:t>
      </w:r>
      <w:r w:rsidR="00164606">
        <w:rPr>
          <w:rFonts w:ascii="Times New Roman" w:hAnsi="Times New Roman" w:cs="Times New Roman"/>
          <w:sz w:val="24"/>
          <w:szCs w:val="24"/>
        </w:rPr>
        <w:t xml:space="preserve"> that</w:t>
      </w:r>
      <w:r w:rsidR="00227D86">
        <w:rPr>
          <w:rFonts w:ascii="Times New Roman" w:hAnsi="Times New Roman" w:cs="Times New Roman"/>
          <w:sz w:val="24"/>
          <w:szCs w:val="24"/>
        </w:rPr>
        <w:t xml:space="preserve"> </w:t>
      </w:r>
      <w:r w:rsidR="00F355A1">
        <w:rPr>
          <w:rFonts w:ascii="Times New Roman" w:hAnsi="Times New Roman" w:cs="Times New Roman"/>
          <w:sz w:val="24"/>
          <w:szCs w:val="24"/>
        </w:rPr>
        <w:t xml:space="preserve">fish consumed </w:t>
      </w:r>
      <w:r w:rsidR="00227D86">
        <w:rPr>
          <w:rFonts w:ascii="Times New Roman" w:hAnsi="Times New Roman" w:cs="Times New Roman"/>
          <w:sz w:val="24"/>
          <w:szCs w:val="24"/>
        </w:rPr>
        <w:t>became un</w:t>
      </w:r>
      <w:r w:rsidR="00164606">
        <w:rPr>
          <w:rFonts w:ascii="Times New Roman" w:hAnsi="Times New Roman" w:cs="Times New Roman"/>
          <w:sz w:val="24"/>
          <w:szCs w:val="24"/>
        </w:rPr>
        <w:t>balanced</w:t>
      </w:r>
      <w:r w:rsidR="00C625C8">
        <w:rPr>
          <w:rFonts w:ascii="Times New Roman" w:hAnsi="Times New Roman" w:cs="Times New Roman"/>
          <w:sz w:val="24"/>
          <w:szCs w:val="24"/>
        </w:rPr>
        <w:t xml:space="preserve">. </w:t>
      </w:r>
    </w:p>
    <w:p w14:paraId="1A01A79E" w14:textId="27B07E92" w:rsidR="003165E9" w:rsidRDefault="003165E9" w:rsidP="003165E9">
      <w:pPr>
        <w:spacing w:after="0" w:line="480" w:lineRule="auto"/>
        <w:rPr>
          <w:rFonts w:ascii="Times New Roman" w:hAnsi="Times New Roman" w:cs="Times New Roman"/>
          <w:sz w:val="24"/>
          <w:szCs w:val="24"/>
        </w:rPr>
      </w:pPr>
    </w:p>
    <w:p w14:paraId="147D87C8" w14:textId="5C39ECB7" w:rsidR="004C6877" w:rsidRDefault="003165E9" w:rsidP="003165E9">
      <w:pPr>
        <w:spacing w:after="0" w:line="480" w:lineRule="auto"/>
        <w:rPr>
          <w:rFonts w:ascii="Times New Roman" w:hAnsi="Times New Roman" w:cs="Times New Roman"/>
          <w:sz w:val="24"/>
          <w:szCs w:val="24"/>
        </w:rPr>
      </w:pPr>
      <w:r w:rsidRPr="00E51E5A">
        <w:rPr>
          <w:rFonts w:ascii="Times New Roman" w:hAnsi="Times New Roman" w:cs="Times New Roman"/>
          <w:sz w:val="24"/>
          <w:szCs w:val="24"/>
          <w:highlight w:val="yellow"/>
        </w:rPr>
        <w:t xml:space="preserve">Saving in case this is useful: </w:t>
      </w:r>
      <w:r w:rsidR="0009609C" w:rsidRPr="00E51E5A">
        <w:rPr>
          <w:rFonts w:ascii="Times New Roman" w:hAnsi="Times New Roman" w:cs="Times New Roman"/>
          <w:sz w:val="24"/>
          <w:szCs w:val="24"/>
          <w:highlight w:val="yellow"/>
        </w:rPr>
        <w:fldChar w:fldCharType="begin"/>
      </w:r>
      <w:r w:rsidR="00CB1DC0" w:rsidRPr="00E51E5A">
        <w:rPr>
          <w:rFonts w:ascii="Times New Roman" w:hAnsi="Times New Roman" w:cs="Times New Roman"/>
          <w:sz w:val="24"/>
          <w:szCs w:val="24"/>
          <w:highlight w:val="yellow"/>
        </w:rPr>
        <w:instrText xml:space="preserve"> ADDIN ZOTERO_ITEM CSL_CITATION {"citationID":"jbwtRggd","properties":{"formattedCitation":"(Loesch et al. 1976)","plainCitation":"(Loesch et al. 1976)","noteIndex":0},"citationItems":[{"id":1651,"uris":["http://zotero.org/users/783258/items/U93NCM9F"],"uri":["http://zotero.org/users/783258/items/U93NCM9F"],"itemData":{"id":1651,"type":"article-journal","container-title":"Gulf and Caribbean Research","DOI":"10.18785/grr.0502.04","ISSN":"1528-0470","issue":"2","page":"29-33","title":"Technique for Estimating Trawl Efficiency in Catching Brown Shrimp (Penaeus aztecus), Atlantic Croaker (Micropogon undulatus) and Spot (Leiostomus xanthurus)","volume":"5","author":[{"family":"Loesch","given":"Harold"},{"family":"Bishop","given":"James"},{"family":"Crowe","given":"Arthur"},{"family":"Kuckyr","given":"Robin"},{"family":"Wagner","given":"Paul"}],"issued":{"date-parts":[["1976",1,1]]}}}],"schema":"https://github.com/citation-style-language/schema/raw/master/csl-citation.json"} </w:instrText>
      </w:r>
      <w:r w:rsidR="0009609C" w:rsidRPr="00E51E5A">
        <w:rPr>
          <w:rFonts w:ascii="Times New Roman" w:hAnsi="Times New Roman" w:cs="Times New Roman"/>
          <w:sz w:val="24"/>
          <w:szCs w:val="24"/>
          <w:highlight w:val="yellow"/>
        </w:rPr>
        <w:fldChar w:fldCharType="separate"/>
      </w:r>
      <w:r w:rsidR="0009609C" w:rsidRPr="00E51E5A">
        <w:rPr>
          <w:rFonts w:ascii="Times New Roman" w:hAnsi="Times New Roman" w:cs="Times New Roman"/>
          <w:sz w:val="24"/>
          <w:highlight w:val="yellow"/>
        </w:rPr>
        <w:t>(</w:t>
      </w:r>
      <w:proofErr w:type="spellStart"/>
      <w:r w:rsidR="0009609C" w:rsidRPr="00E51E5A">
        <w:rPr>
          <w:rFonts w:ascii="Times New Roman" w:hAnsi="Times New Roman" w:cs="Times New Roman"/>
          <w:sz w:val="24"/>
          <w:highlight w:val="yellow"/>
        </w:rPr>
        <w:t>Loesch</w:t>
      </w:r>
      <w:proofErr w:type="spellEnd"/>
      <w:r w:rsidR="0009609C" w:rsidRPr="00E51E5A">
        <w:rPr>
          <w:rFonts w:ascii="Times New Roman" w:hAnsi="Times New Roman" w:cs="Times New Roman"/>
          <w:sz w:val="24"/>
          <w:highlight w:val="yellow"/>
        </w:rPr>
        <w:t xml:space="preserve"> et al. 1976)</w:t>
      </w:r>
      <w:r w:rsidR="0009609C" w:rsidRPr="00E51E5A">
        <w:rPr>
          <w:rFonts w:ascii="Times New Roman" w:hAnsi="Times New Roman" w:cs="Times New Roman"/>
          <w:sz w:val="24"/>
          <w:szCs w:val="24"/>
          <w:highlight w:val="yellow"/>
        </w:rPr>
        <w:fldChar w:fldCharType="end"/>
      </w:r>
      <w:r w:rsidRPr="00E51E5A">
        <w:rPr>
          <w:rFonts w:ascii="Times New Roman" w:hAnsi="Times New Roman" w:cs="Times New Roman"/>
          <w:sz w:val="24"/>
          <w:szCs w:val="24"/>
          <w:highlight w:val="yellow"/>
        </w:rPr>
        <w:t xml:space="preserve"> found 25-33% catchabilities for many species in this habitat</w:t>
      </w:r>
      <w:r w:rsidR="0009609C" w:rsidRPr="00E51E5A">
        <w:rPr>
          <w:rFonts w:ascii="Times New Roman" w:hAnsi="Times New Roman" w:cs="Times New Roman"/>
          <w:sz w:val="24"/>
          <w:szCs w:val="24"/>
          <w:highlight w:val="yellow"/>
        </w:rPr>
        <w:t>.</w:t>
      </w:r>
      <w:r w:rsidR="0009609C">
        <w:rPr>
          <w:rFonts w:ascii="Times New Roman" w:hAnsi="Times New Roman" w:cs="Times New Roman"/>
          <w:sz w:val="24"/>
          <w:szCs w:val="24"/>
        </w:rPr>
        <w:t xml:space="preserve"> </w:t>
      </w:r>
    </w:p>
    <w:p w14:paraId="353B0F0F" w14:textId="77777777" w:rsidR="003165E9" w:rsidRDefault="003165E9" w:rsidP="003165E9">
      <w:pPr>
        <w:spacing w:after="0" w:line="480" w:lineRule="auto"/>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2CBAFAC4"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first quantified the total fraction of mortality to 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proofErr w:type="spellStart"/>
      <w:r w:rsidR="00A90166">
        <w:rPr>
          <w:rFonts w:ascii="Times New Roman" w:hAnsi="Times New Roman" w:cs="Times New Roman"/>
          <w:sz w:val="24"/>
          <w:szCs w:val="24"/>
        </w:rPr>
        <w:t>Panaeid</w:t>
      </w:r>
      <w:proofErr w:type="spellEnd"/>
      <w:r w:rsidR="00A90166">
        <w:rPr>
          <w:rFonts w:ascii="Times New Roman" w:hAnsi="Times New Roman" w:cs="Times New Roman"/>
          <w:sz w:val="24"/>
          <w:szCs w:val="24"/>
        </w:rPr>
        <w:t xml:space="preserve"> shrimp; b</w:t>
      </w:r>
      <w:r>
        <w:rPr>
          <w:rFonts w:ascii="Times New Roman" w:hAnsi="Times New Roman" w:cs="Times New Roman"/>
          <w:sz w:val="24"/>
          <w:szCs w:val="24"/>
        </w:rPr>
        <w:t>lue crabs; Atlantic croaker, spot, and silver perch; red drum; and gulf menhaden)</w:t>
      </w:r>
      <w:r w:rsidR="00D23021">
        <w:rPr>
          <w:rFonts w:ascii="Times New Roman" w:hAnsi="Times New Roman" w:cs="Times New Roman"/>
          <w:sz w:val="24"/>
          <w:szCs w:val="24"/>
        </w:rPr>
        <w:t xml:space="preserve"> that</w:t>
      </w:r>
      <w:r>
        <w:rPr>
          <w:rFonts w:ascii="Times New Roman" w:hAnsi="Times New Roman" w:cs="Times New Roman"/>
          <w:sz w:val="24"/>
          <w:szCs w:val="24"/>
        </w:rPr>
        <w:t xml:space="preserve"> arose from 1) fishing, 2) dolphins, 3) pelicans, and 4) diving birds</w:t>
      </w:r>
      <w:r w:rsidR="00D23021">
        <w:rPr>
          <w:rFonts w:ascii="Times New Roman" w:hAnsi="Times New Roman" w:cs="Times New Roman"/>
          <w:sz w:val="24"/>
          <w:szCs w:val="24"/>
        </w:rPr>
        <w:t xml:space="preserve"> (generally gulls, terns, and frigate birds)</w:t>
      </w:r>
      <w:r>
        <w:rPr>
          <w:rFonts w:ascii="Times New Roman" w:hAnsi="Times New Roman" w:cs="Times New Roman"/>
          <w:sz w:val="24"/>
          <w:szCs w:val="24"/>
        </w:rPr>
        <w:t xml:space="preserve">. </w:t>
      </w:r>
      <w:r w:rsidR="00811953">
        <w:rPr>
          <w:rFonts w:ascii="Times New Roman" w:hAnsi="Times New Roman" w:cs="Times New Roman"/>
          <w:sz w:val="24"/>
          <w:szCs w:val="24"/>
        </w:rPr>
        <w:t>We chose the five key 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w:t>
      </w:r>
      <w:r w:rsidR="00F80441">
        <w:rPr>
          <w:rFonts w:ascii="Times New Roman" w:hAnsi="Times New Roman" w:cs="Times New Roman"/>
          <w:sz w:val="24"/>
          <w:szCs w:val="24"/>
        </w:rPr>
        <w:lastRenderedPageBreak/>
        <w:t xml:space="preserve">groups in the system, both ecologically and socially </w:t>
      </w:r>
      <w:r w:rsidR="00994EF2">
        <w:rPr>
          <w:rFonts w:ascii="Times New Roman" w:hAnsi="Times New Roman" w:cs="Times New Roman"/>
          <w:sz w:val="24"/>
          <w:szCs w:val="24"/>
        </w:rPr>
        <w:fldChar w:fldCharType="begin"/>
      </w:r>
      <w:r w:rsidR="00CB1DC0">
        <w:rPr>
          <w:rFonts w:ascii="Times New Roman" w:hAnsi="Times New Roman" w:cs="Times New Roman"/>
          <w:sz w:val="24"/>
          <w:szCs w:val="24"/>
        </w:rPr>
        <w:instrText xml:space="preserve"> ADDIN ZOTERO_ITEM CSL_CITATION {"citationID":"CFtNKI48","properties":{"formattedCitation":"(Fodrie et al. 2014, Ward et al. 2018)","plainCitation":"(Fodrie et al. 2014, Ward et al. 2018)","noteIndex":0},"citationItems":[{"id":1484,"uris":["http://zotero.org/users/783258/items/IANH8UUZ"],"uri":["http://zotero.org/users/783258/items/IANH8UUZ"],"itemData":{"id":1484,"type":"article-journal","abstract":"Syntheses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1697,"uris":["http://zotero.org/users/783258/items/I9X4FZ9F"],"uri":["http://zotero.org/users/783258/items/I9X4FZ9F"],"itemData":{"id":1697,"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994EF2">
        <w:rPr>
          <w:rFonts w:ascii="Times New Roman" w:hAnsi="Times New Roman" w:cs="Times New Roman"/>
          <w:sz w:val="24"/>
          <w:szCs w:val="24"/>
        </w:rPr>
        <w:fldChar w:fldCharType="separate"/>
      </w:r>
      <w:r w:rsidR="004A1C9A" w:rsidRPr="004A1C9A">
        <w:rPr>
          <w:rFonts w:ascii="Times New Roman" w:hAnsi="Times New Roman" w:cs="Times New Roman"/>
          <w:sz w:val="24"/>
        </w:rPr>
        <w:t>(</w:t>
      </w:r>
      <w:proofErr w:type="spellStart"/>
      <w:r w:rsidR="004A1C9A" w:rsidRPr="004A1C9A">
        <w:rPr>
          <w:rFonts w:ascii="Times New Roman" w:hAnsi="Times New Roman" w:cs="Times New Roman"/>
          <w:sz w:val="24"/>
        </w:rPr>
        <w:t>Fodrie</w:t>
      </w:r>
      <w:proofErr w:type="spellEnd"/>
      <w:r w:rsidR="004A1C9A" w:rsidRPr="004A1C9A">
        <w:rPr>
          <w:rFonts w:ascii="Times New Roman" w:hAnsi="Times New Roman" w:cs="Times New Roman"/>
          <w:sz w:val="24"/>
        </w:rPr>
        <w:t xml:space="preserve"> et al. 2014, Ward et al. 2018)</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substantial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811953">
        <w:rPr>
          <w:rFonts w:ascii="Times New Roman" w:hAnsi="Times New Roman" w:cs="Times New Roman"/>
          <w:sz w:val="24"/>
          <w:szCs w:val="24"/>
        </w:rPr>
        <w:t xml:space="preserve">following the spill. Because </w:t>
      </w:r>
      <w:r w:rsidR="00F80441">
        <w:rPr>
          <w:rFonts w:ascii="Times New Roman" w:hAnsi="Times New Roman" w:cs="Times New Roman"/>
          <w:sz w:val="24"/>
          <w:szCs w:val="24"/>
        </w:rPr>
        <w:t xml:space="preserve">few </w:t>
      </w:r>
      <w:r w:rsidR="00811953">
        <w:rPr>
          <w:rFonts w:ascii="Times New Roman" w:hAnsi="Times New Roman" w:cs="Times New Roman"/>
          <w:sz w:val="24"/>
          <w:szCs w:val="24"/>
        </w:rPr>
        <w:t>population increases occurred, if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we consider </w:t>
      </w:r>
      <w:r w:rsidR="00811953">
        <w:rPr>
          <w:rFonts w:ascii="Times New Roman" w:hAnsi="Times New Roman" w:cs="Times New Roman"/>
          <w:sz w:val="24"/>
          <w:szCs w:val="24"/>
        </w:rPr>
        <w:t xml:space="preserve">this </w:t>
      </w:r>
      <w:r w:rsidR="00994EF2">
        <w:rPr>
          <w:rFonts w:ascii="Times New Roman" w:hAnsi="Times New Roman" w:cs="Times New Roman"/>
          <w:sz w:val="24"/>
          <w:szCs w:val="24"/>
        </w:rPr>
        <w:t xml:space="preserve">evidence that oil-induced mortality did occur, but was simply compensated for by temporary reductions in other mortality sources. </w:t>
      </w:r>
      <w:r>
        <w:rPr>
          <w:rFonts w:ascii="Times New Roman" w:hAnsi="Times New Roman" w:cs="Times New Roman"/>
          <w:sz w:val="24"/>
          <w:szCs w:val="24"/>
        </w:rPr>
        <w:t>This approach uses the food web model as a repository of information on plausible stocks and flows of biomass, but does not take advantage of its network structure.</w:t>
      </w:r>
    </w:p>
    <w:p w14:paraId="10AECDAC" w14:textId="619E508C"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proofErr w:type="spellStart"/>
      <w:r w:rsidRPr="00223945">
        <w:rPr>
          <w:rFonts w:ascii="Times New Roman" w:hAnsi="Times New Roman" w:cs="Times New Roman"/>
          <w:i/>
          <w:sz w:val="24"/>
          <w:szCs w:val="24"/>
        </w:rPr>
        <w:t>i</w:t>
      </w:r>
      <w:proofErr w:type="spellEnd"/>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xml:space="preserve">, we standardized these mortality rates by dividing by </w:t>
      </w:r>
      <w:proofErr w:type="spellStart"/>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proofErr w:type="spellEnd"/>
      <w:r w:rsidR="002908BC">
        <w:rPr>
          <w:rFonts w:ascii="Times New Roman" w:eastAsiaTheme="minorEastAsia" w:hAnsi="Times New Roman" w:cs="Times New Roman"/>
          <w:sz w:val="24"/>
          <w:szCs w:val="24"/>
        </w:rPr>
        <w:t>. This gave us a metric for the total proportion of annual mortality arising from each source.</w:t>
      </w:r>
      <w:r w:rsidR="00A31EA3">
        <w:rPr>
          <w:rFonts w:ascii="Times New Roman" w:eastAsiaTheme="minorEastAsia" w:hAnsi="Times New Roman" w:cs="Times New Roman"/>
          <w:sz w:val="24"/>
          <w:szCs w:val="24"/>
        </w:rPr>
        <w:t xml:space="preserve"> </w:t>
      </w:r>
    </w:p>
    <w:p w14:paraId="4B03120A" w14:textId="7F929F9D" w:rsidR="00413161" w:rsidRPr="00413161" w:rsidRDefault="00413161" w:rsidP="00975FCD">
      <w:pPr>
        <w:spacing w:after="0" w:line="480" w:lineRule="auto"/>
        <w:rPr>
          <w:rFonts w:ascii="Times New Roman" w:hAnsi="Times New Roman" w:cs="Times New Roman"/>
          <w:i/>
          <w:sz w:val="24"/>
          <w:szCs w:val="24"/>
        </w:rPr>
      </w:pPr>
      <w:commentRangeStart w:id="2"/>
      <w:r>
        <w:rPr>
          <w:rFonts w:ascii="Times New Roman" w:hAnsi="Times New Roman" w:cs="Times New Roman"/>
          <w:i/>
          <w:sz w:val="24"/>
          <w:szCs w:val="24"/>
        </w:rPr>
        <w:t xml:space="preserve">Generalized </w:t>
      </w:r>
      <w:commentRangeEnd w:id="2"/>
      <w:r w:rsidR="00A56691">
        <w:rPr>
          <w:rStyle w:val="CommentReference"/>
        </w:rPr>
        <w:commentReference w:id="2"/>
      </w:r>
      <w:r>
        <w:rPr>
          <w:rFonts w:ascii="Times New Roman" w:hAnsi="Times New Roman" w:cs="Times New Roman"/>
          <w:i/>
          <w:sz w:val="24"/>
          <w:szCs w:val="24"/>
        </w:rPr>
        <w:t>equilibrium model</w:t>
      </w:r>
    </w:p>
    <w:p w14:paraId="533064EE" w14:textId="13059B7E" w:rsidR="009617AB" w:rsidRDefault="009617AB"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benefit of food web models is they account for all energy pathways when considering the impacts of </w:t>
      </w:r>
      <w:r w:rsidR="00D71CE0">
        <w:rPr>
          <w:rFonts w:ascii="Times New Roman" w:hAnsi="Times New Roman" w:cs="Times New Roman"/>
          <w:sz w:val="24"/>
          <w:szCs w:val="24"/>
        </w:rPr>
        <w:t>stressors</w:t>
      </w:r>
      <w:r>
        <w:rPr>
          <w:rFonts w:ascii="Times New Roman" w:hAnsi="Times New Roman" w:cs="Times New Roman"/>
          <w:sz w:val="24"/>
          <w:szCs w:val="24"/>
        </w:rPr>
        <w:t xml:space="preserve"> to the system</w:t>
      </w:r>
      <w:r w:rsidR="00D71CE0">
        <w:rPr>
          <w:rFonts w:ascii="Times New Roman" w:hAnsi="Times New Roman" w:cs="Times New Roman"/>
          <w:sz w:val="24"/>
          <w:szCs w:val="24"/>
        </w:rPr>
        <w:t xml:space="preserve"> </w:t>
      </w:r>
      <w:r w:rsidR="00D71CE0">
        <w:rPr>
          <w:rFonts w:ascii="Times New Roman" w:hAnsi="Times New Roman" w:cs="Times New Roman"/>
          <w:sz w:val="24"/>
          <w:szCs w:val="24"/>
        </w:rPr>
        <w:fldChar w:fldCharType="begin"/>
      </w:r>
      <w:r w:rsidR="00D71CE0">
        <w:rPr>
          <w:rFonts w:ascii="Times New Roman" w:hAnsi="Times New Roman" w:cs="Times New Roman"/>
          <w:sz w:val="24"/>
          <w:szCs w:val="24"/>
        </w:rPr>
        <w:instrText xml:space="preserve"> ADDIN ZOTERO_ITEM CSL_CITATION {"citationID":"35boQHZP","properties":{"formattedCitation":"(Fleeger 2020)","plainCitation":"(Fleeger 2020)","noteIndex":0},"citationItems":[{"id":2755,"uris":["http://zotero.org/users/783258/items/RQD63U4F"],"uri":["http://zotero.org/users/783258/items/RQD63U4F"],"itemData":{"id":2755,"type":"article-journal","container-title":"Processes","issue":"12","note":"publisher: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D71CE0">
        <w:rPr>
          <w:rFonts w:ascii="Times New Roman" w:hAnsi="Times New Roman" w:cs="Times New Roman"/>
          <w:sz w:val="24"/>
          <w:szCs w:val="24"/>
        </w:rPr>
        <w:fldChar w:fldCharType="separate"/>
      </w:r>
      <w:r w:rsidR="00D71CE0" w:rsidRPr="00D71CE0">
        <w:rPr>
          <w:rFonts w:ascii="Times New Roman" w:hAnsi="Times New Roman" w:cs="Times New Roman"/>
          <w:sz w:val="24"/>
        </w:rPr>
        <w:t>(Fleeger 2020)</w:t>
      </w:r>
      <w:r w:rsidR="00D71CE0">
        <w:rPr>
          <w:rFonts w:ascii="Times New Roman" w:hAnsi="Times New Roman" w:cs="Times New Roman"/>
          <w:sz w:val="24"/>
          <w:szCs w:val="24"/>
        </w:rPr>
        <w:fldChar w:fldCharType="end"/>
      </w:r>
      <w:r>
        <w:rPr>
          <w:rFonts w:ascii="Times New Roman" w:hAnsi="Times New Roman" w:cs="Times New Roman"/>
          <w:sz w:val="24"/>
          <w:szCs w:val="24"/>
        </w:rPr>
        <w:t xml:space="preserve">. For example, lower marine mammal abundance may benefit small-bodied fishes due to reduced predation, but if marine mammals also consume larger </w:t>
      </w:r>
      <w:proofErr w:type="spellStart"/>
      <w:r>
        <w:rPr>
          <w:rFonts w:ascii="Times New Roman" w:hAnsi="Times New Roman" w:cs="Times New Roman"/>
          <w:sz w:val="24"/>
          <w:szCs w:val="24"/>
        </w:rPr>
        <w:t>mesopredators</w:t>
      </w:r>
      <w:proofErr w:type="spellEnd"/>
      <w:r>
        <w:rPr>
          <w:rFonts w:ascii="Times New Roman" w:hAnsi="Times New Roman" w:cs="Times New Roman"/>
          <w:sz w:val="24"/>
          <w:szCs w:val="24"/>
        </w:rPr>
        <w:t xml:space="preserve"> of small-bodied fishes, the net result of lower marine mammal abundance becomes unclear. While the previous analysis provided a coarse examination of how populations may respond</w:t>
      </w:r>
      <w:r w:rsidR="00811953">
        <w:rPr>
          <w:rFonts w:ascii="Times New Roman" w:hAnsi="Times New Roman" w:cs="Times New Roman"/>
          <w:sz w:val="24"/>
          <w:szCs w:val="24"/>
        </w:rPr>
        <w:t xml:space="preserve"> directly</w:t>
      </w:r>
      <w:r>
        <w:rPr>
          <w:rFonts w:ascii="Times New Roman" w:hAnsi="Times New Roman" w:cs="Times New Roman"/>
          <w:sz w:val="24"/>
          <w:szCs w:val="24"/>
        </w:rPr>
        <w:t xml:space="preserve"> to changing fishing and predation patterns, we wanted to also consider these indirect pathways.</w:t>
      </w:r>
    </w:p>
    <w:p w14:paraId="394CD2DC" w14:textId="77777777" w:rsidR="004C6877" w:rsidRDefault="00975FCD"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Rather than project a single possible manifestation of the food web forward through time with high uncertainty, we instead focused on how the food web would respond to perturbations within the neighborhood of its current assumed equilibrium. We did this assuming uncertainty in 1) predator-dependence of the </w:t>
      </w:r>
      <w:r w:rsidR="00A31EA3">
        <w:rPr>
          <w:rFonts w:ascii="Times New Roman" w:hAnsi="Times New Roman" w:cs="Times New Roman"/>
          <w:sz w:val="24"/>
          <w:szCs w:val="24"/>
        </w:rPr>
        <w:t xml:space="preserve">feeding </w:t>
      </w:r>
      <w:r>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Pr>
          <w:rFonts w:ascii="Times New Roman" w:hAnsi="Times New Roman" w:cs="Times New Roman"/>
          <w:sz w:val="24"/>
          <w:szCs w:val="24"/>
        </w:rPr>
        <w:t xml:space="preserve"> functional response, and 3) density-dependence of the mortality not captured by fishing or predation. We note that in </w:t>
      </w:r>
      <w:proofErr w:type="spellStart"/>
      <w:r>
        <w:rPr>
          <w:rFonts w:ascii="Times New Roman" w:hAnsi="Times New Roman" w:cs="Times New Roman"/>
          <w:sz w:val="24"/>
          <w:szCs w:val="24"/>
        </w:rPr>
        <w:t>Ecosim</w:t>
      </w:r>
      <w:proofErr w:type="spellEnd"/>
      <w:r>
        <w:rPr>
          <w:rFonts w:ascii="Times New Roman" w:hAnsi="Times New Roman" w:cs="Times New Roman"/>
          <w:sz w:val="24"/>
          <w:szCs w:val="24"/>
        </w:rPr>
        <w:t xml:space="preserve">, the standard process for projecting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models through time, users do not have the option to define all of these terms.</w:t>
      </w:r>
    </w:p>
    <w:p w14:paraId="4A1C189A" w14:textId="7FEF507E" w:rsidR="00CF20EB" w:rsidRDefault="003E578A" w:rsidP="00CF20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overcome this limitation, w</w:t>
      </w:r>
      <w:r w:rsidR="004C6877">
        <w:rPr>
          <w:rFonts w:ascii="Times New Roman" w:hAnsi="Times New Roman" w:cs="Times New Roman"/>
          <w:sz w:val="24"/>
          <w:szCs w:val="24"/>
        </w:rPr>
        <w:t xml:space="preserve">e </w:t>
      </w:r>
      <w:r w:rsidR="00CC75F8">
        <w:rPr>
          <w:rFonts w:ascii="Times New Roman" w:hAnsi="Times New Roman" w:cs="Times New Roman"/>
          <w:sz w:val="24"/>
          <w:szCs w:val="24"/>
        </w:rPr>
        <w:t xml:space="preserve">used our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model to parameterize </w:t>
      </w:r>
      <w:r w:rsidR="004C6877">
        <w:rPr>
          <w:rFonts w:ascii="Times New Roman" w:hAnsi="Times New Roman" w:cs="Times New Roman"/>
          <w:sz w:val="24"/>
          <w:szCs w:val="24"/>
        </w:rPr>
        <w:t>the generalized equilibrium model described in Essington &amp; Munch</w:t>
      </w:r>
      <w:r w:rsidR="006007C7">
        <w:rPr>
          <w:rFonts w:ascii="Times New Roman" w:hAnsi="Times New Roman" w:cs="Times New Roman"/>
          <w:sz w:val="24"/>
          <w:szCs w:val="24"/>
        </w:rPr>
        <w:t xml:space="preserve"> (2014). W</w:t>
      </w:r>
      <w:r w:rsidR="00A56691">
        <w:rPr>
          <w:rFonts w:ascii="Times New Roman" w:hAnsi="Times New Roman" w:cs="Times New Roman"/>
          <w:sz w:val="24"/>
          <w:szCs w:val="24"/>
        </w:rPr>
        <w:t xml:space="preserve">e </w:t>
      </w:r>
      <w:r w:rsidR="00DA219B">
        <w:rPr>
          <w:rFonts w:ascii="Times New Roman" w:hAnsi="Times New Roman" w:cs="Times New Roman"/>
          <w:sz w:val="24"/>
          <w:szCs w:val="24"/>
        </w:rPr>
        <w:t>calculate</w:t>
      </w:r>
      <w:r w:rsidR="00A56691">
        <w:rPr>
          <w:rFonts w:ascii="Times New Roman" w:hAnsi="Times New Roman" w:cs="Times New Roman"/>
          <w:sz w:val="24"/>
          <w:szCs w:val="24"/>
        </w:rPr>
        <w:t>d</w:t>
      </w:r>
      <w:r w:rsidR="00DA219B">
        <w:rPr>
          <w:rFonts w:ascii="Times New Roman" w:hAnsi="Times New Roman" w:cs="Times New Roman"/>
          <w:sz w:val="24"/>
          <w:szCs w:val="24"/>
        </w:rPr>
        <w:t xml:space="preserve"> the derivative of biomass of each fish or invertebrate functional gro</w:t>
      </w:r>
      <w:r w:rsidR="00C8346E">
        <w:rPr>
          <w:rFonts w:ascii="Times New Roman" w:hAnsi="Times New Roman" w:cs="Times New Roman"/>
          <w:sz w:val="24"/>
          <w:szCs w:val="24"/>
        </w:rPr>
        <w:t>up with respect to total</w:t>
      </w:r>
      <w:r w:rsidR="00DA219B">
        <w:rPr>
          <w:rFonts w:ascii="Times New Roman" w:hAnsi="Times New Roman" w:cs="Times New Roman"/>
          <w:sz w:val="24"/>
          <w:szCs w:val="24"/>
        </w:rPr>
        <w:t xml:space="preserve"> fishing mortality and the derivative of biomass with respect to the per capita growth rate of each predator group.</w:t>
      </w:r>
      <w:r w:rsidR="006007C7">
        <w:rPr>
          <w:rFonts w:ascii="Times New Roman" w:hAnsi="Times New Roman" w:cs="Times New Roman"/>
          <w:sz w:val="24"/>
          <w:szCs w:val="24"/>
        </w:rPr>
        <w:t xml:space="preserve"> T</w:t>
      </w:r>
      <w:r w:rsidR="005E2179">
        <w:rPr>
          <w:rFonts w:ascii="Times New Roman" w:hAnsi="Times New Roman" w:cs="Times New Roman"/>
          <w:sz w:val="24"/>
          <w:szCs w:val="24"/>
        </w:rPr>
        <w:t>he generalized model describes a system near equilibrium</w:t>
      </w:r>
      <w:r w:rsidR="006007C7">
        <w:rPr>
          <w:rFonts w:ascii="Times New Roman" w:hAnsi="Times New Roman" w:cs="Times New Roman"/>
          <w:sz w:val="24"/>
          <w:szCs w:val="24"/>
        </w:rPr>
        <w:t xml:space="preserve"> </w:t>
      </w:r>
      <w:r w:rsidR="006007C7">
        <w:rPr>
          <w:rFonts w:ascii="Times New Roman" w:hAnsi="Times New Roman" w:cs="Times New Roman"/>
          <w:sz w:val="24"/>
          <w:szCs w:val="24"/>
        </w:rPr>
        <w:t>(total biomass produced equals total mortality)</w:t>
      </w:r>
      <w:r w:rsidR="005E2179">
        <w:rPr>
          <w:rFonts w:ascii="Times New Roman" w:hAnsi="Times New Roman" w:cs="Times New Roman"/>
          <w:sz w:val="24"/>
          <w:szCs w:val="24"/>
        </w:rPr>
        <w:t xml:space="preserve">, so we can quantify how populations may respond to perturbations. </w:t>
      </w:r>
      <w:r w:rsidR="00CC75F8">
        <w:rPr>
          <w:rFonts w:ascii="Times New Roman" w:hAnsi="Times New Roman" w:cs="Times New Roman"/>
          <w:sz w:val="24"/>
          <w:szCs w:val="24"/>
        </w:rPr>
        <w:t xml:space="preserve">The generalized equilibrium model </w:t>
      </w:r>
      <w:r w:rsidR="005E2179">
        <w:rPr>
          <w:rFonts w:ascii="Times New Roman" w:hAnsi="Times New Roman" w:cs="Times New Roman"/>
          <w:sz w:val="24"/>
          <w:szCs w:val="24"/>
        </w:rPr>
        <w:t>assume</w:t>
      </w:r>
      <w:r w:rsidR="00CC75F8">
        <w:rPr>
          <w:rFonts w:ascii="Times New Roman" w:hAnsi="Times New Roman" w:cs="Times New Roman"/>
          <w:sz w:val="24"/>
          <w:szCs w:val="24"/>
        </w:rPr>
        <w:t>s</w:t>
      </w:r>
      <w:r w:rsidR="00CF20EB">
        <w:rPr>
          <w:rFonts w:ascii="Times New Roman" w:hAnsi="Times New Roman" w:cs="Times New Roman"/>
          <w:sz w:val="24"/>
          <w:szCs w:val="24"/>
        </w:rPr>
        <w:t xml:space="preserve"> that the per capita rate of population </w:t>
      </w:r>
      <w:proofErr w:type="gramStart"/>
      <w:r w:rsidR="00CF20EB">
        <w:rPr>
          <w:rFonts w:ascii="Times New Roman" w:hAnsi="Times New Roman" w:cs="Times New Roman"/>
          <w:sz w:val="24"/>
          <w:szCs w:val="24"/>
        </w:rPr>
        <w:t>change</w:t>
      </w:r>
      <w:proofErr w:type="gramEnd"/>
      <w:r w:rsidR="00CF20EB">
        <w:rPr>
          <w:rFonts w:ascii="Times New Roman" w:hAnsi="Times New Roman" w:cs="Times New Roman"/>
          <w:sz w:val="24"/>
          <w:szCs w:val="24"/>
        </w:rPr>
        <w:t xml:space="preserve"> of group </w:t>
      </w:r>
      <w:proofErr w:type="spellStart"/>
      <w:r w:rsidR="005E2179">
        <w:rPr>
          <w:rFonts w:ascii="Times New Roman" w:hAnsi="Times New Roman" w:cs="Times New Roman"/>
          <w:i/>
          <w:sz w:val="24"/>
          <w:szCs w:val="24"/>
        </w:rPr>
        <w:t>i</w:t>
      </w:r>
      <w:proofErr w:type="spellEnd"/>
      <w:r w:rsidR="005E2179">
        <w:rPr>
          <w:rFonts w:ascii="Times New Roman" w:hAnsi="Times New Roman" w:cs="Times New Roman"/>
          <w:sz w:val="24"/>
          <w:szCs w:val="24"/>
        </w:rPr>
        <w:t xml:space="preserve">, </w:t>
      </w:r>
      <w:proofErr w:type="spellStart"/>
      <w:r w:rsidR="005E2179">
        <w:rPr>
          <w:rFonts w:ascii="Times New Roman" w:hAnsi="Times New Roman" w:cs="Times New Roman"/>
          <w:i/>
          <w:sz w:val="24"/>
          <w:szCs w:val="24"/>
        </w:rPr>
        <w:t>r</w:t>
      </w:r>
      <w:r w:rsidR="005E2179">
        <w:rPr>
          <w:rFonts w:ascii="Times New Roman" w:hAnsi="Times New Roman" w:cs="Times New Roman"/>
          <w:i/>
          <w:sz w:val="24"/>
          <w:szCs w:val="24"/>
          <w:vertAlign w:val="subscript"/>
        </w:rPr>
        <w:t>i</w:t>
      </w:r>
      <w:proofErr w:type="spellEnd"/>
      <w:r w:rsidR="005E2179">
        <w:rPr>
          <w:rFonts w:ascii="Times New Roman" w:hAnsi="Times New Roman" w:cs="Times New Roman"/>
          <w:sz w:val="24"/>
          <w:szCs w:val="24"/>
        </w:rPr>
        <w:t>,</w:t>
      </w:r>
      <w:r w:rsidR="005E2179">
        <w:rPr>
          <w:rFonts w:ascii="Times New Roman" w:hAnsi="Times New Roman" w:cs="Times New Roman"/>
          <w:i/>
          <w:sz w:val="24"/>
          <w:szCs w:val="24"/>
        </w:rPr>
        <w:t xml:space="preserve"> </w:t>
      </w:r>
      <w:r w:rsidR="005E2179">
        <w:rPr>
          <w:rFonts w:ascii="Times New Roman" w:hAnsi="Times New Roman" w:cs="Times New Roman"/>
          <w:sz w:val="24"/>
          <w:szCs w:val="24"/>
        </w:rPr>
        <w:t xml:space="preserve">as a function </w:t>
      </w:r>
      <w:r w:rsidR="00397736">
        <w:rPr>
          <w:rFonts w:ascii="Times New Roman" w:hAnsi="Times New Roman" w:cs="Times New Roman"/>
          <w:sz w:val="24"/>
          <w:szCs w:val="24"/>
        </w:rPr>
        <w:t>of the vector of biomass for all functional groups</w:t>
      </w:r>
      <w:r w:rsidR="005E2179">
        <w:rPr>
          <w:rFonts w:ascii="Times New Roman" w:hAnsi="Times New Roman" w:cs="Times New Roman"/>
          <w:sz w:val="24"/>
          <w:szCs w:val="24"/>
        </w:rPr>
        <w:t xml:space="preserve">, </w:t>
      </w:r>
      <w:r w:rsidR="005E2179">
        <w:rPr>
          <w:rFonts w:ascii="Times New Roman" w:hAnsi="Times New Roman" w:cs="Times New Roman"/>
          <w:b/>
          <w:i/>
          <w:sz w:val="24"/>
          <w:szCs w:val="24"/>
        </w:rPr>
        <w:t>B</w:t>
      </w:r>
      <w:r w:rsidR="005E2179">
        <w:rPr>
          <w:rFonts w:ascii="Times New Roman" w:hAnsi="Times New Roman" w:cs="Times New Roman"/>
          <w:sz w:val="24"/>
          <w:szCs w:val="24"/>
        </w:rPr>
        <w:t>,</w:t>
      </w:r>
      <w:r w:rsidR="005E2179">
        <w:rPr>
          <w:rFonts w:ascii="Times New Roman" w:hAnsi="Times New Roman" w:cs="Times New Roman"/>
          <w:b/>
          <w:i/>
          <w:sz w:val="24"/>
          <w:szCs w:val="24"/>
        </w:rPr>
        <w:t xml:space="preserve"> </w:t>
      </w:r>
      <w:r w:rsidR="00CF20EB">
        <w:rPr>
          <w:rFonts w:ascii="Times New Roman" w:hAnsi="Times New Roman" w:cs="Times New Roman"/>
          <w:sz w:val="24"/>
          <w:szCs w:val="24"/>
        </w:rPr>
        <w:t>is:</w:t>
      </w:r>
    </w:p>
    <w:p w14:paraId="7BB8A608" w14:textId="7E9B0D39" w:rsidR="00CF20EB" w:rsidRPr="00047859" w:rsidRDefault="00B26EC7" w:rsidP="00047859">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ctrlPr>
              <w:rPr>
                <w:rFonts w:ascii="Cambria Math" w:hAnsi="Cambria Math" w:cs="Times New Roman"/>
                <w:b/>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GCE</m:t>
            </m:r>
          </m:e>
          <m:sub>
            <m:r>
              <w:rPr>
                <w:rFonts w:ascii="Cambria Math" w:hAnsi="Cambria Math" w:cs="Times New Roman"/>
                <w:sz w:val="24"/>
                <w:szCs w:val="24"/>
              </w:rPr>
              <m:t>i</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up>
        </m:sSup>
      </m:oMath>
    </w:p>
    <w:p w14:paraId="6250E68E" w14:textId="5FA35632" w:rsidR="00047859" w:rsidRPr="00A56691" w:rsidRDefault="00CF20EB" w:rsidP="00C8346E">
      <w:pPr>
        <w:spacing w:after="0" w:line="480" w:lineRule="auto"/>
        <w:rPr>
          <w:rFonts w:ascii="Times New Roman" w:hAnsi="Times New Roman" w:cs="Times New Roman"/>
          <w:sz w:val="24"/>
          <w:szCs w:val="24"/>
        </w:rPr>
      </w:pPr>
      <w:r>
        <w:rPr>
          <w:rFonts w:ascii="Times New Roman" w:hAnsi="Times New Roman" w:cs="Times New Roman"/>
          <w:sz w:val="24"/>
          <w:szCs w:val="24"/>
        </w:rPr>
        <w:t>In equation</w:t>
      </w:r>
      <w:r w:rsidR="00047859">
        <w:rPr>
          <w:rFonts w:ascii="Times New Roman" w:hAnsi="Times New Roman" w:cs="Times New Roman"/>
          <w:sz w:val="24"/>
          <w:szCs w:val="24"/>
        </w:rPr>
        <w:t xml:space="preserve"> (2)</w:t>
      </w:r>
      <w:r>
        <w:rPr>
          <w:rFonts w:ascii="Times New Roman" w:hAnsi="Times New Roman" w:cs="Times New Roman"/>
          <w:sz w:val="24"/>
          <w:szCs w:val="24"/>
        </w:rPr>
        <w:t xml:space="preserve">, </w:t>
      </w:r>
      <w:r w:rsidR="005E2179">
        <w:rPr>
          <w:rFonts w:ascii="Times New Roman" w:hAnsi="Times New Roman" w:cs="Times New Roman"/>
          <w:sz w:val="24"/>
          <w:szCs w:val="24"/>
        </w:rPr>
        <w:t>the first term</w:t>
      </w:r>
      <w:r w:rsidR="00C8346E">
        <w:rPr>
          <w:rFonts w:ascii="Times New Roman" w:hAnsi="Times New Roman" w:cs="Times New Roman"/>
          <w:sz w:val="24"/>
          <w:szCs w:val="24"/>
        </w:rPr>
        <w:t xml:space="preserve"> describes biomass gains from consumption</w:t>
      </w:r>
      <w:r w:rsidR="005E2179">
        <w:rPr>
          <w:rFonts w:ascii="Times New Roman" w:hAnsi="Times New Roman" w:cs="Times New Roman"/>
          <w:sz w:val="24"/>
          <w:szCs w:val="24"/>
        </w:rPr>
        <w:t xml:space="preserve">, the second term </w:t>
      </w:r>
      <w:r w:rsidR="00C8346E">
        <w:rPr>
          <w:rFonts w:ascii="Times New Roman" w:hAnsi="Times New Roman" w:cs="Times New Roman"/>
          <w:sz w:val="24"/>
          <w:szCs w:val="24"/>
        </w:rPr>
        <w:t xml:space="preserve">describes biomass loss from </w:t>
      </w:r>
      <w:r w:rsidR="005E2179">
        <w:rPr>
          <w:rFonts w:ascii="Times New Roman" w:hAnsi="Times New Roman" w:cs="Times New Roman"/>
          <w:sz w:val="24"/>
          <w:szCs w:val="24"/>
        </w:rPr>
        <w:t>predators, and the thi</w:t>
      </w:r>
      <w:r w:rsidR="006007C7">
        <w:rPr>
          <w:rFonts w:ascii="Times New Roman" w:hAnsi="Times New Roman" w:cs="Times New Roman"/>
          <w:sz w:val="24"/>
          <w:szCs w:val="24"/>
        </w:rPr>
        <w:t xml:space="preserve">rd term is other mortality (not </w:t>
      </w:r>
      <w:r w:rsidR="005E2179">
        <w:rPr>
          <w:rFonts w:ascii="Times New Roman" w:hAnsi="Times New Roman" w:cs="Times New Roman"/>
          <w:sz w:val="24"/>
          <w:szCs w:val="24"/>
        </w:rPr>
        <w:t xml:space="preserve">fishing </w:t>
      </w:r>
      <w:r w:rsidR="006007C7">
        <w:rPr>
          <w:rFonts w:ascii="Times New Roman" w:hAnsi="Times New Roman" w:cs="Times New Roman"/>
          <w:sz w:val="24"/>
          <w:szCs w:val="24"/>
        </w:rPr>
        <w:t xml:space="preserve">or </w:t>
      </w:r>
      <w:r w:rsidR="005E2179">
        <w:rPr>
          <w:rFonts w:ascii="Times New Roman" w:hAnsi="Times New Roman" w:cs="Times New Roman"/>
          <w:sz w:val="24"/>
          <w:szCs w:val="24"/>
        </w:rPr>
        <w:t xml:space="preserve">predation). </w:t>
      </w:r>
      <w:proofErr w:type="spellStart"/>
      <w:r>
        <w:rPr>
          <w:rFonts w:ascii="Times New Roman" w:hAnsi="Times New Roman" w:cs="Times New Roman"/>
          <w:i/>
          <w:sz w:val="24"/>
          <w:szCs w:val="24"/>
        </w:rPr>
        <w:t>GCE</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gross conversion efficiency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or the production to consumption ratio</w:t>
      </w:r>
      <w:r w:rsidR="00CC75F8">
        <w:rPr>
          <w:rFonts w:ascii="Times New Roman" w:hAnsi="Times New Roman" w:cs="Times New Roman"/>
          <w:sz w:val="24"/>
          <w:szCs w:val="24"/>
        </w:rPr>
        <w:t xml:space="preserve"> (</w:t>
      </w:r>
      <w:proofErr w:type="spellStart"/>
      <w:r w:rsidR="00CC75F8">
        <w:rPr>
          <w:rFonts w:ascii="Times New Roman" w:hAnsi="Times New Roman" w:cs="Times New Roman"/>
          <w:i/>
          <w:sz w:val="24"/>
          <w:szCs w:val="24"/>
        </w:rPr>
        <w:t>GCE</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i/>
          <w:sz w:val="24"/>
          <w:szCs w:val="24"/>
          <w:vertAlign w:val="subscript"/>
        </w:rPr>
        <w:t xml:space="preserve"> = </w:t>
      </w:r>
      <w:proofErr w:type="spellStart"/>
      <w:r w:rsidR="00CC75F8">
        <w:rPr>
          <w:rFonts w:ascii="Times New Roman" w:hAnsi="Times New Roman" w:cs="Times New Roman"/>
          <w:i/>
          <w:sz w:val="24"/>
          <w:szCs w:val="24"/>
        </w:rPr>
        <w:t>PB</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sz w:val="24"/>
          <w:szCs w:val="24"/>
        </w:rPr>
        <w:t>/</w:t>
      </w:r>
      <w:proofErr w:type="spellStart"/>
      <w:r w:rsidR="00CC75F8">
        <w:rPr>
          <w:rFonts w:ascii="Times New Roman" w:hAnsi="Times New Roman" w:cs="Times New Roman"/>
          <w:i/>
          <w:sz w:val="24"/>
          <w:szCs w:val="24"/>
        </w:rPr>
        <w:t>QB</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sz w:val="24"/>
          <w:szCs w:val="24"/>
        </w:rPr>
        <w:t>)</w:t>
      </w:r>
      <w:r>
        <w:rPr>
          <w:rFonts w:ascii="Times New Roman" w:hAnsi="Times New Roman" w:cs="Times New Roman"/>
          <w:sz w:val="24"/>
          <w:szCs w:val="24"/>
        </w:rPr>
        <w:t xml:space="preserve">. </w:t>
      </w:r>
      <w:r w:rsidR="00C8346E">
        <w:rPr>
          <w:rFonts w:ascii="Times New Roman" w:hAnsi="Times New Roman" w:cs="Times New Roman"/>
          <w:sz w:val="24"/>
          <w:szCs w:val="24"/>
        </w:rPr>
        <w:t xml:space="preserve">The parameter </w:t>
      </w:r>
      <w:proofErr w:type="spellStart"/>
      <w:r w:rsidR="00C8346E">
        <w:rPr>
          <w:rFonts w:ascii="Times New Roman" w:hAnsi="Times New Roman" w:cs="Times New Roman"/>
          <w:i/>
          <w:sz w:val="24"/>
          <w:szCs w:val="24"/>
        </w:rPr>
        <w:t>γ</w:t>
      </w:r>
      <w:r w:rsidR="00C8346E">
        <w:rPr>
          <w:rFonts w:ascii="Times New Roman" w:hAnsi="Times New Roman" w:cs="Times New Roman"/>
          <w:i/>
          <w:sz w:val="24"/>
          <w:szCs w:val="24"/>
          <w:vertAlign w:val="subscript"/>
        </w:rPr>
        <w:t>i</w:t>
      </w:r>
      <w:proofErr w:type="spellEnd"/>
      <w:r w:rsidR="00C8346E">
        <w:rPr>
          <w:rFonts w:ascii="Times New Roman" w:hAnsi="Times New Roman" w:cs="Times New Roman"/>
          <w:sz w:val="24"/>
          <w:szCs w:val="24"/>
        </w:rPr>
        <w:t xml:space="preserve"> dictates the density-dependence of the other mortality</w:t>
      </w:r>
      <w:r w:rsidR="001E30E6">
        <w:rPr>
          <w:rFonts w:ascii="Times New Roman" w:hAnsi="Times New Roman" w:cs="Times New Roman"/>
          <w:sz w:val="24"/>
          <w:szCs w:val="24"/>
        </w:rPr>
        <w:t xml:space="preserve"> </w:t>
      </w:r>
      <w:r w:rsidR="00EE3118">
        <w:rPr>
          <w:rFonts w:ascii="Times New Roman" w:hAnsi="Times New Roman" w:cs="Times New Roman"/>
          <w:sz w:val="24"/>
          <w:szCs w:val="24"/>
        </w:rPr>
        <w:t xml:space="preserve">(e.g., disease, predation and fishing outside model domain, senescence) </w:t>
      </w:r>
      <w:r w:rsidR="001E30E6">
        <w:rPr>
          <w:rFonts w:ascii="Times New Roman" w:hAnsi="Times New Roman" w:cs="Times New Roman"/>
          <w:sz w:val="24"/>
          <w:szCs w:val="24"/>
        </w:rPr>
        <w:t xml:space="preserve">and is drawn from a random distribution (Table </w:t>
      </w:r>
      <w:r w:rsidR="007F12C1">
        <w:rPr>
          <w:rFonts w:ascii="Times New Roman" w:hAnsi="Times New Roman" w:cs="Times New Roman"/>
          <w:sz w:val="24"/>
          <w:szCs w:val="24"/>
        </w:rPr>
        <w:t>1</w:t>
      </w:r>
      <w:r w:rsidR="001E30E6">
        <w:rPr>
          <w:rFonts w:ascii="Times New Roman" w:hAnsi="Times New Roman" w:cs="Times New Roman"/>
          <w:sz w:val="24"/>
          <w:szCs w:val="24"/>
        </w:rPr>
        <w:t>)</w:t>
      </w:r>
      <w:r w:rsidR="00C8346E">
        <w:rPr>
          <w:rFonts w:ascii="Times New Roman" w:hAnsi="Times New Roman" w:cs="Times New Roman"/>
          <w:sz w:val="24"/>
          <w:szCs w:val="24"/>
        </w:rPr>
        <w:t xml:space="preserve">. </w:t>
      </w:r>
      <w:r w:rsidR="00C8346E">
        <w:rPr>
          <w:rFonts w:ascii="Times New Roman" w:hAnsi="Times New Roman" w:cs="Times New Roman"/>
          <w:i/>
          <w:sz w:val="24"/>
          <w:szCs w:val="24"/>
        </w:rPr>
        <w:t>M</w:t>
      </w:r>
      <w:proofErr w:type="gramStart"/>
      <w:r w:rsidR="00C8346E">
        <w:rPr>
          <w:rFonts w:ascii="Times New Roman" w:hAnsi="Times New Roman" w:cs="Times New Roman"/>
          <w:i/>
          <w:sz w:val="24"/>
          <w:szCs w:val="24"/>
          <w:vertAlign w:val="subscript"/>
        </w:rPr>
        <w:t>0,i</w:t>
      </w:r>
      <w:proofErr w:type="gramEnd"/>
      <w:r w:rsidR="00C8346E">
        <w:rPr>
          <w:rFonts w:ascii="Times New Roman" w:hAnsi="Times New Roman" w:cs="Times New Roman"/>
          <w:sz w:val="24"/>
          <w:szCs w:val="24"/>
        </w:rPr>
        <w:t xml:space="preserve"> scales the other mortality</w:t>
      </w:r>
      <w:r w:rsidR="00CC75F8">
        <w:rPr>
          <w:rFonts w:ascii="Times New Roman" w:hAnsi="Times New Roman" w:cs="Times New Roman"/>
          <w:sz w:val="24"/>
          <w:szCs w:val="24"/>
        </w:rPr>
        <w:t xml:space="preserve"> and is solved for using the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biomass and mortality rate accounted for by the </w:t>
      </w:r>
      <w:proofErr w:type="spellStart"/>
      <w:r w:rsidR="00CC75F8">
        <w:rPr>
          <w:rFonts w:ascii="Times New Roman" w:hAnsi="Times New Roman" w:cs="Times New Roman"/>
          <w:sz w:val="24"/>
          <w:szCs w:val="24"/>
        </w:rPr>
        <w:t>ecotrophic</w:t>
      </w:r>
      <w:proofErr w:type="spellEnd"/>
      <w:r w:rsidR="00CC75F8">
        <w:rPr>
          <w:rFonts w:ascii="Times New Roman" w:hAnsi="Times New Roman" w:cs="Times New Roman"/>
          <w:sz w:val="24"/>
          <w:szCs w:val="24"/>
        </w:rPr>
        <w:t xml:space="preserve"> efficiency term.</w:t>
      </w:r>
      <w:r w:rsidR="00A56691">
        <w:rPr>
          <w:rFonts w:ascii="Times New Roman" w:hAnsi="Times New Roman" w:cs="Times New Roman"/>
          <w:sz w:val="24"/>
          <w:szCs w:val="24"/>
        </w:rPr>
        <w:t xml:space="preserve"> Notably, the </w:t>
      </w:r>
      <w:r w:rsidR="00A56691">
        <w:rPr>
          <w:rFonts w:ascii="Times New Roman" w:hAnsi="Times New Roman" w:cs="Times New Roman"/>
          <w:sz w:val="24"/>
          <w:szCs w:val="24"/>
        </w:rPr>
        <w:lastRenderedPageBreak/>
        <w:t xml:space="preserve">generalized equilibrium model described by equation (2) does </w:t>
      </w:r>
      <w:r w:rsidR="00A56691">
        <w:rPr>
          <w:rFonts w:ascii="Times New Roman" w:hAnsi="Times New Roman" w:cs="Times New Roman"/>
          <w:i/>
          <w:sz w:val="24"/>
          <w:szCs w:val="24"/>
        </w:rPr>
        <w:t>not</w:t>
      </w:r>
      <w:r w:rsidR="00A56691">
        <w:rPr>
          <w:rFonts w:ascii="Times New Roman" w:hAnsi="Times New Roman" w:cs="Times New Roman"/>
          <w:sz w:val="24"/>
          <w:szCs w:val="24"/>
        </w:rPr>
        <w:t xml:space="preserve"> include a dynamic relationship between juvenile and adult functional </w:t>
      </w:r>
      <w:commentRangeStart w:id="3"/>
      <w:r w:rsidR="00A56691">
        <w:rPr>
          <w:rFonts w:ascii="Times New Roman" w:hAnsi="Times New Roman" w:cs="Times New Roman"/>
          <w:sz w:val="24"/>
          <w:szCs w:val="24"/>
        </w:rPr>
        <w:t>groups</w:t>
      </w:r>
      <w:commentRangeEnd w:id="3"/>
      <w:r w:rsidR="00A56691">
        <w:rPr>
          <w:rStyle w:val="CommentReference"/>
        </w:rPr>
        <w:commentReference w:id="3"/>
      </w:r>
      <w:r w:rsidR="00A56691">
        <w:rPr>
          <w:rFonts w:ascii="Times New Roman" w:hAnsi="Times New Roman" w:cs="Times New Roman"/>
          <w:sz w:val="24"/>
          <w:szCs w:val="24"/>
        </w:rPr>
        <w:t xml:space="preserve">. </w:t>
      </w:r>
    </w:p>
    <w:p w14:paraId="780FA2D2" w14:textId="0B41BDEA" w:rsidR="001310BD" w:rsidRDefault="005E2179" w:rsidP="001310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E578A">
        <w:rPr>
          <w:rFonts w:ascii="Times New Roman" w:hAnsi="Times New Roman" w:cs="Times New Roman"/>
          <w:sz w:val="24"/>
          <w:szCs w:val="24"/>
        </w:rPr>
        <w:t>functional response</w:t>
      </w:r>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f</w:t>
      </w:r>
      <w:r>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j</w:t>
      </w:r>
      <w:proofErr w:type="spellEnd"/>
      <w:r>
        <w:rPr>
          <w:rFonts w:ascii="Times New Roman" w:hAnsi="Times New Roman" w:cs="Times New Roman"/>
          <w:i/>
          <w:sz w:val="24"/>
          <w:szCs w:val="24"/>
        </w:rPr>
        <w:t>)</w:t>
      </w:r>
      <w:r w:rsidR="00047859">
        <w:rPr>
          <w:rFonts w:ascii="Times New Roman" w:hAnsi="Times New Roman" w:cs="Times New Roman"/>
          <w:sz w:val="24"/>
          <w:szCs w:val="24"/>
        </w:rPr>
        <w:t xml:space="preserve"> in equation (2)</w:t>
      </w:r>
      <w:r>
        <w:rPr>
          <w:rFonts w:ascii="Times New Roman" w:hAnsi="Times New Roman" w:cs="Times New Roman"/>
          <w:sz w:val="24"/>
          <w:szCs w:val="24"/>
        </w:rPr>
        <w:t xml:space="preserve"> describes the </w:t>
      </w:r>
      <w:r w:rsidR="00047859">
        <w:rPr>
          <w:rFonts w:ascii="Times New Roman" w:hAnsi="Times New Roman" w:cs="Times New Roman"/>
          <w:sz w:val="24"/>
          <w:szCs w:val="24"/>
        </w:rPr>
        <w:t xml:space="preserve">per prey </w:t>
      </w:r>
      <w:r>
        <w:rPr>
          <w:rFonts w:ascii="Times New Roman" w:hAnsi="Times New Roman" w:cs="Times New Roman"/>
          <w:sz w:val="24"/>
          <w:szCs w:val="24"/>
        </w:rPr>
        <w:t xml:space="preserve">consumption rate of </w:t>
      </w:r>
      <w:r w:rsidR="00047859">
        <w:rPr>
          <w:rFonts w:ascii="Times New Roman" w:hAnsi="Times New Roman" w:cs="Times New Roman"/>
          <w:sz w:val="24"/>
          <w:szCs w:val="24"/>
        </w:rPr>
        <w:t xml:space="preserve">prey </w:t>
      </w:r>
      <w:proofErr w:type="spellStart"/>
      <w:r w:rsidR="00047859">
        <w:rPr>
          <w:rFonts w:ascii="Times New Roman" w:hAnsi="Times New Roman" w:cs="Times New Roman"/>
          <w:i/>
          <w:sz w:val="24"/>
          <w:szCs w:val="24"/>
        </w:rPr>
        <w:t>i</w:t>
      </w:r>
      <w:proofErr w:type="spellEnd"/>
      <w:r w:rsidR="00047859">
        <w:rPr>
          <w:rFonts w:ascii="Times New Roman" w:hAnsi="Times New Roman" w:cs="Times New Roman"/>
          <w:sz w:val="24"/>
          <w:szCs w:val="24"/>
        </w:rPr>
        <w:t xml:space="preserve"> by predator </w:t>
      </w:r>
      <w:r w:rsidR="00047859">
        <w:rPr>
          <w:rFonts w:ascii="Times New Roman" w:hAnsi="Times New Roman" w:cs="Times New Roman"/>
          <w:i/>
          <w:sz w:val="24"/>
          <w:szCs w:val="24"/>
        </w:rPr>
        <w:t xml:space="preserve">j </w:t>
      </w:r>
      <w:r w:rsidR="00047859">
        <w:rPr>
          <w:rFonts w:ascii="Times New Roman" w:hAnsi="Times New Roman" w:cs="Times New Roman"/>
          <w:sz w:val="24"/>
          <w:szCs w:val="24"/>
        </w:rPr>
        <w:t>and is approximated as:</w:t>
      </w:r>
    </w:p>
    <w:p w14:paraId="4C38C03D" w14:textId="1AAA2FF9" w:rsidR="00047859" w:rsidRPr="001310BD" w:rsidRDefault="00B26EC7" w:rsidP="001310BD">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sup>
        </m:sSubSup>
      </m:oMath>
    </w:p>
    <w:p w14:paraId="5B8D58E4" w14:textId="7C4ACB7E" w:rsidR="00047859" w:rsidRPr="00047859" w:rsidRDefault="0004785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α</w:t>
      </w:r>
      <w:proofErr w:type="spellStart"/>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is the effective search and capture rate of predator </w:t>
      </w:r>
      <w:r>
        <w:rPr>
          <w:rFonts w:ascii="Times New Roman" w:hAnsi="Times New Roman" w:cs="Times New Roman"/>
          <w:i/>
          <w:sz w:val="24"/>
          <w:szCs w:val="24"/>
        </w:rPr>
        <w:t>j</w:t>
      </w:r>
      <w:r>
        <w:rPr>
          <w:rFonts w:ascii="Times New Roman" w:hAnsi="Times New Roman" w:cs="Times New Roman"/>
          <w:sz w:val="24"/>
          <w:szCs w:val="24"/>
        </w:rPr>
        <w:t xml:space="preserve"> on prey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describes the prey dependence (from </w:t>
      </w:r>
      <w:proofErr w:type="spellStart"/>
      <w:r w:rsidR="00F70F97" w:rsidRPr="00047859">
        <w:rPr>
          <w:rFonts w:ascii="Times New Roman" w:hAnsi="Times New Roman" w:cs="Times New Roman"/>
          <w:i/>
          <w:sz w:val="24"/>
          <w:szCs w:val="24"/>
        </w:rPr>
        <w:t>θ</w:t>
      </w:r>
      <w:r w:rsidR="00F70F97">
        <w:rPr>
          <w:rFonts w:ascii="Times New Roman" w:hAnsi="Times New Roman" w:cs="Times New Roman"/>
          <w:i/>
          <w:sz w:val="24"/>
          <w:szCs w:val="24"/>
          <w:vertAlign w:val="subscript"/>
        </w:rPr>
        <w:t>ij</w:t>
      </w:r>
      <w:proofErr w:type="spellEnd"/>
      <w:r w:rsidR="00F70F97">
        <w:rPr>
          <w:rFonts w:ascii="Times New Roman" w:hAnsi="Times New Roman" w:cs="Times New Roman"/>
          <w:sz w:val="24"/>
          <w:szCs w:val="24"/>
        </w:rPr>
        <w:t xml:space="preserve"> = </w:t>
      </w:r>
      <w:r>
        <w:rPr>
          <w:rFonts w:ascii="Times New Roman" w:hAnsi="Times New Roman" w:cs="Times New Roman"/>
          <w:sz w:val="24"/>
          <w:szCs w:val="24"/>
        </w:rPr>
        <w:t xml:space="preserve">1 as a linear response to 0 as a fully saturated response), and </w:t>
      </w:r>
      <w:proofErr w:type="spellStart"/>
      <w:r>
        <w:rPr>
          <w:rFonts w:ascii="Times New Roman" w:hAnsi="Times New Roman" w:cs="Times New Roman"/>
          <w:i/>
          <w:sz w:val="24"/>
          <w:szCs w:val="24"/>
        </w:rPr>
        <w:t>ε</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describes the predator dependence</w:t>
      </w:r>
      <w:r w:rsidR="00C8346E">
        <w:rPr>
          <w:rFonts w:ascii="Times New Roman" w:hAnsi="Times New Roman" w:cs="Times New Roman"/>
          <w:sz w:val="24"/>
          <w:szCs w:val="24"/>
        </w:rPr>
        <w:t xml:space="preserve"> (also between 0 and 1)</w:t>
      </w:r>
      <w:r>
        <w:rPr>
          <w:rFonts w:ascii="Times New Roman" w:hAnsi="Times New Roman" w:cs="Times New Roman"/>
          <w:sz w:val="24"/>
          <w:szCs w:val="24"/>
        </w:rPr>
        <w:t xml:space="preserve">. The parameters </w:t>
      </w:r>
      <w:r w:rsidRPr="00047859">
        <w:rPr>
          <w:rFonts w:ascii="Times New Roman" w:hAnsi="Times New Roman" w:cs="Times New Roman"/>
          <w:i/>
          <w:sz w:val="24"/>
          <w:szCs w:val="24"/>
        </w:rPr>
        <w:t>θ</w:t>
      </w:r>
      <w:r>
        <w:rPr>
          <w:rFonts w:ascii="Times New Roman" w:hAnsi="Times New Roman" w:cs="Times New Roman"/>
          <w:sz w:val="24"/>
          <w:szCs w:val="24"/>
        </w:rPr>
        <w:t xml:space="preserve"> and </w:t>
      </w:r>
      <w:r>
        <w:rPr>
          <w:rFonts w:ascii="Times New Roman" w:hAnsi="Times New Roman" w:cs="Times New Roman"/>
          <w:i/>
          <w:sz w:val="24"/>
          <w:szCs w:val="24"/>
        </w:rPr>
        <w:t xml:space="preserve">ε </w:t>
      </w:r>
      <w:r>
        <w:rPr>
          <w:rFonts w:ascii="Times New Roman" w:hAnsi="Times New Roman" w:cs="Times New Roman"/>
          <w:sz w:val="24"/>
          <w:szCs w:val="24"/>
        </w:rPr>
        <w:t>are drawn randomly from distributions</w:t>
      </w:r>
      <w:r w:rsidR="00C8346E">
        <w:rPr>
          <w:rFonts w:ascii="Times New Roman" w:hAnsi="Times New Roman" w:cs="Times New Roman"/>
          <w:sz w:val="24"/>
          <w:szCs w:val="24"/>
        </w:rPr>
        <w:t xml:space="preserve"> for each predator-prey pair</w:t>
      </w:r>
      <w:r w:rsidR="001E30E6">
        <w:rPr>
          <w:rFonts w:ascii="Times New Roman" w:hAnsi="Times New Roman" w:cs="Times New Roman"/>
          <w:sz w:val="24"/>
          <w:szCs w:val="24"/>
        </w:rPr>
        <w:t xml:space="preserve"> (Table </w:t>
      </w:r>
      <w:r w:rsidR="00A56691">
        <w:rPr>
          <w:rFonts w:ascii="Times New Roman" w:hAnsi="Times New Roman" w:cs="Times New Roman"/>
          <w:sz w:val="24"/>
          <w:szCs w:val="24"/>
        </w:rPr>
        <w:t>1</w:t>
      </w:r>
      <w:r w:rsidR="001E30E6">
        <w:rPr>
          <w:rFonts w:ascii="Times New Roman" w:hAnsi="Times New Roman" w:cs="Times New Roman"/>
          <w:sz w:val="24"/>
          <w:szCs w:val="24"/>
        </w:rPr>
        <w:t>)</w:t>
      </w:r>
      <w:r>
        <w:rPr>
          <w:rFonts w:ascii="Times New Roman" w:hAnsi="Times New Roman" w:cs="Times New Roman"/>
          <w:sz w:val="24"/>
          <w:szCs w:val="24"/>
        </w:rPr>
        <w:t xml:space="preserve">, and </w:t>
      </w:r>
      <w:r w:rsidRPr="00047859">
        <w:rPr>
          <w:rFonts w:ascii="Times New Roman" w:hAnsi="Times New Roman" w:cs="Times New Roman"/>
          <w:i/>
          <w:sz w:val="24"/>
          <w:szCs w:val="24"/>
        </w:rPr>
        <w:t>α</w:t>
      </w:r>
      <w:r>
        <w:rPr>
          <w:rFonts w:ascii="Times New Roman" w:hAnsi="Times New Roman" w:cs="Times New Roman"/>
          <w:sz w:val="24"/>
          <w:szCs w:val="24"/>
        </w:rPr>
        <w:t xml:space="preserve"> is </w:t>
      </w:r>
      <w:r w:rsidR="00CC75F8">
        <w:rPr>
          <w:rFonts w:ascii="Times New Roman" w:hAnsi="Times New Roman" w:cs="Times New Roman"/>
          <w:sz w:val="24"/>
          <w:szCs w:val="24"/>
        </w:rPr>
        <w:t>solved for</w:t>
      </w:r>
      <w:r>
        <w:rPr>
          <w:rFonts w:ascii="Times New Roman" w:hAnsi="Times New Roman" w:cs="Times New Roman"/>
          <w:sz w:val="24"/>
          <w:szCs w:val="24"/>
        </w:rPr>
        <w:t xml:space="preserve"> using the </w:t>
      </w:r>
      <w:r w:rsidR="00CC75F8">
        <w:rPr>
          <w:rFonts w:ascii="Times New Roman" w:hAnsi="Times New Roman" w:cs="Times New Roman"/>
          <w:sz w:val="24"/>
          <w:szCs w:val="24"/>
        </w:rPr>
        <w:t xml:space="preserve">values at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equilibrium for biomass and predator consumption.</w:t>
      </w:r>
    </w:p>
    <w:p w14:paraId="20B42AE8" w14:textId="79CB50EB" w:rsidR="0068351D" w:rsidRDefault="00CC75F8" w:rsidP="00C8346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351D">
        <w:rPr>
          <w:rFonts w:ascii="Times New Roman" w:hAnsi="Times New Roman" w:cs="Times New Roman"/>
          <w:sz w:val="24"/>
          <w:szCs w:val="24"/>
        </w:rPr>
        <w:t>Given equation (2), the rate of total population change can be described as:</w:t>
      </w:r>
    </w:p>
    <w:p w14:paraId="3D870C07" w14:textId="0E55462B" w:rsidR="0068351D" w:rsidRPr="00FC2AD9" w:rsidRDefault="00B26EC7" w:rsidP="00FC2AD9">
      <w:pPr>
        <w:pStyle w:val="ListParagraph"/>
        <w:numPr>
          <w:ilvl w:val="0"/>
          <w:numId w:val="1"/>
        </w:numPr>
        <w:spacing w:after="0"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p>
    <w:p w14:paraId="772E554B" w14:textId="56FD6F63" w:rsidR="0068351D" w:rsidRDefault="005D6BD6" w:rsidP="00047859">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E578A">
        <w:rPr>
          <w:rFonts w:ascii="Times New Roman" w:hAnsi="Times New Roman" w:cs="Times New Roman"/>
          <w:sz w:val="24"/>
          <w:szCs w:val="24"/>
        </w:rPr>
        <w:t xml:space="preserve">here </w:t>
      </w:r>
      <w:r w:rsidR="003E578A">
        <w:rPr>
          <w:rFonts w:ascii="Times New Roman" w:hAnsi="Times New Roman" w:cs="Times New Roman"/>
          <w:i/>
          <w:sz w:val="24"/>
          <w:szCs w:val="24"/>
        </w:rPr>
        <w:t>C</w:t>
      </w:r>
      <w:r w:rsidR="003E578A">
        <w:rPr>
          <w:rFonts w:ascii="Times New Roman" w:hAnsi="Times New Roman" w:cs="Times New Roman"/>
          <w:i/>
          <w:sz w:val="24"/>
          <w:szCs w:val="24"/>
          <w:vertAlign w:val="subscript"/>
        </w:rPr>
        <w:t>i</w:t>
      </w:r>
      <w:r w:rsidR="003E578A">
        <w:rPr>
          <w:rFonts w:ascii="Times New Roman" w:hAnsi="Times New Roman" w:cs="Times New Roman"/>
          <w:sz w:val="24"/>
          <w:szCs w:val="24"/>
        </w:rPr>
        <w:t xml:space="preserve"> is again catch of group </w:t>
      </w:r>
      <w:proofErr w:type="spellStart"/>
      <w:r w:rsidR="003E578A">
        <w:rPr>
          <w:rFonts w:ascii="Times New Roman" w:hAnsi="Times New Roman" w:cs="Times New Roman"/>
          <w:i/>
          <w:sz w:val="24"/>
          <w:szCs w:val="24"/>
        </w:rPr>
        <w:t>i</w:t>
      </w:r>
      <w:proofErr w:type="spellEnd"/>
      <w:r w:rsidR="003E578A">
        <w:rPr>
          <w:rFonts w:ascii="Times New Roman" w:hAnsi="Times New Roman" w:cs="Times New Roman"/>
          <w:sz w:val="24"/>
          <w:szCs w:val="24"/>
        </w:rPr>
        <w:t xml:space="preserve">. </w:t>
      </w:r>
      <w:r>
        <w:rPr>
          <w:rFonts w:ascii="Times New Roman" w:hAnsi="Times New Roman" w:cs="Times New Roman"/>
          <w:sz w:val="24"/>
          <w:szCs w:val="24"/>
        </w:rPr>
        <w:t xml:space="preserve">In order to determine the ecosystem’s expected reaction to predator mortality and fishery closures we calculated </w:t>
      </w:r>
      <w:r w:rsidR="0068351D">
        <w:rPr>
          <w:rFonts w:ascii="Times New Roman" w:hAnsi="Times New Roman" w:cs="Times New Roman"/>
          <w:sz w:val="24"/>
          <w:szCs w:val="24"/>
        </w:rPr>
        <w:t xml:space="preserve">two quantities: </w:t>
      </w:r>
      <w:r w:rsidR="00F70F97">
        <w:rPr>
          <w:rFonts w:ascii="Times New Roman" w:eastAsiaTheme="minorEastAsia" w:hAnsi="Times New Roman" w:cs="Times New Roman"/>
          <w:sz w:val="24"/>
          <w:szCs w:val="24"/>
        </w:rPr>
        <w:t xml:space="preserve">1)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/∂E</m:t>
        </m:r>
      </m:oMath>
      <w:r w:rsidR="00FC2AD9">
        <w:rPr>
          <w:rFonts w:ascii="Times New Roman" w:hAnsi="Times New Roman" w:cs="Times New Roman"/>
          <w:i/>
          <w:sz w:val="24"/>
          <w:szCs w:val="24"/>
        </w:rPr>
        <w:t xml:space="preserve"> </w:t>
      </w:r>
      <w:r w:rsidR="00FC2AD9">
        <w:rPr>
          <w:rFonts w:ascii="Times New Roman" w:hAnsi="Times New Roman" w:cs="Times New Roman"/>
          <w:sz w:val="24"/>
          <w:szCs w:val="24"/>
        </w:rPr>
        <w:t xml:space="preserve">where </w:t>
      </w:r>
      <w:r w:rsidR="00FC2AD9">
        <w:rPr>
          <w:rFonts w:ascii="Times New Roman" w:hAnsi="Times New Roman" w:cs="Times New Roman"/>
          <w:i/>
          <w:sz w:val="24"/>
          <w:szCs w:val="24"/>
        </w:rPr>
        <w:t xml:space="preserve">E </w:t>
      </w:r>
      <w:r w:rsidR="00FC2AD9">
        <w:rPr>
          <w:rFonts w:ascii="Times New Roman" w:hAnsi="Times New Roman" w:cs="Times New Roman"/>
          <w:sz w:val="24"/>
          <w:szCs w:val="24"/>
        </w:rPr>
        <w:t xml:space="preserve">is </w:t>
      </w:r>
      <w:r w:rsidR="00FA22FC">
        <w:rPr>
          <w:rFonts w:ascii="Times New Roman" w:hAnsi="Times New Roman" w:cs="Times New Roman"/>
          <w:sz w:val="24"/>
          <w:szCs w:val="24"/>
        </w:rPr>
        <w:t xml:space="preserve">relative </w:t>
      </w:r>
      <w:r w:rsidR="00FC2AD9">
        <w:rPr>
          <w:rFonts w:ascii="Times New Roman" w:hAnsi="Times New Roman" w:cs="Times New Roman"/>
          <w:sz w:val="24"/>
          <w:szCs w:val="24"/>
        </w:rPr>
        <w:t>fishing</w:t>
      </w:r>
      <w:r w:rsidR="00FA22FC">
        <w:rPr>
          <w:rFonts w:ascii="Times New Roman" w:hAnsi="Times New Roman" w:cs="Times New Roman"/>
          <w:sz w:val="24"/>
          <w:szCs w:val="24"/>
        </w:rPr>
        <w:t xml:space="preserve"> effort compared to </w:t>
      </w:r>
      <w:r>
        <w:rPr>
          <w:rFonts w:ascii="Times New Roman" w:hAnsi="Times New Roman" w:cs="Times New Roman"/>
          <w:sz w:val="24"/>
          <w:szCs w:val="24"/>
        </w:rPr>
        <w:t xml:space="preserve">the </w:t>
      </w:r>
      <w:r w:rsidR="00F70F97">
        <w:rPr>
          <w:rFonts w:ascii="Times New Roman" w:hAnsi="Times New Roman" w:cs="Times New Roman"/>
          <w:sz w:val="24"/>
          <w:szCs w:val="24"/>
        </w:rPr>
        <w:t xml:space="preserve">effort at </w:t>
      </w:r>
      <w:r>
        <w:rPr>
          <w:rFonts w:ascii="Times New Roman" w:hAnsi="Times New Roman" w:cs="Times New Roman"/>
          <w:sz w:val="24"/>
          <w:szCs w:val="24"/>
        </w:rPr>
        <w:t xml:space="preserve">mass balance </w:t>
      </w:r>
      <w:r w:rsidR="00FA22FC">
        <w:rPr>
          <w:rFonts w:ascii="Times New Roman" w:hAnsi="Times New Roman" w:cs="Times New Roman"/>
          <w:sz w:val="24"/>
          <w:szCs w:val="24"/>
        </w:rPr>
        <w:t xml:space="preserve">equilibrium (i.e., we calculate the derivative at </w:t>
      </w:r>
      <w:r w:rsidR="00FA22FC">
        <w:rPr>
          <w:rFonts w:ascii="Times New Roman" w:hAnsi="Times New Roman" w:cs="Times New Roman"/>
          <w:i/>
          <w:sz w:val="24"/>
          <w:szCs w:val="24"/>
        </w:rPr>
        <w:t xml:space="preserve">E </w:t>
      </w:r>
      <w:r w:rsidR="00FA22FC">
        <w:rPr>
          <w:rFonts w:ascii="Times New Roman" w:hAnsi="Times New Roman" w:cs="Times New Roman"/>
          <w:sz w:val="24"/>
          <w:szCs w:val="24"/>
        </w:rPr>
        <w:t xml:space="preserve">= 1) </w:t>
      </w:r>
      <w:r w:rsidR="0068351D">
        <w:rPr>
          <w:rFonts w:ascii="Times New Roman" w:hAnsi="Times New Roman" w:cs="Times New Roman"/>
          <w:sz w:val="24"/>
          <w:szCs w:val="24"/>
        </w:rPr>
        <w:t>and</w:t>
      </w:r>
      <w:r w:rsidR="00F70F97">
        <w:rPr>
          <w:rFonts w:ascii="Times New Roman" w:hAnsi="Times New Roman" w:cs="Times New Roman"/>
          <w:sz w:val="24"/>
          <w:szCs w:val="24"/>
        </w:rPr>
        <w:t xml:space="preserve"> 2)</w:t>
      </w:r>
      <w:r w:rsidR="0068351D">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FC2AD9">
        <w:rPr>
          <w:rFonts w:ascii="Times New Roman" w:eastAsiaTheme="minorEastAsia" w:hAnsi="Times New Roman" w:cs="Times New Roman"/>
          <w:sz w:val="24"/>
          <w:szCs w:val="24"/>
        </w:rPr>
        <w:t xml:space="preserve"> </w:t>
      </w:r>
      <w:r w:rsidR="00DD3921">
        <w:rPr>
          <w:rFonts w:ascii="Times New Roman" w:hAnsi="Times New Roman" w:cs="Times New Roman"/>
          <w:sz w:val="24"/>
          <w:szCs w:val="24"/>
        </w:rPr>
        <w:t xml:space="preserve">for </w:t>
      </w:r>
      <w:r w:rsidR="00DD3921">
        <w:rPr>
          <w:rFonts w:ascii="Times New Roman" w:hAnsi="Times New Roman" w:cs="Times New Roman"/>
          <w:i/>
          <w:sz w:val="24"/>
          <w:szCs w:val="24"/>
        </w:rPr>
        <w:t>j</w:t>
      </w:r>
      <w:r w:rsidR="00DD3921">
        <w:rPr>
          <w:rFonts w:ascii="Times New Roman" w:hAnsi="Times New Roman" w:cs="Times New Roman"/>
          <w:sz w:val="24"/>
          <w:szCs w:val="24"/>
        </w:rPr>
        <w:t xml:space="preserve"> </w:t>
      </w:r>
      <w:r w:rsidR="00397736">
        <w:rPr>
          <w:rFonts w:ascii="Times New Roman" w:hAnsi="Times New Roman" w:cs="Times New Roman"/>
          <w:sz w:val="24"/>
          <w:szCs w:val="24"/>
        </w:rPr>
        <w:t xml:space="preserve">as </w:t>
      </w:r>
      <w:r w:rsidR="00DD3921">
        <w:rPr>
          <w:rFonts w:ascii="Times New Roman" w:hAnsi="Times New Roman" w:cs="Times New Roman"/>
          <w:sz w:val="24"/>
          <w:szCs w:val="24"/>
        </w:rPr>
        <w:t xml:space="preserve">the index for pelicans, diving birds, and dolphins. </w:t>
      </w:r>
      <w:r>
        <w:rPr>
          <w:rFonts w:ascii="Times New Roman" w:hAnsi="Times New Roman" w:cs="Times New Roman"/>
          <w:sz w:val="24"/>
          <w:szCs w:val="24"/>
        </w:rPr>
        <w:t xml:space="preserve">This </w:t>
      </w:r>
      <w:r w:rsidR="00F70F97">
        <w:rPr>
          <w:rFonts w:ascii="Times New Roman" w:hAnsi="Times New Roman" w:cs="Times New Roman"/>
          <w:sz w:val="24"/>
          <w:szCs w:val="24"/>
        </w:rPr>
        <w:t xml:space="preserve">second partial derivative </w:t>
      </w:r>
      <w:r>
        <w:rPr>
          <w:rFonts w:ascii="Times New Roman" w:hAnsi="Times New Roman" w:cs="Times New Roman"/>
          <w:sz w:val="24"/>
          <w:szCs w:val="24"/>
        </w:rPr>
        <w:t xml:space="preserve">will tell us the influence of pelicans, birds, and dolphins on population dynamics. </w:t>
      </w:r>
      <w:r w:rsidR="00DD3921">
        <w:rPr>
          <w:rFonts w:ascii="Times New Roman" w:hAnsi="Times New Roman" w:cs="Times New Roman"/>
          <w:sz w:val="24"/>
          <w:szCs w:val="24"/>
        </w:rPr>
        <w:t>To calculate these</w:t>
      </w:r>
      <w:r w:rsidR="00A56691">
        <w:rPr>
          <w:rFonts w:ascii="Times New Roman" w:hAnsi="Times New Roman" w:cs="Times New Roman"/>
          <w:sz w:val="24"/>
          <w:szCs w:val="24"/>
        </w:rPr>
        <w:t xml:space="preserve"> derivatives</w:t>
      </w:r>
      <w:r w:rsidR="00DD3921">
        <w:rPr>
          <w:rFonts w:ascii="Times New Roman" w:hAnsi="Times New Roman" w:cs="Times New Roman"/>
          <w:sz w:val="24"/>
          <w:szCs w:val="24"/>
        </w:rPr>
        <w:t xml:space="preserve">, we introduce </w:t>
      </w:r>
      <w:r w:rsidR="00DD3921">
        <w:rPr>
          <w:rFonts w:ascii="Times New Roman" w:hAnsi="Times New Roman" w:cs="Times New Roman"/>
          <w:b/>
          <w:i/>
          <w:sz w:val="24"/>
          <w:szCs w:val="24"/>
        </w:rPr>
        <w:t>J</w:t>
      </w:r>
      <w:r w:rsidR="00DD3921">
        <w:rPr>
          <w:rFonts w:ascii="Times New Roman" w:hAnsi="Times New Roman" w:cs="Times New Roman"/>
          <w:i/>
          <w:sz w:val="24"/>
          <w:szCs w:val="24"/>
          <w:vertAlign w:val="subscript"/>
        </w:rPr>
        <w:t>r</w:t>
      </w:r>
      <w:r w:rsidR="00DD3921">
        <w:rPr>
          <w:rFonts w:ascii="Times New Roman" w:hAnsi="Times New Roman" w:cs="Times New Roman"/>
          <w:i/>
          <w:sz w:val="24"/>
          <w:szCs w:val="24"/>
        </w:rPr>
        <w:t>(</w:t>
      </w:r>
      <w:r w:rsidR="00DD3921">
        <w:rPr>
          <w:rFonts w:ascii="Times New Roman" w:hAnsi="Times New Roman" w:cs="Times New Roman"/>
          <w:b/>
          <w:i/>
          <w:sz w:val="24"/>
          <w:szCs w:val="24"/>
        </w:rPr>
        <w:t>B</w:t>
      </w:r>
      <w:r w:rsidR="00DD3921">
        <w:rPr>
          <w:rFonts w:ascii="Times New Roman" w:hAnsi="Times New Roman" w:cs="Times New Roman"/>
          <w:i/>
          <w:sz w:val="24"/>
          <w:szCs w:val="24"/>
        </w:rPr>
        <w:t>)</w:t>
      </w:r>
      <w:r w:rsidR="00DD3921">
        <w:rPr>
          <w:rFonts w:ascii="Times New Roman" w:hAnsi="Times New Roman" w:cs="Times New Roman"/>
          <w:sz w:val="24"/>
          <w:szCs w:val="24"/>
        </w:rPr>
        <w:t xml:space="preserve"> as the Jacobian of the per capita production rate</w:t>
      </w:r>
      <w:r w:rsidR="00DD3921">
        <w:rPr>
          <w:rFonts w:ascii="Times New Roman" w:hAnsi="Times New Roman" w:cs="Times New Roman"/>
          <w:sz w:val="24"/>
          <w:szCs w:val="24"/>
          <w:vertAlign w:val="subscript"/>
        </w:rPr>
        <w:t xml:space="preserve">, </w:t>
      </w:r>
      <w:r w:rsidR="00DD3921">
        <w:rPr>
          <w:rFonts w:ascii="Times New Roman" w:hAnsi="Times New Roman" w:cs="Times New Roman"/>
          <w:sz w:val="24"/>
          <w:szCs w:val="24"/>
        </w:rPr>
        <w:t xml:space="preserve">or the matrix of all partial derivatives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w:r w:rsidR="00DD3921">
        <w:rPr>
          <w:rFonts w:ascii="Times New Roman" w:eastAsiaTheme="minorEastAsia" w:hAnsi="Times New Roman" w:cs="Times New Roman"/>
          <w:sz w:val="24"/>
          <w:szCs w:val="24"/>
        </w:rPr>
        <w:t>. Then, based on calculations summarized in Essington &amp; Munc</w:t>
      </w:r>
      <w:r w:rsidR="00FC2AD9">
        <w:rPr>
          <w:rFonts w:ascii="Times New Roman" w:eastAsiaTheme="minorEastAsia" w:hAnsi="Times New Roman" w:cs="Times New Roman"/>
          <w:sz w:val="24"/>
          <w:szCs w:val="24"/>
        </w:rPr>
        <w:t>h (2014):</w:t>
      </w:r>
    </w:p>
    <w:p w14:paraId="6E0B4F6A" w14:textId="57F52E35" w:rsidR="00FC2AD9" w:rsidRPr="00FC2AD9" w:rsidRDefault="00B26EC7" w:rsidP="00047859">
      <w:pPr>
        <w:spacing w:after="0" w:line="48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b>
              <m:r>
                <w:rPr>
                  <w:rFonts w:ascii="Cambria Math" w:hAnsi="Cambria Math" w:cs="Times New Roman"/>
                  <w:sz w:val="24"/>
                  <w:szCs w:val="24"/>
                </w:rPr>
                <m:t>ij</m:t>
              </m:r>
            </m:sub>
            <m: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p>
          </m:sSubSup>
        </m:oMath>
      </m:oMathPara>
    </w:p>
    <w:p w14:paraId="042343F5" w14:textId="66F9D6E6" w:rsidR="00FC2AD9" w:rsidRDefault="00FC2AD9" w:rsidP="0004785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BE08C45" w14:textId="709F1261" w:rsidR="00FC2AD9" w:rsidRPr="001E30E6" w:rsidRDefault="00B26EC7" w:rsidP="00047859">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E</m:t>
              </m:r>
            </m:den>
          </m:f>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p>
                      <m:r>
                        <w:rPr>
                          <w:rFonts w:ascii="Cambria Math" w:hAnsi="Cambria Math" w:cs="Times New Roman"/>
                          <w:sz w:val="24"/>
                          <w:szCs w:val="24"/>
                        </w:rPr>
                        <m:t>-1</m:t>
                      </m:r>
                    </m:sup>
                  </m:sSup>
                  <m:r>
                    <m:rPr>
                      <m:sty m:val="bi"/>
                    </m:rPr>
                    <w:rPr>
                      <w:rFonts w:ascii="Cambria Math" w:hAnsi="Cambria Math" w:cs="Times New Roman"/>
                      <w:sz w:val="24"/>
                      <w:szCs w:val="24"/>
                    </w:rPr>
                    <m:t>s</m:t>
                  </m:r>
                </m:e>
              </m:d>
            </m:e>
            <m:sub>
              <m:r>
                <w:rPr>
                  <w:rFonts w:ascii="Cambria Math" w:hAnsi="Cambria Math" w:cs="Times New Roman"/>
                  <w:sz w:val="24"/>
                  <w:szCs w:val="24"/>
                </w:rPr>
                <m:t>i</m:t>
              </m:r>
            </m:sub>
          </m:sSub>
        </m:oMath>
      </m:oMathPara>
    </w:p>
    <w:p w14:paraId="30DEC2FB" w14:textId="36F87874" w:rsidR="00FA22FC"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1E30E6">
        <w:rPr>
          <w:rFonts w:ascii="Times New Roman" w:hAnsi="Times New Roman" w:cs="Times New Roman"/>
          <w:b/>
          <w:i/>
          <w:sz w:val="24"/>
          <w:szCs w:val="24"/>
        </w:rPr>
        <w:t>s</w:t>
      </w:r>
      <w:r>
        <w:rPr>
          <w:rFonts w:ascii="Times New Roman" w:hAnsi="Times New Roman" w:cs="Times New Roman"/>
          <w:sz w:val="24"/>
          <w:szCs w:val="24"/>
        </w:rPr>
        <w:t xml:space="preserve"> is the selectivity vector such that </w:t>
      </w: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i</w:t>
      </w:r>
      <w:r>
        <w:rPr>
          <w:rFonts w:ascii="Times New Roman" w:hAnsi="Times New Roman" w:cs="Times New Roman"/>
          <w:i/>
          <w:sz w:val="24"/>
          <w:szCs w:val="24"/>
        </w:rPr>
        <w:t>E</w:t>
      </w:r>
      <w:proofErr w:type="spellEnd"/>
      <w:r>
        <w:rPr>
          <w:rFonts w:ascii="Times New Roman" w:hAnsi="Times New Roman" w:cs="Times New Roman"/>
          <w:i/>
          <w:sz w:val="24"/>
          <w:szCs w:val="24"/>
        </w:rPr>
        <w:t xml:space="preserve"> = 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and </w:t>
      </w:r>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the fishing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r w:rsidR="005D6BD6">
        <w:rPr>
          <w:rFonts w:ascii="Times New Roman" w:hAnsi="Times New Roman" w:cs="Times New Roman"/>
          <w:sz w:val="24"/>
          <w:szCs w:val="24"/>
        </w:rPr>
        <w:t xml:space="preserve">This allows us to assess a proportional decrease in fishing across functional groups, accounting for the fact that some species experience higher fishing mortality rates than others. </w:t>
      </w:r>
      <w:r w:rsidR="00FA22FC">
        <w:rPr>
          <w:rFonts w:ascii="Times New Roman" w:hAnsi="Times New Roman" w:cs="Times New Roman"/>
          <w:sz w:val="24"/>
          <w:szCs w:val="24"/>
        </w:rPr>
        <w:t>We standardize these derivatives by biomass of the fish or invertebrate functional group</w:t>
      </w:r>
      <w:r w:rsidR="0099281D">
        <w:rPr>
          <w:rFonts w:ascii="Times New Roman" w:hAnsi="Times New Roman" w:cs="Times New Roman"/>
          <w:sz w:val="24"/>
          <w:szCs w:val="24"/>
        </w:rPr>
        <w:t>s</w:t>
      </w:r>
      <w:r w:rsidR="00FA22FC">
        <w:rPr>
          <w:rFonts w:ascii="Times New Roman" w:hAnsi="Times New Roman" w:cs="Times New Roman"/>
          <w:sz w:val="24"/>
          <w:szCs w:val="24"/>
        </w:rPr>
        <w:t xml:space="preserve">, and, in the case of the response to predator declines, with respect to predator productivity. This yields a proportional change in biomass of the prey group for a proportional change in </w:t>
      </w:r>
      <w:commentRangeStart w:id="4"/>
      <w:r w:rsidR="00FA22FC">
        <w:rPr>
          <w:rFonts w:ascii="Times New Roman" w:hAnsi="Times New Roman" w:cs="Times New Roman"/>
          <w:sz w:val="24"/>
          <w:szCs w:val="24"/>
        </w:rPr>
        <w:t>fishing effort or predator productivity</w:t>
      </w:r>
      <w:commentRangeEnd w:id="4"/>
      <w:r w:rsidR="00A56691">
        <w:rPr>
          <w:rStyle w:val="CommentReference"/>
        </w:rPr>
        <w:commentReference w:id="4"/>
      </w:r>
      <w:r w:rsidR="00FA22FC">
        <w:rPr>
          <w:rFonts w:ascii="Times New Roman" w:hAnsi="Times New Roman" w:cs="Times New Roman"/>
          <w:sz w:val="24"/>
          <w:szCs w:val="24"/>
        </w:rPr>
        <w:t>. Here, we report the change in biomass per 10% change in fishing effort or predator productivity</w:t>
      </w:r>
      <w:r w:rsidR="00585A18">
        <w:rPr>
          <w:rFonts w:ascii="Times New Roman" w:hAnsi="Times New Roman" w:cs="Times New Roman"/>
          <w:sz w:val="24"/>
          <w:szCs w:val="24"/>
        </w:rPr>
        <w:t xml:space="preserve">, to balance </w:t>
      </w:r>
      <w:r>
        <w:rPr>
          <w:rFonts w:ascii="Times New Roman" w:hAnsi="Times New Roman" w:cs="Times New Roman"/>
          <w:sz w:val="24"/>
          <w:szCs w:val="24"/>
        </w:rPr>
        <w:t xml:space="preserve">1) </w:t>
      </w:r>
      <w:r w:rsidR="00585A18">
        <w:rPr>
          <w:rFonts w:ascii="Times New Roman" w:hAnsi="Times New Roman" w:cs="Times New Roman"/>
          <w:sz w:val="24"/>
          <w:szCs w:val="24"/>
        </w:rPr>
        <w:t xml:space="preserve">the fact that the quantities we calculate are to be interpreted within a “neighborhood” of equilibrium with </w:t>
      </w:r>
      <w:r>
        <w:rPr>
          <w:rFonts w:ascii="Times New Roman" w:hAnsi="Times New Roman" w:cs="Times New Roman"/>
          <w:sz w:val="24"/>
          <w:szCs w:val="24"/>
        </w:rPr>
        <w:t xml:space="preserve">2) </w:t>
      </w:r>
      <w:r w:rsidR="00585A18">
        <w:rPr>
          <w:rFonts w:ascii="Times New Roman" w:hAnsi="Times New Roman" w:cs="Times New Roman"/>
          <w:sz w:val="24"/>
          <w:szCs w:val="24"/>
        </w:rPr>
        <w:t>the major proportional changes observed following the oil spill, particularly with respect to fishing (100% decline la</w:t>
      </w:r>
      <w:r w:rsidR="0099281D">
        <w:rPr>
          <w:rFonts w:ascii="Times New Roman" w:hAnsi="Times New Roman" w:cs="Times New Roman"/>
          <w:sz w:val="24"/>
          <w:szCs w:val="24"/>
        </w:rPr>
        <w:t>sting one year).</w:t>
      </w:r>
    </w:p>
    <w:p w14:paraId="7E17C1E8" w14:textId="77469EF8" w:rsidR="00F24AC9" w:rsidRDefault="00F24AC9" w:rsidP="00047859">
      <w:pPr>
        <w:spacing w:after="0" w:line="480" w:lineRule="auto"/>
        <w:rPr>
          <w:rFonts w:ascii="Times New Roman" w:hAnsi="Times New Roman" w:cs="Times New Roman"/>
          <w:sz w:val="24"/>
          <w:szCs w:val="24"/>
        </w:rPr>
      </w:pPr>
    </w:p>
    <w:p w14:paraId="6B4D788B" w14:textId="72B38775" w:rsidR="00F24AC9" w:rsidRDefault="00F24AC9" w:rsidP="00047859">
      <w:pPr>
        <w:spacing w:after="0" w:line="480" w:lineRule="auto"/>
        <w:rPr>
          <w:rFonts w:ascii="Times New Roman" w:hAnsi="Times New Roman" w:cs="Times New Roman"/>
          <w:sz w:val="24"/>
          <w:szCs w:val="24"/>
          <w:u w:val="single"/>
        </w:rPr>
      </w:pPr>
      <w:commentRangeStart w:id="5"/>
      <w:r>
        <w:rPr>
          <w:rFonts w:ascii="Times New Roman" w:hAnsi="Times New Roman" w:cs="Times New Roman"/>
          <w:sz w:val="24"/>
          <w:szCs w:val="24"/>
          <w:u w:val="single"/>
        </w:rPr>
        <w:t>Results</w:t>
      </w:r>
      <w:commentRangeEnd w:id="5"/>
      <w:r w:rsidR="001C16B2">
        <w:rPr>
          <w:rStyle w:val="CommentReference"/>
        </w:rPr>
        <w:commentReference w:id="5"/>
      </w:r>
    </w:p>
    <w:p w14:paraId="533855D4" w14:textId="4D70DC51" w:rsidR="00F24AC9" w:rsidRDefault="00F24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model contains </w:t>
      </w:r>
      <w:r w:rsidR="00D93A5A">
        <w:rPr>
          <w:rFonts w:ascii="Times New Roman" w:hAnsi="Times New Roman" w:cs="Times New Roman"/>
          <w:sz w:val="24"/>
          <w:szCs w:val="24"/>
        </w:rPr>
        <w:t>five functional groups for primary producers, 31 functional groups for consumers, (</w:t>
      </w:r>
      <w:r>
        <w:rPr>
          <w:rFonts w:ascii="Times New Roman" w:hAnsi="Times New Roman" w:cs="Times New Roman"/>
          <w:sz w:val="24"/>
          <w:szCs w:val="24"/>
        </w:rPr>
        <w:t>14 of which are broken up into juvenile and adult life stages</w:t>
      </w:r>
      <w:r w:rsidR="00D93A5A">
        <w:rPr>
          <w:rFonts w:ascii="Times New Roman" w:hAnsi="Times New Roman" w:cs="Times New Roman"/>
          <w:sz w:val="24"/>
          <w:szCs w:val="24"/>
        </w:rPr>
        <w:t>), and one</w:t>
      </w:r>
      <w:r w:rsidR="00911094">
        <w:rPr>
          <w:rFonts w:ascii="Times New Roman" w:hAnsi="Times New Roman" w:cs="Times New Roman"/>
          <w:sz w:val="24"/>
          <w:szCs w:val="24"/>
        </w:rPr>
        <w:t xml:space="preserve"> detrital group</w:t>
      </w:r>
      <w:r w:rsidR="001E30E6">
        <w:rPr>
          <w:rFonts w:ascii="Times New Roman" w:hAnsi="Times New Roman" w:cs="Times New Roman"/>
          <w:sz w:val="24"/>
          <w:szCs w:val="24"/>
        </w:rPr>
        <w:t xml:space="preserve"> (Table </w:t>
      </w:r>
      <w:r w:rsidR="00CE6318" w:rsidRPr="00CE6318">
        <w:rPr>
          <w:rFonts w:ascii="Times New Roman" w:hAnsi="Times New Roman" w:cs="Times New Roman"/>
          <w:sz w:val="24"/>
          <w:szCs w:val="24"/>
        </w:rPr>
        <w:t>2</w:t>
      </w:r>
      <w:r>
        <w:rPr>
          <w:rFonts w:ascii="Times New Roman" w:hAnsi="Times New Roman" w:cs="Times New Roman"/>
          <w:sz w:val="24"/>
          <w:szCs w:val="24"/>
        </w:rPr>
        <w:t xml:space="preserve">). </w:t>
      </w:r>
      <w:r w:rsidR="00D93A5A">
        <w:rPr>
          <w:rFonts w:ascii="Times New Roman" w:hAnsi="Times New Roman" w:cs="Times New Roman"/>
          <w:sz w:val="24"/>
          <w:szCs w:val="24"/>
        </w:rPr>
        <w:t xml:space="preserve">Trophic levels ranged from one (primary producers) to 3.86 (adult sharks) with an average trophic level of 2.46 and a biomass-weighted average of 3.10. </w:t>
      </w:r>
    </w:p>
    <w:p w14:paraId="257FDDB8" w14:textId="61FE6324"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Pr="00D01396">
        <w:rPr>
          <w:rFonts w:ascii="Times New Roman" w:hAnsi="Times New Roman" w:cs="Times New Roman"/>
          <w:sz w:val="24"/>
          <w:szCs w:val="24"/>
          <w:highlight w:val="yellow"/>
        </w:rPr>
        <w:t>()</w:t>
      </w:r>
      <w:r>
        <w:rPr>
          <w:rFonts w:ascii="Times New Roman" w:hAnsi="Times New Roman" w:cs="Times New Roman"/>
          <w:sz w:val="24"/>
          <w:szCs w:val="24"/>
        </w:rPr>
        <w:t xml:space="preserve">, blue crab </w:t>
      </w:r>
      <w:r w:rsidRPr="00D01396">
        <w:rPr>
          <w:rFonts w:ascii="Times New Roman" w:hAnsi="Times New Roman" w:cs="Times New Roman"/>
          <w:sz w:val="24"/>
          <w:szCs w:val="24"/>
          <w:highlight w:val="yellow"/>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panaeid</w:t>
      </w:r>
      <w:proofErr w:type="spellEnd"/>
      <w:r>
        <w:rPr>
          <w:rFonts w:ascii="Times New Roman" w:hAnsi="Times New Roman" w:cs="Times New Roman"/>
          <w:sz w:val="24"/>
          <w:szCs w:val="24"/>
        </w:rPr>
        <w:t xml:space="preserve"> shrimp </w:t>
      </w:r>
      <w:r w:rsidRPr="00D01396">
        <w:rPr>
          <w:rFonts w:ascii="Times New Roman" w:hAnsi="Times New Roman" w:cs="Times New Roman"/>
          <w:sz w:val="24"/>
          <w:szCs w:val="24"/>
          <w:highlight w:val="yellow"/>
        </w:rPr>
        <w:t>()</w:t>
      </w:r>
      <w:r>
        <w:rPr>
          <w:rFonts w:ascii="Times New Roman" w:hAnsi="Times New Roman" w:cs="Times New Roman"/>
          <w:sz w:val="24"/>
          <w:szCs w:val="24"/>
        </w:rPr>
        <w:t xml:space="preserve"> functional groups (</w:t>
      </w:r>
      <w:r w:rsidR="00CE6318" w:rsidRPr="00CE6318">
        <w:rPr>
          <w:rFonts w:ascii="Times New Roman" w:hAnsi="Times New Roman" w:cs="Times New Roman"/>
          <w:sz w:val="24"/>
          <w:szCs w:val="24"/>
        </w:rPr>
        <w:t>Fig. 2</w:t>
      </w:r>
      <w:r>
        <w:rPr>
          <w:rFonts w:ascii="Times New Roman" w:hAnsi="Times New Roman" w:cs="Times New Roman"/>
          <w:sz w:val="24"/>
          <w:szCs w:val="24"/>
        </w:rPr>
        <w:t xml:space="preserve">). While the fishing mortality rate on the federally managed stock of </w:t>
      </w:r>
      <w:proofErr w:type="spellStart"/>
      <w:r>
        <w:rPr>
          <w:rFonts w:ascii="Times New Roman" w:hAnsi="Times New Roman" w:cs="Times New Roman"/>
          <w:sz w:val="24"/>
          <w:szCs w:val="24"/>
        </w:rPr>
        <w:t>panaeid</w:t>
      </w:r>
      <w:proofErr w:type="spellEnd"/>
      <w:r>
        <w:rPr>
          <w:rFonts w:ascii="Times New Roman" w:hAnsi="Times New Roman" w:cs="Times New Roman"/>
          <w:sz w:val="24"/>
          <w:szCs w:val="24"/>
        </w:rPr>
        <w:t xml:space="preserve"> shrimp in the Gulf of Mexico is much higher than represented in our model (</w:t>
      </w:r>
      <w:r w:rsidRPr="001E30E6">
        <w:rPr>
          <w:rFonts w:ascii="Times New Roman" w:hAnsi="Times New Roman" w:cs="Times New Roman"/>
          <w:sz w:val="24"/>
          <w:szCs w:val="24"/>
          <w:highlight w:val="yellow"/>
        </w:rPr>
        <w:t>cite stock assessment</w:t>
      </w:r>
      <w:r>
        <w:rPr>
          <w:rFonts w:ascii="Times New Roman" w:hAnsi="Times New Roman" w:cs="Times New Roman"/>
          <w:sz w:val="24"/>
          <w:szCs w:val="24"/>
        </w:rPr>
        <w:t xml:space="preserve">s), the bulk of the Gulf shrimp fishery occurs farther offshore than the estuarine waters modeled here. This also means that the heavy bycatch </w:t>
      </w:r>
      <w:r>
        <w:rPr>
          <w:rFonts w:ascii="Times New Roman" w:hAnsi="Times New Roman" w:cs="Times New Roman"/>
          <w:sz w:val="24"/>
          <w:szCs w:val="24"/>
        </w:rPr>
        <w:lastRenderedPageBreak/>
        <w:t xml:space="preserve">mortality rates many fish species experience as a result of the Gulf shrimp fishery are also outside the </w:t>
      </w:r>
      <w:r w:rsidR="00EE3118">
        <w:rPr>
          <w:rFonts w:ascii="Times New Roman" w:hAnsi="Times New Roman" w:cs="Times New Roman"/>
          <w:sz w:val="24"/>
          <w:szCs w:val="24"/>
        </w:rPr>
        <w:t xml:space="preserve">domain </w:t>
      </w:r>
      <w:r>
        <w:rPr>
          <w:rFonts w:ascii="Times New Roman" w:hAnsi="Times New Roman" w:cs="Times New Roman"/>
          <w:sz w:val="24"/>
          <w:szCs w:val="24"/>
        </w:rPr>
        <w:t>of this model.</w:t>
      </w:r>
    </w:p>
    <w:p w14:paraId="152F4975" w14:textId="1D459EBA" w:rsidR="00FF43EF"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Only dolphins exerted a significant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species we examined</w:t>
      </w:r>
      <w:r w:rsidR="00083D48">
        <w:rPr>
          <w:rFonts w:ascii="Times New Roman" w:hAnsi="Times New Roman" w:cs="Times New Roman"/>
          <w:sz w:val="24"/>
          <w:szCs w:val="24"/>
        </w:rPr>
        <w:t xml:space="preserve"> (Fig</w:t>
      </w:r>
      <w:r w:rsidR="00CE6318">
        <w:rPr>
          <w:rFonts w:ascii="Times New Roman" w:hAnsi="Times New Roman" w:cs="Times New Roman"/>
          <w:sz w:val="24"/>
          <w:szCs w:val="24"/>
        </w:rPr>
        <w:t>. 2</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commentRangeStart w:id="6"/>
      <w:r w:rsidR="0036584F">
        <w:rPr>
          <w:rFonts w:ascii="Times New Roman" w:hAnsi="Times New Roman" w:cs="Times New Roman"/>
          <w:sz w:val="24"/>
          <w:szCs w:val="24"/>
        </w:rPr>
        <w:t xml:space="preserve">inflicted </w:t>
      </w:r>
      <w:commentRangeEnd w:id="6"/>
      <w:r w:rsidR="004149A5">
        <w:rPr>
          <w:rStyle w:val="CommentReference"/>
        </w:rPr>
        <w:commentReference w:id="6"/>
      </w:r>
      <w:r w:rsidR="0036584F">
        <w:rPr>
          <w:rFonts w:ascii="Times New Roman" w:hAnsi="Times New Roman" w:cs="Times New Roman"/>
          <w:sz w:val="24"/>
          <w:szCs w:val="24"/>
        </w:rPr>
        <w:t xml:space="preserve">particularly high mortality </w:t>
      </w:r>
      <w:r w:rsidR="001E30E6">
        <w:rPr>
          <w:rFonts w:ascii="Times New Roman" w:hAnsi="Times New Roman" w:cs="Times New Roman"/>
          <w:sz w:val="24"/>
          <w:szCs w:val="24"/>
        </w:rPr>
        <w:t xml:space="preserve">for the functional group representing Atlantic croaker, spot, and silver perch, where dolphins accounted for approximately 50% of the mortality of both the adult and juvenile life stages. Dolphins also represented an important mortality source for adult menhaden and juvenile red drum. While the species here represent important diet items for some seabird species, seabirds are not abundant enough in our model to exert </w:t>
      </w:r>
      <w:r w:rsidR="0036584F">
        <w:rPr>
          <w:rFonts w:ascii="Times New Roman" w:hAnsi="Times New Roman" w:cs="Times New Roman"/>
          <w:sz w:val="24"/>
          <w:szCs w:val="24"/>
        </w:rPr>
        <w:t>substantial</w:t>
      </w:r>
      <w:r w:rsidR="001E30E6">
        <w:rPr>
          <w:rFonts w:ascii="Times New Roman" w:hAnsi="Times New Roman" w:cs="Times New Roman"/>
          <w:sz w:val="24"/>
          <w:szCs w:val="24"/>
        </w:rPr>
        <w:t xml:space="preserve"> mortality on the populations.</w:t>
      </w:r>
    </w:p>
    <w:p w14:paraId="3DED99D6" w14:textId="23272BC2"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4026B">
        <w:rPr>
          <w:rFonts w:ascii="Times New Roman" w:hAnsi="Times New Roman" w:cs="Times New Roman"/>
          <w:sz w:val="24"/>
          <w:szCs w:val="24"/>
        </w:rPr>
        <w:t xml:space="preserve">more integrative </w:t>
      </w:r>
      <w:r>
        <w:rPr>
          <w:rFonts w:ascii="Times New Roman" w:hAnsi="Times New Roman" w:cs="Times New Roman"/>
          <w:sz w:val="24"/>
          <w:szCs w:val="24"/>
        </w:rPr>
        <w:t xml:space="preserve">generalized equilibrium model confirmed results from the direct mortality sources, but </w:t>
      </w:r>
      <w:r w:rsidR="000A2A54">
        <w:rPr>
          <w:rFonts w:ascii="Times New Roman" w:hAnsi="Times New Roman" w:cs="Times New Roman"/>
          <w:sz w:val="24"/>
          <w:szCs w:val="24"/>
        </w:rPr>
        <w:t>also illustrated cases where indirect interactions may</w:t>
      </w:r>
      <w:r w:rsidR="006F4A42">
        <w:rPr>
          <w:rFonts w:ascii="Times New Roman" w:hAnsi="Times New Roman" w:cs="Times New Roman"/>
          <w:sz w:val="24"/>
          <w:szCs w:val="24"/>
        </w:rPr>
        <w:t xml:space="preserve"> be important factors</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dult menhaden showed large 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proofErr w:type="spellStart"/>
      <w:r w:rsidR="006F4A42">
        <w:rPr>
          <w:rFonts w:ascii="Times New Roman" w:hAnsi="Times New Roman" w:cs="Times New Roman"/>
          <w:sz w:val="24"/>
          <w:szCs w:val="24"/>
        </w:rPr>
        <w:t>panaeids</w:t>
      </w:r>
      <w:proofErr w:type="spellEnd"/>
      <w:r w:rsidR="006F4A42">
        <w:rPr>
          <w:rFonts w:ascii="Times New Roman" w:hAnsi="Times New Roman" w:cs="Times New Roman"/>
          <w:sz w:val="24"/>
          <w:szCs w:val="24"/>
        </w:rPr>
        <w:t xml:space="preserve"> showed small positive responses, all with relatively low uncertainty, consistent with the results from only the direct impacts (Fig. 2b). Adult and juvenile croaker, spot, and perch showed large positive responses coincident with reductions in dolphin survival</w:t>
      </w:r>
      <w:r w:rsidR="0024026B">
        <w:rPr>
          <w:rFonts w:ascii="Times New Roman" w:hAnsi="Times New Roman" w:cs="Times New Roman"/>
          <w:sz w:val="24"/>
          <w:szCs w:val="24"/>
        </w:rPr>
        <w:t>, though there was more uncertainty</w:t>
      </w:r>
      <w:r w:rsidR="007B4430">
        <w:rPr>
          <w:rFonts w:ascii="Times New Roman" w:hAnsi="Times New Roman" w:cs="Times New Roman"/>
          <w:sz w:val="24"/>
          <w:szCs w:val="24"/>
        </w:rPr>
        <w:t>, also in alignment with the direct mortality results</w:t>
      </w:r>
      <w:r w:rsidR="006F4A42">
        <w:rPr>
          <w:rFonts w:ascii="Times New Roman" w:hAnsi="Times New Roman" w:cs="Times New Roman"/>
          <w:sz w:val="24"/>
          <w:szCs w:val="24"/>
        </w:rPr>
        <w:t xml:space="preserve"> (Fig. 2a). </w:t>
      </w:r>
      <w:r w:rsidR="00D920DF">
        <w:rPr>
          <w:rFonts w:ascii="Times New Roman" w:hAnsi="Times New Roman" w:cs="Times New Roman"/>
          <w:sz w:val="24"/>
          <w:szCs w:val="24"/>
        </w:rPr>
        <w:t>As with the direct analysis, s</w:t>
      </w:r>
      <w:r w:rsidR="0024026B">
        <w:rPr>
          <w:rFonts w:ascii="Times New Roman" w:hAnsi="Times New Roman" w:cs="Times New Roman"/>
          <w:sz w:val="24"/>
          <w:szCs w:val="24"/>
        </w:rPr>
        <w:t xml:space="preserve">eabirds were not a major factor. </w:t>
      </w:r>
      <w:r w:rsidR="006F4A42">
        <w:rPr>
          <w:rFonts w:ascii="Times New Roman" w:hAnsi="Times New Roman" w:cs="Times New Roman"/>
          <w:sz w:val="24"/>
          <w:szCs w:val="24"/>
        </w:rPr>
        <w:t>Thus, when direct impacts are substantial, they tend to dominate over indirect impacts, and quantifying only direct impacts is a useful first-order exploration.</w:t>
      </w:r>
    </w:p>
    <w:p w14:paraId="1438D75E" w14:textId="3E678397" w:rsidR="00A742FC"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7"/>
      <w:r>
        <w:rPr>
          <w:rFonts w:ascii="Times New Roman" w:hAnsi="Times New Roman" w:cs="Times New Roman"/>
          <w:sz w:val="24"/>
          <w:szCs w:val="24"/>
        </w:rPr>
        <w:t xml:space="preserve">Our </w:t>
      </w:r>
      <w:commentRangeEnd w:id="7"/>
      <w:r w:rsidR="00600A6E">
        <w:rPr>
          <w:rStyle w:val="CommentReference"/>
        </w:rPr>
        <w:commentReference w:id="7"/>
      </w:r>
      <w:r>
        <w:rPr>
          <w:rFonts w:ascii="Times New Roman" w:hAnsi="Times New Roman" w:cs="Times New Roman"/>
          <w:sz w:val="24"/>
          <w:szCs w:val="24"/>
        </w:rPr>
        <w:t xml:space="preserve">inability to accurately quantify functional responses leads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will respond to oil spill-induced changes in the ecosystem.</w:t>
      </w:r>
      <w:r w:rsidR="00D32C90">
        <w:rPr>
          <w:rFonts w:ascii="Times New Roman" w:hAnsi="Times New Roman" w:cs="Times New Roman"/>
          <w:sz w:val="24"/>
          <w:szCs w:val="24"/>
        </w:rPr>
        <w:t xml:space="preserve"> </w:t>
      </w:r>
      <w:r w:rsidR="005D6BD6">
        <w:rPr>
          <w:rFonts w:ascii="Times New Roman" w:hAnsi="Times New Roman" w:cs="Times New Roman"/>
          <w:sz w:val="24"/>
          <w:szCs w:val="24"/>
        </w:rPr>
        <w:t>Surprisingly</w:t>
      </w:r>
      <w:r w:rsidR="008A1DFC">
        <w:rPr>
          <w:rFonts w:ascii="Times New Roman" w:hAnsi="Times New Roman" w:cs="Times New Roman"/>
          <w:sz w:val="24"/>
          <w:szCs w:val="24"/>
        </w:rPr>
        <w:t xml:space="preserve">, for </w:t>
      </w:r>
      <w:r w:rsidR="00D32C90">
        <w:rPr>
          <w:rFonts w:ascii="Times New Roman" w:hAnsi="Times New Roman" w:cs="Times New Roman"/>
          <w:sz w:val="24"/>
          <w:szCs w:val="24"/>
        </w:rPr>
        <w:t xml:space="preserve">six functional group stanzas, the median response to decreased dolphin survival was actually a decrease in biomass, presumably due to release of key </w:t>
      </w:r>
      <w:proofErr w:type="spellStart"/>
      <w:r w:rsidR="00D32C90">
        <w:rPr>
          <w:rFonts w:ascii="Times New Roman" w:hAnsi="Times New Roman" w:cs="Times New Roman"/>
          <w:sz w:val="24"/>
          <w:szCs w:val="24"/>
        </w:rPr>
        <w:lastRenderedPageBreak/>
        <w:t>mesopredators</w:t>
      </w:r>
      <w:proofErr w:type="spellEnd"/>
      <w:r w:rsidR="00BD40E4">
        <w:rPr>
          <w:rFonts w:ascii="Times New Roman" w:hAnsi="Times New Roman" w:cs="Times New Roman"/>
          <w:sz w:val="24"/>
          <w:szCs w:val="24"/>
        </w:rPr>
        <w:t xml:space="preserve"> (Fig. 2a)</w:t>
      </w:r>
      <w:r w:rsidR="00D32C90">
        <w:rPr>
          <w:rFonts w:ascii="Times New Roman" w:hAnsi="Times New Roman" w:cs="Times New Roman"/>
          <w:sz w:val="24"/>
          <w:szCs w:val="24"/>
        </w:rPr>
        <w:t xml:space="preserve">. </w:t>
      </w:r>
      <w:r w:rsidR="008A1DFC">
        <w:rPr>
          <w:rFonts w:ascii="Times New Roman" w:hAnsi="Times New Roman" w:cs="Times New Roman"/>
          <w:sz w:val="24"/>
          <w:szCs w:val="24"/>
        </w:rPr>
        <w:t xml:space="preserve">Five functional group stanzas also had negative median responses to reduced fishing pressure, due to </w:t>
      </w:r>
      <w:r w:rsidR="00BD40E4">
        <w:rPr>
          <w:rFonts w:ascii="Times New Roman" w:hAnsi="Times New Roman" w:cs="Times New Roman"/>
          <w:sz w:val="24"/>
          <w:szCs w:val="24"/>
        </w:rPr>
        <w:t xml:space="preserve">similar </w:t>
      </w:r>
      <w:r w:rsidR="008A1DFC">
        <w:rPr>
          <w:rFonts w:ascii="Times New Roman" w:hAnsi="Times New Roman" w:cs="Times New Roman"/>
          <w:sz w:val="24"/>
          <w:szCs w:val="24"/>
        </w:rPr>
        <w:t>indirect effects</w:t>
      </w:r>
      <w:r w:rsidR="00BD40E4">
        <w:rPr>
          <w:rFonts w:ascii="Times New Roman" w:hAnsi="Times New Roman" w:cs="Times New Roman"/>
          <w:sz w:val="24"/>
          <w:szCs w:val="24"/>
        </w:rPr>
        <w:t xml:space="preserve"> (Fig. 2b)</w:t>
      </w:r>
      <w:r w:rsidR="008A1DFC">
        <w:rPr>
          <w:rFonts w:ascii="Times New Roman" w:hAnsi="Times New Roman" w:cs="Times New Roman"/>
          <w:sz w:val="24"/>
          <w:szCs w:val="24"/>
        </w:rPr>
        <w:t xml:space="preserve">. </w:t>
      </w:r>
      <w:r w:rsidR="00D32C90">
        <w:rPr>
          <w:rFonts w:ascii="Times New Roman" w:hAnsi="Times New Roman" w:cs="Times New Roman"/>
          <w:sz w:val="24"/>
          <w:szCs w:val="24"/>
        </w:rPr>
        <w:t xml:space="preserve">However, for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 the 50% simulation interval also include</w:t>
      </w:r>
      <w:r w:rsidR="008A1DFC">
        <w:rPr>
          <w:rFonts w:ascii="Times New Roman" w:hAnsi="Times New Roman" w:cs="Times New Roman"/>
          <w:sz w:val="24"/>
          <w:szCs w:val="24"/>
        </w:rPr>
        <w:t xml:space="preserve">s positive responses. In fact, </w:t>
      </w:r>
      <w:r w:rsidR="00D32C90">
        <w:rPr>
          <w:rFonts w:ascii="Times New Roman" w:hAnsi="Times New Roman" w:cs="Times New Roman"/>
          <w:sz w:val="24"/>
          <w:szCs w:val="24"/>
        </w:rPr>
        <w:t xml:space="preserve">the 80% </w:t>
      </w:r>
      <w:r w:rsidR="008A1DFC">
        <w:rPr>
          <w:rFonts w:ascii="Times New Roman" w:hAnsi="Times New Roman" w:cs="Times New Roman"/>
          <w:sz w:val="24"/>
          <w:szCs w:val="24"/>
        </w:rPr>
        <w:t>simulation interval (not plotted</w:t>
      </w:r>
      <w:r w:rsidR="00BD40E4">
        <w:rPr>
          <w:rFonts w:ascii="Times New Roman" w:hAnsi="Times New Roman" w:cs="Times New Roman"/>
          <w:sz w:val="24"/>
          <w:szCs w:val="24"/>
        </w:rPr>
        <w:t xml:space="preserve"> because its wide range obscures the bar heights</w:t>
      </w:r>
      <w:r w:rsidR="008A1DFC">
        <w:rPr>
          <w:rFonts w:ascii="Times New Roman" w:hAnsi="Times New Roman" w:cs="Times New Roman"/>
          <w:sz w:val="24"/>
          <w:szCs w:val="24"/>
        </w:rPr>
        <w:t xml:space="preserve">) </w:t>
      </w:r>
      <w:r w:rsidR="00D32C90">
        <w:rPr>
          <w:rFonts w:ascii="Times New Roman" w:hAnsi="Times New Roman" w:cs="Times New Roman"/>
          <w:sz w:val="24"/>
          <w:szCs w:val="24"/>
        </w:rPr>
        <w:t>contains zero for all ten functional group stanzas</w:t>
      </w:r>
      <w:r w:rsidR="008A1DFC">
        <w:rPr>
          <w:rFonts w:ascii="Times New Roman" w:hAnsi="Times New Roman" w:cs="Times New Roman"/>
          <w:sz w:val="24"/>
          <w:szCs w:val="24"/>
        </w:rPr>
        <w:t xml:space="preserve"> and all three predators with the exception of a slight positive response of adult menhaden to diving bird 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In response to fishing, only blue crabs and menhaden, the two targets of major commercial fisheries within the model area, and adult red drum, which has no direct fishing mortality in this model (recreational catch targets juveniles), had 80% simulation intervals that did not overlap zero. Thus, with the single exception of adult red drum,</w:t>
      </w:r>
      <w:r w:rsidR="00BD40E4">
        <w:rPr>
          <w:rFonts w:ascii="Times New Roman" w:hAnsi="Times New Roman" w:cs="Times New Roman"/>
          <w:sz w:val="24"/>
          <w:szCs w:val="24"/>
        </w:rPr>
        <w:t xml:space="preserve"> while</w:t>
      </w:r>
      <w:r w:rsidR="008A1DFC">
        <w:rPr>
          <w:rFonts w:ascii="Times New Roman" w:hAnsi="Times New Roman" w:cs="Times New Roman"/>
          <w:sz w:val="24"/>
          <w:szCs w:val="24"/>
        </w:rPr>
        <w:t xml:space="preserve"> some parameter combinations simulated qualitatively </w:t>
      </w:r>
      <w:r w:rsidR="00BD40E4">
        <w:rPr>
          <w:rFonts w:ascii="Times New Roman" w:hAnsi="Times New Roman" w:cs="Times New Roman"/>
          <w:sz w:val="24"/>
          <w:szCs w:val="24"/>
        </w:rPr>
        <w:t xml:space="preserve">“significant” </w:t>
      </w:r>
      <w:r w:rsidR="008A1DFC">
        <w:rPr>
          <w:rFonts w:ascii="Times New Roman" w:hAnsi="Times New Roman" w:cs="Times New Roman"/>
          <w:sz w:val="24"/>
          <w:szCs w:val="24"/>
        </w:rPr>
        <w:t>responses to changing fishing pressure, these responses were highly variable and depended on the particular set of functional responses.</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10F59706"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0F758028" w14:textId="4D838BE1" w:rsidR="005D6BD6" w:rsidRPr="005D6BD6" w:rsidRDefault="005D6BD6" w:rsidP="005D6BD6">
      <w:pPr>
        <w:spacing w:after="0" w:line="480" w:lineRule="auto"/>
        <w:ind w:firstLine="360"/>
        <w:rPr>
          <w:rFonts w:ascii="Times New Roman" w:hAnsi="Times New Roman" w:cs="Times New Roman"/>
          <w:sz w:val="24"/>
          <w:szCs w:val="24"/>
        </w:rPr>
      </w:pPr>
      <w:r w:rsidRPr="005D6BD6">
        <w:rPr>
          <w:rFonts w:ascii="Times New Roman" w:hAnsi="Times New Roman" w:cs="Times New Roman"/>
          <w:sz w:val="24"/>
          <w:szCs w:val="24"/>
        </w:rPr>
        <w:t>Both predator release and fishery closures can explain compensatory responses of certain nearshore fish and invertebrate populations to the Deepwater Horizon oil spill, and such populations may have experienced oil-induced mortality that was masked by these ecosystem processes; however, fishery closures were likely the more significant factor. Based on the direct 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accounted for up to ~50% of mortality of different groups; based on the integrative analysis, 10% changes in fishing effort led to larger responses than 10% changes in predator survival. Considering that the oil spill caused much larger changes in fishing effort than</w:t>
      </w:r>
      <w:r w:rsidR="00C22D88">
        <w:rPr>
          <w:rFonts w:ascii="Times New Roman" w:hAnsi="Times New Roman" w:cs="Times New Roman"/>
          <w:sz w:val="24"/>
          <w:szCs w:val="24"/>
        </w:rPr>
        <w:t xml:space="preserve"> </w:t>
      </w:r>
      <w:commentRangeStart w:id="8"/>
      <w:r w:rsidR="00C22D88">
        <w:rPr>
          <w:rFonts w:ascii="Times New Roman" w:hAnsi="Times New Roman" w:cs="Times New Roman"/>
          <w:sz w:val="24"/>
          <w:szCs w:val="24"/>
        </w:rPr>
        <w:t>in</w:t>
      </w:r>
      <w:r w:rsidRPr="005D6BD6">
        <w:rPr>
          <w:rFonts w:ascii="Times New Roman" w:hAnsi="Times New Roman" w:cs="Times New Roman"/>
          <w:sz w:val="24"/>
          <w:szCs w:val="24"/>
        </w:rPr>
        <w:t xml:space="preserve"> predator survival</w:t>
      </w:r>
      <w:commentRangeEnd w:id="8"/>
      <w:r w:rsidR="00C22D88">
        <w:rPr>
          <w:rStyle w:val="CommentReference"/>
        </w:rPr>
        <w:commentReference w:id="8"/>
      </w:r>
      <w:r w:rsidRPr="005D6BD6">
        <w:rPr>
          <w:rFonts w:ascii="Times New Roman" w:hAnsi="Times New Roman" w:cs="Times New Roman"/>
          <w:sz w:val="24"/>
          <w:szCs w:val="24"/>
        </w:rPr>
        <w:t xml:space="preserve">, we conclude that, while both mortality </w:t>
      </w:r>
      <w:r w:rsidRPr="005D6BD6">
        <w:rPr>
          <w:rFonts w:ascii="Times New Roman" w:hAnsi="Times New Roman" w:cs="Times New Roman"/>
          <w:sz w:val="24"/>
          <w:szCs w:val="24"/>
        </w:rPr>
        <w:lastRenderedPageBreak/>
        <w:t xml:space="preserve">sources may be responsible for some compensatory responses of fish and invertebrate populations to the Deepwater Horizon oil spill, fishing likely played a stronger role. </w:t>
      </w:r>
    </w:p>
    <w:p w14:paraId="2241A388" w14:textId="5756B114" w:rsidR="0099016B" w:rsidRPr="0042481F" w:rsidRDefault="0099016B" w:rsidP="0042481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Model caveats</w:t>
      </w:r>
      <w:r w:rsidR="00D920DF">
        <w:rPr>
          <w:rFonts w:ascii="Times New Roman" w:hAnsi="Times New Roman" w:cs="Times New Roman"/>
          <w:sz w:val="24"/>
          <w:szCs w:val="24"/>
        </w:rPr>
        <w:t>- uncertainty we found that is buried in other models</w:t>
      </w:r>
    </w:p>
    <w:p w14:paraId="048CA470" w14:textId="64A5D222" w:rsidR="0042481F" w:rsidRDefault="0042481F" w:rsidP="0042481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paper that </w:t>
      </w:r>
      <w:r w:rsidR="002A60CF">
        <w:rPr>
          <w:rFonts w:ascii="Times New Roman" w:hAnsi="Times New Roman" w:cs="Times New Roman"/>
          <w:sz w:val="24"/>
          <w:szCs w:val="24"/>
        </w:rPr>
        <w:t>concluded</w:t>
      </w:r>
      <w:r>
        <w:rPr>
          <w:rFonts w:ascii="Times New Roman" w:hAnsi="Times New Roman" w:cs="Times New Roman"/>
          <w:sz w:val="24"/>
          <w:szCs w:val="24"/>
        </w:rPr>
        <w:t xml:space="preserve"> that a bumper year class of menhaden was due to predator release </w:t>
      </w:r>
      <w:r w:rsidR="002A60CF">
        <w:rPr>
          <w:rFonts w:ascii="Times New Roman" w:hAnsi="Times New Roman" w:cs="Times New Roman"/>
          <w:sz w:val="24"/>
          <w:szCs w:val="24"/>
        </w:rPr>
        <w:t xml:space="preserve">specifically </w:t>
      </w:r>
      <w:r>
        <w:rPr>
          <w:rFonts w:ascii="Times New Roman" w:hAnsi="Times New Roman" w:cs="Times New Roman"/>
          <w:sz w:val="24"/>
          <w:szCs w:val="24"/>
        </w:rPr>
        <w:t>from pelicans. Need to explain that.</w:t>
      </w:r>
    </w:p>
    <w:p w14:paraId="2689B23B" w14:textId="178D6C45" w:rsidR="0042481F" w:rsidRDefault="0042481F" w:rsidP="0042481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Other ecosystem modeling in response to oil spill (Atlantis model, a study from the </w:t>
      </w:r>
      <w:r w:rsidR="00292F64">
        <w:rPr>
          <w:rFonts w:ascii="Times New Roman" w:hAnsi="Times New Roman" w:cs="Times New Roman"/>
          <w:sz w:val="24"/>
          <w:szCs w:val="24"/>
        </w:rPr>
        <w:t>NRDA in some weird modelling software the EPA uses</w:t>
      </w:r>
      <w:r>
        <w:rPr>
          <w:rFonts w:ascii="Times New Roman" w:hAnsi="Times New Roman" w:cs="Times New Roman"/>
          <w:sz w:val="24"/>
          <w:szCs w:val="24"/>
        </w:rPr>
        <w:t>)</w:t>
      </w:r>
    </w:p>
    <w:p w14:paraId="3479B2DA" w14:textId="3080E6E5" w:rsidR="0042481F" w:rsidRDefault="00600A6E" w:rsidP="0042481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Other approaches that could be used to answer this question</w:t>
      </w:r>
      <w:r w:rsidR="00F505E9">
        <w:rPr>
          <w:rFonts w:ascii="Times New Roman" w:hAnsi="Times New Roman" w:cs="Times New Roman"/>
          <w:sz w:val="24"/>
          <w:szCs w:val="24"/>
        </w:rPr>
        <w:t>. Benefits of this approach. (The importance of functional responses in driving some results seems like an important revelation.)</w:t>
      </w:r>
    </w:p>
    <w:p w14:paraId="4E89EE3D" w14:textId="75B88CC8" w:rsidR="00F505E9" w:rsidRPr="00F505E9" w:rsidRDefault="002A60CF" w:rsidP="00F505E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Your ideas?</w:t>
      </w:r>
    </w:p>
    <w:p w14:paraId="6770D64E" w14:textId="5AEA503C" w:rsidR="00F24AC9" w:rsidRDefault="0099016B" w:rsidP="0004785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Grand conclusion. Last paragraphs are the worst.</w:t>
      </w:r>
      <w:r w:rsidR="00D920DF">
        <w:rPr>
          <w:rFonts w:ascii="Times New Roman" w:hAnsi="Times New Roman" w:cs="Times New Roman"/>
          <w:sz w:val="24"/>
          <w:szCs w:val="24"/>
        </w:rPr>
        <w:t xml:space="preserve"> Go back to hypotheses, where this this paper </w:t>
      </w:r>
      <w:proofErr w:type="gramStart"/>
      <w:r w:rsidR="00D920DF">
        <w:rPr>
          <w:rFonts w:ascii="Times New Roman" w:hAnsi="Times New Roman" w:cs="Times New Roman"/>
          <w:sz w:val="24"/>
          <w:szCs w:val="24"/>
        </w:rPr>
        <w:t>leave</w:t>
      </w:r>
      <w:proofErr w:type="gramEnd"/>
      <w:r w:rsidR="00D920DF">
        <w:rPr>
          <w:rFonts w:ascii="Times New Roman" w:hAnsi="Times New Roman" w:cs="Times New Roman"/>
          <w:sz w:val="24"/>
          <w:szCs w:val="24"/>
        </w:rPr>
        <w:t xml:space="preserve"> us?</w:t>
      </w:r>
    </w:p>
    <w:p w14:paraId="6A14E815" w14:textId="77777777" w:rsidR="00A24A51" w:rsidRDefault="00A24A51" w:rsidP="00A24A51">
      <w:pPr>
        <w:pStyle w:val="ListParagraph"/>
        <w:spacing w:after="0" w:line="480" w:lineRule="auto"/>
        <w:rPr>
          <w:rFonts w:ascii="Times New Roman" w:hAnsi="Times New Roman" w:cs="Times New Roman"/>
          <w:sz w:val="24"/>
          <w:szCs w:val="24"/>
        </w:rPr>
      </w:pPr>
    </w:p>
    <w:p w14:paraId="04626039" w14:textId="77777777" w:rsidR="00A24A51" w:rsidRDefault="00A50BE2" w:rsidP="00A50B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Other notes with more recent citations: </w:t>
      </w:r>
    </w:p>
    <w:p w14:paraId="2C8348E3" w14:textId="5C0D46CF" w:rsidR="00A50BE2" w:rsidRDefault="00A50BE2" w:rsidP="00A50B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Zooplankton community also </w:t>
      </w:r>
      <w:r w:rsidR="004145EA">
        <w:rPr>
          <w:rFonts w:ascii="Times New Roman" w:hAnsi="Times New Roman" w:cs="Times New Roman"/>
          <w:sz w:val="24"/>
          <w:szCs w:val="24"/>
        </w:rPr>
        <w:t xml:space="preserve">had no noticeable changes beyond natural variability </w:t>
      </w:r>
      <w:r w:rsidR="004145EA">
        <w:rPr>
          <w:rFonts w:ascii="Times New Roman" w:hAnsi="Times New Roman" w:cs="Times New Roman"/>
          <w:sz w:val="24"/>
          <w:szCs w:val="24"/>
        </w:rPr>
        <w:fldChar w:fldCharType="begin"/>
      </w:r>
      <w:r w:rsidR="004145EA">
        <w:rPr>
          <w:rFonts w:ascii="Times New Roman" w:hAnsi="Times New Roman" w:cs="Times New Roman"/>
          <w:sz w:val="24"/>
          <w:szCs w:val="24"/>
        </w:rPr>
        <w:instrText xml:space="preserve"> ADDIN ZOTERO_ITEM CSL_CITATION {"citationID":"OTlXFffG","properties":{"formattedCitation":"(Daly et al. 2021)","plainCitation":"(Daly et al. 2021)","noteIndex":0},"citationItems":[{"id":2751,"uris":["http://zotero.org/users/783258/items/CIIVFUM3"],"uri":["http://zotero.org/users/783258/items/CIIVFUM3"],"itemData":{"id":2751,"type":"article-journal","abstract":"We evaluated the resilience of the zooplankton community to the Deepwater Horizon oil spill in the northeast Gulf of Mexico, by assessing abundance, biomass, spatial distribution, species composition, and diversity indices during spring, summer, and winter, May 2010 to August 2014. SEAMAP samples collected between spring and summer 2005–2009 were analyzed as a baseline. Our results did not indicate that there was a long-term impact from the oil spill, but did demonstrate that environmental variability and riverine processes strongly governed zooplankton community dynamics. Zooplankton abundances during the oil spill (spring 2010) were not significantly different from abundances during spring 2011 and 2012. Summer 2010 abundances were the highest observed for the 2005 to 2014 period, due to high river discharge, high chlorophyll, and aggregation in eddies. High densities of the dinoflagellate, Noctiluca, during the oil spill, and the copepod, Centropages velificatus, and larvaceans in all years, suggest that these taxa warrant further investigation. Ecosystem connectivity (zooplankton transport by currents into the oil spill region), high fecundity, relatively short generation times, and refugia in deeper depths are key factors in zooplankton resilience to major perturbations. This study serves as a baseline for assessment of future impacts to this system.","container-title":"Marine Pollution Bulletin","DOI":"10.1016/j.marpolbul.2020.111882","ISSN":"0025-326X","journalAbbreviation":"Marine Pollution Bulletin","language":"en","page":"111882","source":"ScienceDirect","title":"Resilience of the zooplankton community in the northeast Gulf of Mexico during and after the Deepwater Horizon oil spill","volume":"163","author":[{"family":"Daly","given":"Kendra L."},{"family":"Remsen","given":"Andrew"},{"family":"Outram","given":"Dawn M."},{"family":"Broadbent","given":"Heather"},{"family":"Kramer","given":"Kurt"},{"family":"Dubickas","given":"Kate"}],"issued":{"date-parts":[["2021",2,1]]}}}],"schema":"https://github.com/citation-style-language/schema/raw/master/csl-citation.json"} </w:instrText>
      </w:r>
      <w:r w:rsidR="004145EA">
        <w:rPr>
          <w:rFonts w:ascii="Times New Roman" w:hAnsi="Times New Roman" w:cs="Times New Roman"/>
          <w:sz w:val="24"/>
          <w:szCs w:val="24"/>
        </w:rPr>
        <w:fldChar w:fldCharType="separate"/>
      </w:r>
      <w:r w:rsidR="004145EA" w:rsidRPr="004145EA">
        <w:rPr>
          <w:rFonts w:ascii="Times New Roman" w:hAnsi="Times New Roman" w:cs="Times New Roman"/>
          <w:sz w:val="24"/>
        </w:rPr>
        <w:t>(Daly et al. 2021)</w:t>
      </w:r>
      <w:r w:rsidR="004145EA">
        <w:rPr>
          <w:rFonts w:ascii="Times New Roman" w:hAnsi="Times New Roman" w:cs="Times New Roman"/>
          <w:sz w:val="24"/>
          <w:szCs w:val="24"/>
        </w:rPr>
        <w:fldChar w:fldCharType="end"/>
      </w:r>
      <w:r w:rsidR="004145EA">
        <w:rPr>
          <w:rFonts w:ascii="Times New Roman" w:hAnsi="Times New Roman" w:cs="Times New Roman"/>
          <w:sz w:val="24"/>
          <w:szCs w:val="24"/>
        </w:rPr>
        <w:t xml:space="preserve"> </w:t>
      </w:r>
    </w:p>
    <w:p w14:paraId="3F0EEA2A" w14:textId="7ABB9EAD" w:rsidR="004145EA" w:rsidRDefault="004145EA" w:rsidP="00A50BE2">
      <w:pPr>
        <w:spacing w:after="0" w:line="480" w:lineRule="auto"/>
        <w:rPr>
          <w:rFonts w:ascii="Times New Roman" w:hAnsi="Times New Roman" w:cs="Times New Roman"/>
          <w:sz w:val="24"/>
          <w:szCs w:val="24"/>
        </w:rPr>
      </w:pPr>
    </w:p>
    <w:p w14:paraId="0AC35620" w14:textId="17D838A1" w:rsidR="004145EA" w:rsidRPr="00A50BE2" w:rsidRDefault="00A24A51" w:rsidP="004145EA">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4145EA">
        <w:rPr>
          <w:rFonts w:ascii="Times New Roman" w:hAnsi="Times New Roman" w:cs="Times New Roman"/>
          <w:sz w:val="24"/>
          <w:szCs w:val="24"/>
        </w:rPr>
        <w:t>Knowledge of indirect eff</w:t>
      </w:r>
      <w:r w:rsidR="004145EA" w:rsidRPr="004145EA">
        <w:rPr>
          <w:rFonts w:ascii="Times New Roman" w:hAnsi="Times New Roman" w:cs="Times New Roman"/>
          <w:sz w:val="24"/>
          <w:szCs w:val="24"/>
        </w:rPr>
        <w:t>ects is essential to improve understanding of the potential for ch</w:t>
      </w:r>
      <w:r w:rsidR="004145EA">
        <w:rPr>
          <w:rFonts w:ascii="Times New Roman" w:hAnsi="Times New Roman" w:cs="Times New Roman"/>
          <w:sz w:val="24"/>
          <w:szCs w:val="24"/>
        </w:rPr>
        <w:t>emical harm in natural systems. For example, indirect eff</w:t>
      </w:r>
      <w:r w:rsidR="004145EA" w:rsidRPr="004145EA">
        <w:rPr>
          <w:rFonts w:ascii="Times New Roman" w:hAnsi="Times New Roman" w:cs="Times New Roman"/>
          <w:sz w:val="24"/>
          <w:szCs w:val="24"/>
        </w:rPr>
        <w:t>ects may confound laboratory-based ecologica</w:t>
      </w:r>
      <w:r w:rsidR="004145EA">
        <w:rPr>
          <w:rFonts w:ascii="Times New Roman" w:hAnsi="Times New Roman" w:cs="Times New Roman"/>
          <w:sz w:val="24"/>
          <w:szCs w:val="24"/>
        </w:rPr>
        <w:t xml:space="preserve">l risk assessment by enhancing, </w:t>
      </w:r>
      <w:r w:rsidR="004145EA" w:rsidRPr="004145EA">
        <w:rPr>
          <w:rFonts w:ascii="Times New Roman" w:hAnsi="Times New Roman" w:cs="Times New Roman"/>
          <w:sz w:val="24"/>
          <w:szCs w:val="24"/>
        </w:rPr>
        <w:t>masking, or spu</w:t>
      </w:r>
      <w:r w:rsidR="004145EA">
        <w:rPr>
          <w:rFonts w:ascii="Times New Roman" w:hAnsi="Times New Roman" w:cs="Times New Roman"/>
          <w:sz w:val="24"/>
          <w:szCs w:val="24"/>
        </w:rPr>
        <w:t>riously indicating the direct eff</w:t>
      </w:r>
      <w:r w:rsidR="004145EA" w:rsidRPr="004145EA">
        <w:rPr>
          <w:rFonts w:ascii="Times New Roman" w:hAnsi="Times New Roman" w:cs="Times New Roman"/>
          <w:sz w:val="24"/>
          <w:szCs w:val="24"/>
        </w:rPr>
        <w:t>ect of chemical contaminants.</w:t>
      </w:r>
      <w:r>
        <w:rPr>
          <w:rFonts w:ascii="Times New Roman" w:hAnsi="Times New Roman" w:cs="Times New Roman"/>
          <w:sz w:val="24"/>
          <w:szCs w:val="24"/>
        </w:rPr>
        <w:t>”</w:t>
      </w:r>
      <w:r w:rsidR="004145EA">
        <w:rPr>
          <w:rFonts w:ascii="Times New Roman" w:hAnsi="Times New Roman" w:cs="Times New Roman"/>
          <w:sz w:val="24"/>
          <w:szCs w:val="24"/>
        </w:rPr>
        <w:t xml:space="preserve"> </w:t>
      </w:r>
      <w:r w:rsidR="004145EA">
        <w:rPr>
          <w:rFonts w:ascii="Times New Roman" w:hAnsi="Times New Roman" w:cs="Times New Roman"/>
          <w:sz w:val="24"/>
          <w:szCs w:val="24"/>
        </w:rPr>
        <w:fldChar w:fldCharType="begin"/>
      </w:r>
      <w:r w:rsidR="004145EA">
        <w:rPr>
          <w:rFonts w:ascii="Times New Roman" w:hAnsi="Times New Roman" w:cs="Times New Roman"/>
          <w:sz w:val="24"/>
          <w:szCs w:val="24"/>
        </w:rPr>
        <w:instrText xml:space="preserve"> ADDIN ZOTERO_ITEM CSL_CITATION {"citationID":"FnMa2aU5","properties":{"formattedCitation":"(Fleeger 2020)","plainCitation":"(Fleeger 2020)","noteIndex":0},"citationItems":[{"id":2755,"uris":["http://zotero.org/users/783258/items/RQD63U4F"],"uri":["http://zotero.org/users/783258/items/RQD63U4F"],"itemData":{"id":2755,"type":"article-journal","container-title":"Processes","issue":"12","note":"publisher: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4145EA">
        <w:rPr>
          <w:rFonts w:ascii="Times New Roman" w:hAnsi="Times New Roman" w:cs="Times New Roman"/>
          <w:sz w:val="24"/>
          <w:szCs w:val="24"/>
        </w:rPr>
        <w:fldChar w:fldCharType="separate"/>
      </w:r>
      <w:r w:rsidR="004145EA" w:rsidRPr="004145EA">
        <w:rPr>
          <w:rFonts w:ascii="Times New Roman" w:hAnsi="Times New Roman" w:cs="Times New Roman"/>
          <w:sz w:val="24"/>
        </w:rPr>
        <w:t>(Fleeger 2020)</w:t>
      </w:r>
      <w:r w:rsidR="004145EA">
        <w:rPr>
          <w:rFonts w:ascii="Times New Roman" w:hAnsi="Times New Roman" w:cs="Times New Roman"/>
          <w:sz w:val="24"/>
          <w:szCs w:val="24"/>
        </w:rPr>
        <w:fldChar w:fldCharType="end"/>
      </w:r>
    </w:p>
    <w:p w14:paraId="2D93F9F5" w14:textId="61E596F1" w:rsidR="00B529FC" w:rsidRDefault="00B529FC" w:rsidP="00975FCD">
      <w:pPr>
        <w:spacing w:after="0" w:line="480" w:lineRule="auto"/>
        <w:rPr>
          <w:rFonts w:ascii="Times New Roman" w:hAnsi="Times New Roman" w:cs="Times New Roman"/>
          <w:sz w:val="24"/>
          <w:szCs w:val="24"/>
          <w:u w:val="single"/>
        </w:rPr>
      </w:pPr>
    </w:p>
    <w:p w14:paraId="3FDC7DA2" w14:textId="74D41170" w:rsidR="00000340" w:rsidRDefault="00A24A51" w:rsidP="00975FC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000340" w:rsidRPr="004B0FDA">
        <w:rPr>
          <w:rFonts w:ascii="Times New Roman" w:hAnsi="Times New Roman" w:cs="Times New Roman"/>
          <w:sz w:val="24"/>
          <w:szCs w:val="24"/>
        </w:rPr>
        <w: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w:t>
      </w:r>
      <w:r>
        <w:rPr>
          <w:rFonts w:ascii="Times New Roman" w:hAnsi="Times New Roman" w:cs="Times New Roman"/>
          <w:sz w:val="24"/>
          <w:szCs w:val="24"/>
        </w:rPr>
        <w:t>”</w:t>
      </w:r>
      <w:r w:rsidR="004B0FDA">
        <w:rPr>
          <w:rFonts w:ascii="Times New Roman" w:hAnsi="Times New Roman" w:cs="Times New Roman"/>
          <w:sz w:val="24"/>
          <w:szCs w:val="24"/>
        </w:rPr>
        <w:t xml:space="preserve"> </w:t>
      </w:r>
      <w:r w:rsidR="004B0FDA">
        <w:rPr>
          <w:rFonts w:ascii="Times New Roman" w:hAnsi="Times New Roman" w:cs="Times New Roman"/>
          <w:sz w:val="24"/>
          <w:szCs w:val="24"/>
        </w:rPr>
        <w:fldChar w:fldCharType="begin"/>
      </w:r>
      <w:r w:rsidR="004B0FDA">
        <w:rPr>
          <w:rFonts w:ascii="Times New Roman" w:hAnsi="Times New Roman" w:cs="Times New Roman"/>
          <w:sz w:val="24"/>
          <w:szCs w:val="24"/>
        </w:rPr>
        <w:instrText xml:space="preserve"> ADDIN ZOTERO_ITEM CSL_CITATION {"citationID":"HbWQBwNE","properties":{"formattedCitation":"(Lewis et al. n.d.)","plainCitation":"(Lewis et al. n.d.)","noteIndex":0},"citationItems":[{"id":2758,"uris":["http://zotero.org/users/783258/items/Y35CUJCY"],"uri":["http://zotero.org/users/783258/items/Y35CUJCY"],"itemData":{"id":2758,"type":"article-journal","abstract":"A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Oceanography","DOI":"10.1002/lno.11790","ISSN":"1939-5590","issue":"n/a","language":"en","note":"_eprint: https://onlinelibrary.wiley.com/doi/pdf/10.1002/lno.11790","source":"Wiley Online Library","title":"Complexities of disturbance response in a marine food web","URL":"https://onlinelibrary.wiley.com/doi/abs/10.1002/lno.11790","volume":"n/a","author":[{"family":"Lewis","given":"Kristy A."},{"family":"Christian","given":"Robert R."},{"family":"Martin","given":"Charles W."},{"family":"Allen","given":"Kira L."},{"family":"McDonald","given":"Ashley M."},{"family":"Roberts","given":"Victoria M."},{"family":"Shaffer","given":"Michelle N."},{"family":"Valentine","given":"John F."}],"accessed":{"date-parts":[["2022",2,26]]}}}],"schema":"https://github.com/citation-style-language/schema/raw/master/csl-citation.json"} </w:instrText>
      </w:r>
      <w:r w:rsidR="004B0FDA">
        <w:rPr>
          <w:rFonts w:ascii="Times New Roman" w:hAnsi="Times New Roman" w:cs="Times New Roman"/>
          <w:sz w:val="24"/>
          <w:szCs w:val="24"/>
        </w:rPr>
        <w:fldChar w:fldCharType="separate"/>
      </w:r>
      <w:r w:rsidR="004B0FDA" w:rsidRPr="004B0FDA">
        <w:rPr>
          <w:rFonts w:ascii="Times New Roman" w:hAnsi="Times New Roman" w:cs="Times New Roman"/>
          <w:sz w:val="24"/>
        </w:rPr>
        <w:t xml:space="preserve">(Lewis et al. </w:t>
      </w:r>
      <w:proofErr w:type="spellStart"/>
      <w:r w:rsidR="004B0FDA" w:rsidRPr="004B0FDA">
        <w:rPr>
          <w:rFonts w:ascii="Times New Roman" w:hAnsi="Times New Roman" w:cs="Times New Roman"/>
          <w:sz w:val="24"/>
        </w:rPr>
        <w:t>n.d.</w:t>
      </w:r>
      <w:proofErr w:type="spellEnd"/>
      <w:r w:rsidR="004B0FDA" w:rsidRPr="004B0FDA">
        <w:rPr>
          <w:rFonts w:ascii="Times New Roman" w:hAnsi="Times New Roman" w:cs="Times New Roman"/>
          <w:sz w:val="24"/>
        </w:rPr>
        <w:t>)</w:t>
      </w:r>
      <w:r w:rsidR="004B0FDA">
        <w:rPr>
          <w:rFonts w:ascii="Times New Roman" w:hAnsi="Times New Roman" w:cs="Times New Roman"/>
          <w:sz w:val="24"/>
          <w:szCs w:val="24"/>
        </w:rPr>
        <w:fldChar w:fldCharType="end"/>
      </w:r>
    </w:p>
    <w:p w14:paraId="06ADEE2D" w14:textId="3C49D488" w:rsidR="00A24A51" w:rsidRDefault="00A24A51" w:rsidP="00975FCD">
      <w:pPr>
        <w:spacing w:after="0" w:line="480" w:lineRule="auto"/>
        <w:rPr>
          <w:rFonts w:ascii="Times New Roman" w:hAnsi="Times New Roman" w:cs="Times New Roman"/>
          <w:sz w:val="24"/>
          <w:szCs w:val="24"/>
        </w:rPr>
      </w:pPr>
    </w:p>
    <w:p w14:paraId="776B42D7" w14:textId="6390E8CB" w:rsidR="00A24A51" w:rsidRDefault="00A24A51" w:rsidP="00975FC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Found increase in nekton biomass during the years immediately following the spill and community composition change related to increase in specific species, coastal AL and MS, mechanisms unclear. </w:t>
      </w:r>
      <w:r w:rsidR="005D623D">
        <w:rPr>
          <w:rFonts w:ascii="Times New Roman" w:hAnsi="Times New Roman" w:cs="Times New Roman"/>
          <w:sz w:val="24"/>
          <w:szCs w:val="24"/>
        </w:rPr>
        <w:fldChar w:fldCharType="begin"/>
      </w:r>
      <w:r w:rsidR="005D623D">
        <w:rPr>
          <w:rFonts w:ascii="Times New Roman" w:hAnsi="Times New Roman" w:cs="Times New Roman"/>
          <w:sz w:val="24"/>
          <w:szCs w:val="24"/>
        </w:rPr>
        <w:instrText xml:space="preserve"> ADDIN ZOTERO_ITEM CSL_CITATION {"citationID":"NxezNziH","properties":{"formattedCitation":"(Martin et al. 2020)","plainCitation":"(Martin et al. 2020)","noteIndex":0},"citationItems":[{"id":2761,"uris":["http://zotero.org/users/783258/items/QBI789JY"],"uri":["http://zotero.org/users/783258/items/QBI789JY"],"itemData":{"id":2761,"type":"article-journal","abstract":"The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5D623D">
        <w:rPr>
          <w:rFonts w:ascii="Times New Roman" w:hAnsi="Times New Roman" w:cs="Times New Roman"/>
          <w:sz w:val="24"/>
          <w:szCs w:val="24"/>
        </w:rPr>
        <w:fldChar w:fldCharType="separate"/>
      </w:r>
      <w:r w:rsidR="005D623D" w:rsidRPr="005D623D">
        <w:rPr>
          <w:rFonts w:ascii="Times New Roman" w:hAnsi="Times New Roman" w:cs="Times New Roman"/>
          <w:sz w:val="24"/>
        </w:rPr>
        <w:t>(Martin et al. 2020)</w:t>
      </w:r>
      <w:r w:rsidR="005D623D">
        <w:rPr>
          <w:rFonts w:ascii="Times New Roman" w:hAnsi="Times New Roman" w:cs="Times New Roman"/>
          <w:sz w:val="24"/>
          <w:szCs w:val="24"/>
        </w:rPr>
        <w:fldChar w:fldCharType="end"/>
      </w:r>
    </w:p>
    <w:p w14:paraId="493F95D4" w14:textId="1F0218A4" w:rsidR="005D623D" w:rsidRDefault="005D623D" w:rsidP="00975FCD">
      <w:pPr>
        <w:spacing w:after="0" w:line="480" w:lineRule="auto"/>
        <w:rPr>
          <w:rFonts w:ascii="Times New Roman" w:hAnsi="Times New Roman" w:cs="Times New Roman"/>
          <w:sz w:val="24"/>
          <w:szCs w:val="24"/>
        </w:rPr>
      </w:pPr>
    </w:p>
    <w:p w14:paraId="2E781502" w14:textId="77777777" w:rsidR="005D623D" w:rsidRPr="004B0FDA" w:rsidRDefault="005D623D" w:rsidP="00975FCD">
      <w:pPr>
        <w:spacing w:after="0" w:line="480" w:lineRule="auto"/>
        <w:rPr>
          <w:rFonts w:ascii="Times New Roman" w:hAnsi="Times New Roman" w:cs="Times New Roman"/>
          <w:sz w:val="24"/>
          <w:szCs w:val="24"/>
        </w:rPr>
      </w:pPr>
    </w:p>
    <w:p w14:paraId="6A49B4CB" w14:textId="77777777" w:rsidR="004B0FDA" w:rsidRDefault="004B0FDA"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020B097C" w14:textId="77777777" w:rsidR="00D71CE0" w:rsidRPr="00D71CE0" w:rsidRDefault="00087729" w:rsidP="00D71CE0">
      <w:pPr>
        <w:pStyle w:val="Bibliography"/>
        <w:rPr>
          <w:rFonts w:ascii="Times New Roman" w:hAnsi="Times New Roman" w:cs="Times New Roman"/>
          <w:sz w:val="24"/>
        </w:rPr>
      </w:pPr>
      <w:r>
        <w:rPr>
          <w:u w:val="single"/>
        </w:rPr>
        <w:fldChar w:fldCharType="begin"/>
      </w:r>
      <w:r w:rsidR="0029638B">
        <w:rPr>
          <w:u w:val="single"/>
        </w:rPr>
        <w:instrText xml:space="preserve"> ADDIN ZOTERO_BIBL {"uncited":[],"omitted":[],"custom":[]} CSL_BIBLIOGRAPHY </w:instrText>
      </w:r>
      <w:r>
        <w:rPr>
          <w:u w:val="single"/>
        </w:rPr>
        <w:fldChar w:fldCharType="separate"/>
      </w:r>
      <w:r w:rsidR="00D71CE0" w:rsidRPr="00D71CE0">
        <w:rPr>
          <w:rFonts w:ascii="Times New Roman" w:hAnsi="Times New Roman" w:cs="Times New Roman"/>
          <w:sz w:val="24"/>
        </w:rPr>
        <w:t>Adams, C. M., E. Hernandez, and J. C. Cato. 2004. The economic significance of the Gulf of Mexico related to population, income, employment, minerals, fisheries and shipping. Ocean &amp; Coastal Management 47:565–580.</w:t>
      </w:r>
    </w:p>
    <w:p w14:paraId="7C7786B3"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Ainsworth, C. H., C. B. Paris, N. </w:t>
      </w:r>
      <w:proofErr w:type="spellStart"/>
      <w:r w:rsidRPr="00D71CE0">
        <w:rPr>
          <w:rFonts w:ascii="Times New Roman" w:hAnsi="Times New Roman" w:cs="Times New Roman"/>
          <w:sz w:val="24"/>
        </w:rPr>
        <w:t>Perlin</w:t>
      </w:r>
      <w:proofErr w:type="spellEnd"/>
      <w:r w:rsidRPr="00D71CE0">
        <w:rPr>
          <w:rFonts w:ascii="Times New Roman" w:hAnsi="Times New Roman" w:cs="Times New Roman"/>
          <w:sz w:val="24"/>
        </w:rPr>
        <w:t xml:space="preserve">, L. N. </w:t>
      </w:r>
      <w:proofErr w:type="spellStart"/>
      <w:r w:rsidRPr="00D71CE0">
        <w:rPr>
          <w:rFonts w:ascii="Times New Roman" w:hAnsi="Times New Roman" w:cs="Times New Roman"/>
          <w:sz w:val="24"/>
        </w:rPr>
        <w:t>Dornberger</w:t>
      </w:r>
      <w:proofErr w:type="spellEnd"/>
      <w:r w:rsidRPr="00D71CE0">
        <w:rPr>
          <w:rFonts w:ascii="Times New Roman" w:hAnsi="Times New Roman" w:cs="Times New Roman"/>
          <w:sz w:val="24"/>
        </w:rPr>
        <w:t xml:space="preserve">, W. F. P. Iii, E. Chancellor, S. </w:t>
      </w:r>
      <w:proofErr w:type="spellStart"/>
      <w:r w:rsidRPr="00D71CE0">
        <w:rPr>
          <w:rFonts w:ascii="Times New Roman" w:hAnsi="Times New Roman" w:cs="Times New Roman"/>
          <w:sz w:val="24"/>
        </w:rPr>
        <w:t>Murawski</w:t>
      </w:r>
      <w:proofErr w:type="spellEnd"/>
      <w:r w:rsidRPr="00D71CE0">
        <w:rPr>
          <w:rFonts w:ascii="Times New Roman" w:hAnsi="Times New Roman" w:cs="Times New Roman"/>
          <w:sz w:val="24"/>
        </w:rPr>
        <w:t xml:space="preserve">, D. Hollander, K. Daly, I. C. Romero, F. Coleman, and H. Perryman. 2018. Impacts of the Deepwater Horizon oil spill evaluated using an end-to-end ecosystem model. PLOS ONE </w:t>
      </w:r>
      <w:proofErr w:type="gramStart"/>
      <w:r w:rsidRPr="00D71CE0">
        <w:rPr>
          <w:rFonts w:ascii="Times New Roman" w:hAnsi="Times New Roman" w:cs="Times New Roman"/>
          <w:sz w:val="24"/>
        </w:rPr>
        <w:t>13:e</w:t>
      </w:r>
      <w:proofErr w:type="gramEnd"/>
      <w:r w:rsidRPr="00D71CE0">
        <w:rPr>
          <w:rFonts w:ascii="Times New Roman" w:hAnsi="Times New Roman" w:cs="Times New Roman"/>
          <w:sz w:val="24"/>
        </w:rPr>
        <w:t>0190840.</w:t>
      </w:r>
    </w:p>
    <w:p w14:paraId="10778B20"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Chesney, E. J., D. M. </w:t>
      </w:r>
      <w:proofErr w:type="spellStart"/>
      <w:r w:rsidRPr="00D71CE0">
        <w:rPr>
          <w:rFonts w:ascii="Times New Roman" w:hAnsi="Times New Roman" w:cs="Times New Roman"/>
          <w:sz w:val="24"/>
        </w:rPr>
        <w:t>Baltz</w:t>
      </w:r>
      <w:proofErr w:type="spellEnd"/>
      <w:r w:rsidRPr="00D71CE0">
        <w:rPr>
          <w:rFonts w:ascii="Times New Roman" w:hAnsi="Times New Roman" w:cs="Times New Roman"/>
          <w:sz w:val="24"/>
        </w:rPr>
        <w:t>, and R. G. Thomas. 2000. Louisiana Estuarine and Coastal Fisheries and Habitats: Perspectives from a Fish’s Eye View. Ecological Applications 10:350–366.</w:t>
      </w:r>
    </w:p>
    <w:p w14:paraId="55210C09"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Christensen, V., and D. </w:t>
      </w:r>
      <w:proofErr w:type="spellStart"/>
      <w:r w:rsidRPr="00D71CE0">
        <w:rPr>
          <w:rFonts w:ascii="Times New Roman" w:hAnsi="Times New Roman" w:cs="Times New Roman"/>
          <w:sz w:val="24"/>
        </w:rPr>
        <w:t>Pauly</w:t>
      </w:r>
      <w:proofErr w:type="spellEnd"/>
      <w:r w:rsidRPr="00D71CE0">
        <w:rPr>
          <w:rFonts w:ascii="Times New Roman" w:hAnsi="Times New Roman" w:cs="Times New Roman"/>
          <w:sz w:val="24"/>
        </w:rPr>
        <w:t>. 1992. ECOPATH II—a software for balancing steady-state ecosystem models and calculating network characteristics. Ecological modelling 61:169–185.</w:t>
      </w:r>
    </w:p>
    <w:p w14:paraId="6FD7A50F"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lastRenderedPageBreak/>
        <w:t xml:space="preserve">Daly, K. L., A. Remsen, D. M. </w:t>
      </w:r>
      <w:proofErr w:type="spellStart"/>
      <w:r w:rsidRPr="00D71CE0">
        <w:rPr>
          <w:rFonts w:ascii="Times New Roman" w:hAnsi="Times New Roman" w:cs="Times New Roman"/>
          <w:sz w:val="24"/>
        </w:rPr>
        <w:t>Outram</w:t>
      </w:r>
      <w:proofErr w:type="spellEnd"/>
      <w:r w:rsidRPr="00D71CE0">
        <w:rPr>
          <w:rFonts w:ascii="Times New Roman" w:hAnsi="Times New Roman" w:cs="Times New Roman"/>
          <w:sz w:val="24"/>
        </w:rPr>
        <w:t xml:space="preserve">, H. Broadbent, K. Kramer, and K. </w:t>
      </w:r>
      <w:proofErr w:type="spellStart"/>
      <w:r w:rsidRPr="00D71CE0">
        <w:rPr>
          <w:rFonts w:ascii="Times New Roman" w:hAnsi="Times New Roman" w:cs="Times New Roman"/>
          <w:sz w:val="24"/>
        </w:rPr>
        <w:t>Dubickas</w:t>
      </w:r>
      <w:proofErr w:type="spellEnd"/>
      <w:r w:rsidRPr="00D71CE0">
        <w:rPr>
          <w:rFonts w:ascii="Times New Roman" w:hAnsi="Times New Roman" w:cs="Times New Roman"/>
          <w:sz w:val="24"/>
        </w:rPr>
        <w:t>. 2021. Resilience of the zooplankton community in the northeast Gulf of Mexico during and after the Deepwater Horizon oil spill. Marine Pollution Bulletin 163:111882.</w:t>
      </w:r>
    </w:p>
    <w:p w14:paraId="3EE430F4"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Essington, T. E., and S. B. Munch. 2014. Trade-offs between supportive and provisioning ecosystem services of forage species in marine food webs. Ecological Applications 24:1543–1557.</w:t>
      </w:r>
    </w:p>
    <w:p w14:paraId="5336C7E6"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Fleeger, J. W. 2020. How do indirect effects of contaminants inform ecotoxicology? A review. Processes 8:1659.</w:t>
      </w:r>
    </w:p>
    <w:p w14:paraId="779F926D" w14:textId="77777777" w:rsidR="00D71CE0" w:rsidRPr="00D71CE0" w:rsidRDefault="00D71CE0" w:rsidP="00D71CE0">
      <w:pPr>
        <w:pStyle w:val="Bibliography"/>
        <w:rPr>
          <w:rFonts w:ascii="Times New Roman" w:hAnsi="Times New Roman" w:cs="Times New Roman"/>
          <w:sz w:val="24"/>
        </w:rPr>
      </w:pPr>
      <w:proofErr w:type="spellStart"/>
      <w:r w:rsidRPr="00D71CE0">
        <w:rPr>
          <w:rFonts w:ascii="Times New Roman" w:hAnsi="Times New Roman" w:cs="Times New Roman"/>
          <w:sz w:val="24"/>
        </w:rPr>
        <w:t>Fodrie</w:t>
      </w:r>
      <w:proofErr w:type="spellEnd"/>
      <w:r w:rsidRPr="00D71CE0">
        <w:rPr>
          <w:rFonts w:ascii="Times New Roman" w:hAnsi="Times New Roman" w:cs="Times New Roman"/>
          <w:sz w:val="24"/>
        </w:rPr>
        <w:t xml:space="preserve">, F. J., K. W. Able, F. Galvez, K. L. Heck, O. P. Jensen, P. C. </w:t>
      </w:r>
      <w:proofErr w:type="spellStart"/>
      <w:r w:rsidRPr="00D71CE0">
        <w:rPr>
          <w:rFonts w:ascii="Times New Roman" w:hAnsi="Times New Roman" w:cs="Times New Roman"/>
          <w:sz w:val="24"/>
        </w:rPr>
        <w:t>López</w:t>
      </w:r>
      <w:proofErr w:type="spellEnd"/>
      <w:r w:rsidRPr="00D71CE0">
        <w:rPr>
          <w:rFonts w:ascii="Times New Roman" w:hAnsi="Times New Roman" w:cs="Times New Roman"/>
          <w:sz w:val="24"/>
        </w:rPr>
        <w:t xml:space="preserve">-Duarte, C. W. Martin, R. E. Turner, and A. Whitehead. 2014. Integrating Organismal and Population Responses of Estuarine Fishes in </w:t>
      </w:r>
      <w:proofErr w:type="spellStart"/>
      <w:r w:rsidRPr="00D71CE0">
        <w:rPr>
          <w:rFonts w:ascii="Times New Roman" w:hAnsi="Times New Roman" w:cs="Times New Roman"/>
          <w:sz w:val="24"/>
        </w:rPr>
        <w:t>Macondo</w:t>
      </w:r>
      <w:proofErr w:type="spellEnd"/>
      <w:r w:rsidRPr="00D71CE0">
        <w:rPr>
          <w:rFonts w:ascii="Times New Roman" w:hAnsi="Times New Roman" w:cs="Times New Roman"/>
          <w:sz w:val="24"/>
        </w:rPr>
        <w:t xml:space="preserve"> Spill Research. </w:t>
      </w:r>
      <w:proofErr w:type="spellStart"/>
      <w:r w:rsidRPr="00D71CE0">
        <w:rPr>
          <w:rFonts w:ascii="Times New Roman" w:hAnsi="Times New Roman" w:cs="Times New Roman"/>
          <w:sz w:val="24"/>
        </w:rPr>
        <w:t>BioScience</w:t>
      </w:r>
      <w:proofErr w:type="spellEnd"/>
      <w:r w:rsidRPr="00D71CE0">
        <w:rPr>
          <w:rFonts w:ascii="Times New Roman" w:hAnsi="Times New Roman" w:cs="Times New Roman"/>
          <w:sz w:val="24"/>
        </w:rPr>
        <w:t xml:space="preserve"> 64:778–788.</w:t>
      </w:r>
    </w:p>
    <w:p w14:paraId="3FC15190"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van der Ham, J. L., and K. de </w:t>
      </w:r>
      <w:proofErr w:type="spellStart"/>
      <w:r w:rsidRPr="00D71CE0">
        <w:rPr>
          <w:rFonts w:ascii="Times New Roman" w:hAnsi="Times New Roman" w:cs="Times New Roman"/>
          <w:sz w:val="24"/>
        </w:rPr>
        <w:t>Mutsert</w:t>
      </w:r>
      <w:proofErr w:type="spellEnd"/>
      <w:r w:rsidRPr="00D71CE0">
        <w:rPr>
          <w:rFonts w:ascii="Times New Roman" w:hAnsi="Times New Roman" w:cs="Times New Roman"/>
          <w:sz w:val="24"/>
        </w:rPr>
        <w:t xml:space="preserve">. 2014. Abundance and Size of Gulf Shrimp in Louisiana’s Coastal Estuaries following the Deepwater Horizon Oil Spill. PLOS ONE </w:t>
      </w:r>
      <w:proofErr w:type="gramStart"/>
      <w:r w:rsidRPr="00D71CE0">
        <w:rPr>
          <w:rFonts w:ascii="Times New Roman" w:hAnsi="Times New Roman" w:cs="Times New Roman"/>
          <w:sz w:val="24"/>
        </w:rPr>
        <w:t>9:e</w:t>
      </w:r>
      <w:proofErr w:type="gramEnd"/>
      <w:r w:rsidRPr="00D71CE0">
        <w:rPr>
          <w:rFonts w:ascii="Times New Roman" w:hAnsi="Times New Roman" w:cs="Times New Roman"/>
          <w:sz w:val="24"/>
        </w:rPr>
        <w:t>108884.</w:t>
      </w:r>
    </w:p>
    <w:p w14:paraId="7662E5CA"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Haney, J. C., H. J. Geiger, and J. W. Short. 2014. Bird mortality from the Deepwater Horizon oil spill. II. Carcass sampling and exposure probability in the coastal Gulf of Mexico. Marine Ecology Progress Series 513:239–252.</w:t>
      </w:r>
    </w:p>
    <w:p w14:paraId="4B16667A"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Jacob, S., P. Weeks, B. Blount, and M. Jepson. 2013. Development and evaluation of social indicators of vulnerability and resiliency for fishing communities in the Gulf of Mexico. Marine Policy 37:86–95.</w:t>
      </w:r>
    </w:p>
    <w:p w14:paraId="356625F8"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Jensen, O. P., C. W. Martin, K. L. Oken, F. J. </w:t>
      </w:r>
      <w:proofErr w:type="spellStart"/>
      <w:r w:rsidRPr="00D71CE0">
        <w:rPr>
          <w:rFonts w:ascii="Times New Roman" w:hAnsi="Times New Roman" w:cs="Times New Roman"/>
          <w:sz w:val="24"/>
        </w:rPr>
        <w:t>Fodrie</w:t>
      </w:r>
      <w:proofErr w:type="spellEnd"/>
      <w:r w:rsidRPr="00D71CE0">
        <w:rPr>
          <w:rFonts w:ascii="Times New Roman" w:hAnsi="Times New Roman" w:cs="Times New Roman"/>
          <w:sz w:val="24"/>
        </w:rPr>
        <w:t xml:space="preserve">, P. C. </w:t>
      </w:r>
      <w:proofErr w:type="spellStart"/>
      <w:r w:rsidRPr="00D71CE0">
        <w:rPr>
          <w:rFonts w:ascii="Times New Roman" w:hAnsi="Times New Roman" w:cs="Times New Roman"/>
          <w:sz w:val="24"/>
        </w:rPr>
        <w:t>López</w:t>
      </w:r>
      <w:proofErr w:type="spellEnd"/>
      <w:r w:rsidRPr="00D71CE0">
        <w:rPr>
          <w:rFonts w:ascii="Times New Roman" w:hAnsi="Times New Roman" w:cs="Times New Roman"/>
          <w:sz w:val="24"/>
        </w:rPr>
        <w:t xml:space="preserve">-Duarte, K. W. Able, and B. J. Roberts. 2019. Simultaneous estimation of dispersal and survival of the gulf killifish </w:t>
      </w:r>
      <w:proofErr w:type="spellStart"/>
      <w:r w:rsidRPr="00D71CE0">
        <w:rPr>
          <w:rFonts w:ascii="Times New Roman" w:hAnsi="Times New Roman" w:cs="Times New Roman"/>
          <w:sz w:val="24"/>
        </w:rPr>
        <w:t>Fundulus</w:t>
      </w:r>
      <w:proofErr w:type="spellEnd"/>
      <w:r w:rsidRPr="00D71CE0">
        <w:rPr>
          <w:rFonts w:ascii="Times New Roman" w:hAnsi="Times New Roman" w:cs="Times New Roman"/>
          <w:sz w:val="24"/>
        </w:rPr>
        <w:t xml:space="preserve"> </w:t>
      </w:r>
      <w:proofErr w:type="spellStart"/>
      <w:r w:rsidRPr="00D71CE0">
        <w:rPr>
          <w:rFonts w:ascii="Times New Roman" w:hAnsi="Times New Roman" w:cs="Times New Roman"/>
          <w:sz w:val="24"/>
        </w:rPr>
        <w:t>grandis</w:t>
      </w:r>
      <w:proofErr w:type="spellEnd"/>
      <w:r w:rsidRPr="00D71CE0">
        <w:rPr>
          <w:rFonts w:ascii="Times New Roman" w:hAnsi="Times New Roman" w:cs="Times New Roman"/>
          <w:sz w:val="24"/>
        </w:rPr>
        <w:t xml:space="preserve"> from a batch-tagging experiment. Marine Ecology Progress Series 624:183–194.</w:t>
      </w:r>
    </w:p>
    <w:p w14:paraId="2ACB7828"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lastRenderedPageBreak/>
        <w:t xml:space="preserve">Koehn, L. E., T. E. Essington, K. N. Marshall, W. J. </w:t>
      </w:r>
      <w:proofErr w:type="spellStart"/>
      <w:r w:rsidRPr="00D71CE0">
        <w:rPr>
          <w:rFonts w:ascii="Times New Roman" w:hAnsi="Times New Roman" w:cs="Times New Roman"/>
          <w:sz w:val="24"/>
        </w:rPr>
        <w:t>Sydeman</w:t>
      </w:r>
      <w:proofErr w:type="spellEnd"/>
      <w:r w:rsidRPr="00D71CE0">
        <w:rPr>
          <w:rFonts w:ascii="Times New Roman" w:hAnsi="Times New Roman" w:cs="Times New Roman"/>
          <w:sz w:val="24"/>
        </w:rPr>
        <w:t xml:space="preserve">, A. I. </w:t>
      </w:r>
      <w:proofErr w:type="spellStart"/>
      <w:r w:rsidRPr="00D71CE0">
        <w:rPr>
          <w:rFonts w:ascii="Times New Roman" w:hAnsi="Times New Roman" w:cs="Times New Roman"/>
          <w:sz w:val="24"/>
        </w:rPr>
        <w:t>Szoboszlai</w:t>
      </w:r>
      <w:proofErr w:type="spellEnd"/>
      <w:r w:rsidRPr="00D71CE0">
        <w:rPr>
          <w:rFonts w:ascii="Times New Roman" w:hAnsi="Times New Roman" w:cs="Times New Roman"/>
          <w:sz w:val="24"/>
        </w:rPr>
        <w:t>, and J. A. Thayer. 2017. Trade-offs between forage fish fisheries and their predators in the California Current. ICES Journal of Marine Science 74:2448–2458.</w:t>
      </w:r>
    </w:p>
    <w:p w14:paraId="5ACD60EF" w14:textId="77777777" w:rsidR="00D71CE0" w:rsidRPr="00D71CE0" w:rsidRDefault="00D71CE0" w:rsidP="00D71CE0">
      <w:pPr>
        <w:pStyle w:val="Bibliography"/>
        <w:rPr>
          <w:rFonts w:ascii="Times New Roman" w:hAnsi="Times New Roman" w:cs="Times New Roman"/>
          <w:sz w:val="24"/>
        </w:rPr>
      </w:pPr>
      <w:proofErr w:type="spellStart"/>
      <w:r w:rsidRPr="00D71CE0">
        <w:rPr>
          <w:rFonts w:ascii="Times New Roman" w:hAnsi="Times New Roman" w:cs="Times New Roman"/>
          <w:sz w:val="24"/>
        </w:rPr>
        <w:t>Lellis</w:t>
      </w:r>
      <w:proofErr w:type="spellEnd"/>
      <w:r w:rsidRPr="00D71CE0">
        <w:rPr>
          <w:rFonts w:ascii="Times New Roman" w:hAnsi="Times New Roman" w:cs="Times New Roman"/>
          <w:sz w:val="24"/>
        </w:rPr>
        <w:t xml:space="preserve">-Dibble, K. A., K. E. </w:t>
      </w:r>
      <w:proofErr w:type="spellStart"/>
      <w:r w:rsidRPr="00D71CE0">
        <w:rPr>
          <w:rFonts w:ascii="Times New Roman" w:hAnsi="Times New Roman" w:cs="Times New Roman"/>
          <w:sz w:val="24"/>
        </w:rPr>
        <w:t>McGlynn</w:t>
      </w:r>
      <w:proofErr w:type="spellEnd"/>
      <w:r w:rsidRPr="00D71CE0">
        <w:rPr>
          <w:rFonts w:ascii="Times New Roman" w:hAnsi="Times New Roman" w:cs="Times New Roman"/>
          <w:sz w:val="24"/>
        </w:rPr>
        <w:t xml:space="preserve">, and T. E. </w:t>
      </w:r>
      <w:proofErr w:type="spellStart"/>
      <w:r w:rsidRPr="00D71CE0">
        <w:rPr>
          <w:rFonts w:ascii="Times New Roman" w:hAnsi="Times New Roman" w:cs="Times New Roman"/>
          <w:sz w:val="24"/>
        </w:rPr>
        <w:t>Bigford</w:t>
      </w:r>
      <w:proofErr w:type="spellEnd"/>
      <w:r w:rsidRPr="00D71CE0">
        <w:rPr>
          <w:rFonts w:ascii="Times New Roman" w:hAnsi="Times New Roman" w:cs="Times New Roman"/>
          <w:sz w:val="24"/>
        </w:rPr>
        <w:t>. 2008. Estuarine fish and shellfish species in US commercial and recreational fisheries: economic value as an incentive to protect and restore estuarine habitat.</w:t>
      </w:r>
    </w:p>
    <w:p w14:paraId="140C98D4"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Lewis, K. A., R. R. Christian, C. W. Martin, K. L. Allen, A. M. McDonald, V. M. Roberts, M. N. Shaffer, and J. F. Valentine. (</w:t>
      </w:r>
      <w:proofErr w:type="spellStart"/>
      <w:r w:rsidRPr="00D71CE0">
        <w:rPr>
          <w:rFonts w:ascii="Times New Roman" w:hAnsi="Times New Roman" w:cs="Times New Roman"/>
          <w:sz w:val="24"/>
        </w:rPr>
        <w:t>n.d.</w:t>
      </w:r>
      <w:proofErr w:type="spellEnd"/>
      <w:r w:rsidRPr="00D71CE0">
        <w:rPr>
          <w:rFonts w:ascii="Times New Roman" w:hAnsi="Times New Roman" w:cs="Times New Roman"/>
          <w:sz w:val="24"/>
        </w:rPr>
        <w:t>). Complexities of disturbance response in a marine food web. Limnology and Oceanography n/a.</w:t>
      </w:r>
    </w:p>
    <w:p w14:paraId="424FB4FD" w14:textId="77777777" w:rsidR="00D71CE0" w:rsidRPr="00D71CE0" w:rsidRDefault="00D71CE0" w:rsidP="00D71CE0">
      <w:pPr>
        <w:pStyle w:val="Bibliography"/>
        <w:rPr>
          <w:rFonts w:ascii="Times New Roman" w:hAnsi="Times New Roman" w:cs="Times New Roman"/>
          <w:sz w:val="24"/>
        </w:rPr>
      </w:pPr>
      <w:proofErr w:type="spellStart"/>
      <w:r w:rsidRPr="00D71CE0">
        <w:rPr>
          <w:rFonts w:ascii="Times New Roman" w:hAnsi="Times New Roman" w:cs="Times New Roman"/>
          <w:sz w:val="24"/>
        </w:rPr>
        <w:t>Loesch</w:t>
      </w:r>
      <w:proofErr w:type="spellEnd"/>
      <w:r w:rsidRPr="00D71CE0">
        <w:rPr>
          <w:rFonts w:ascii="Times New Roman" w:hAnsi="Times New Roman" w:cs="Times New Roman"/>
          <w:sz w:val="24"/>
        </w:rPr>
        <w:t xml:space="preserve">, H., J. Bishop, A. Crowe, R. </w:t>
      </w:r>
      <w:proofErr w:type="spellStart"/>
      <w:r w:rsidRPr="00D71CE0">
        <w:rPr>
          <w:rFonts w:ascii="Times New Roman" w:hAnsi="Times New Roman" w:cs="Times New Roman"/>
          <w:sz w:val="24"/>
        </w:rPr>
        <w:t>Kuckyr</w:t>
      </w:r>
      <w:proofErr w:type="spellEnd"/>
      <w:r w:rsidRPr="00D71CE0">
        <w:rPr>
          <w:rFonts w:ascii="Times New Roman" w:hAnsi="Times New Roman" w:cs="Times New Roman"/>
          <w:sz w:val="24"/>
        </w:rPr>
        <w:t>, and P. Wagner. 1976. Technique for Estimating Trawl Efficiency in Catching Brown Shrimp (</w:t>
      </w:r>
      <w:proofErr w:type="spellStart"/>
      <w:r w:rsidRPr="00D71CE0">
        <w:rPr>
          <w:rFonts w:ascii="Times New Roman" w:hAnsi="Times New Roman" w:cs="Times New Roman"/>
          <w:sz w:val="24"/>
        </w:rPr>
        <w:t>Penaeus</w:t>
      </w:r>
      <w:proofErr w:type="spellEnd"/>
      <w:r w:rsidRPr="00D71CE0">
        <w:rPr>
          <w:rFonts w:ascii="Times New Roman" w:hAnsi="Times New Roman" w:cs="Times New Roman"/>
          <w:sz w:val="24"/>
        </w:rPr>
        <w:t xml:space="preserve"> </w:t>
      </w:r>
      <w:proofErr w:type="spellStart"/>
      <w:r w:rsidRPr="00D71CE0">
        <w:rPr>
          <w:rFonts w:ascii="Times New Roman" w:hAnsi="Times New Roman" w:cs="Times New Roman"/>
          <w:sz w:val="24"/>
        </w:rPr>
        <w:t>aztecus</w:t>
      </w:r>
      <w:proofErr w:type="spellEnd"/>
      <w:r w:rsidRPr="00D71CE0">
        <w:rPr>
          <w:rFonts w:ascii="Times New Roman" w:hAnsi="Times New Roman" w:cs="Times New Roman"/>
          <w:sz w:val="24"/>
        </w:rPr>
        <w:t>), Atlantic Croaker (</w:t>
      </w:r>
      <w:proofErr w:type="spellStart"/>
      <w:r w:rsidRPr="00D71CE0">
        <w:rPr>
          <w:rFonts w:ascii="Times New Roman" w:hAnsi="Times New Roman" w:cs="Times New Roman"/>
          <w:sz w:val="24"/>
        </w:rPr>
        <w:t>Micropogon</w:t>
      </w:r>
      <w:proofErr w:type="spellEnd"/>
      <w:r w:rsidRPr="00D71CE0">
        <w:rPr>
          <w:rFonts w:ascii="Times New Roman" w:hAnsi="Times New Roman" w:cs="Times New Roman"/>
          <w:sz w:val="24"/>
        </w:rPr>
        <w:t xml:space="preserve"> </w:t>
      </w:r>
      <w:proofErr w:type="spellStart"/>
      <w:r w:rsidRPr="00D71CE0">
        <w:rPr>
          <w:rFonts w:ascii="Times New Roman" w:hAnsi="Times New Roman" w:cs="Times New Roman"/>
          <w:sz w:val="24"/>
        </w:rPr>
        <w:t>undulatus</w:t>
      </w:r>
      <w:proofErr w:type="spellEnd"/>
      <w:r w:rsidRPr="00D71CE0">
        <w:rPr>
          <w:rFonts w:ascii="Times New Roman" w:hAnsi="Times New Roman" w:cs="Times New Roman"/>
          <w:sz w:val="24"/>
        </w:rPr>
        <w:t>) and Spot (</w:t>
      </w:r>
      <w:proofErr w:type="spellStart"/>
      <w:r w:rsidRPr="00D71CE0">
        <w:rPr>
          <w:rFonts w:ascii="Times New Roman" w:hAnsi="Times New Roman" w:cs="Times New Roman"/>
          <w:sz w:val="24"/>
        </w:rPr>
        <w:t>Leiostomus</w:t>
      </w:r>
      <w:proofErr w:type="spellEnd"/>
      <w:r w:rsidRPr="00D71CE0">
        <w:rPr>
          <w:rFonts w:ascii="Times New Roman" w:hAnsi="Times New Roman" w:cs="Times New Roman"/>
          <w:sz w:val="24"/>
        </w:rPr>
        <w:t xml:space="preserve"> </w:t>
      </w:r>
      <w:proofErr w:type="spellStart"/>
      <w:r w:rsidRPr="00D71CE0">
        <w:rPr>
          <w:rFonts w:ascii="Times New Roman" w:hAnsi="Times New Roman" w:cs="Times New Roman"/>
          <w:sz w:val="24"/>
        </w:rPr>
        <w:t>xanthurus</w:t>
      </w:r>
      <w:proofErr w:type="spellEnd"/>
      <w:r w:rsidRPr="00D71CE0">
        <w:rPr>
          <w:rFonts w:ascii="Times New Roman" w:hAnsi="Times New Roman" w:cs="Times New Roman"/>
          <w:sz w:val="24"/>
        </w:rPr>
        <w:t>). Gulf and Caribbean Research 5:29–33.</w:t>
      </w:r>
    </w:p>
    <w:p w14:paraId="06DF1BB1" w14:textId="77777777" w:rsidR="00D71CE0" w:rsidRPr="00D71CE0" w:rsidRDefault="00D71CE0" w:rsidP="00D71CE0">
      <w:pPr>
        <w:pStyle w:val="Bibliography"/>
        <w:rPr>
          <w:rFonts w:ascii="Times New Roman" w:hAnsi="Times New Roman" w:cs="Times New Roman"/>
          <w:sz w:val="24"/>
        </w:rPr>
      </w:pPr>
      <w:proofErr w:type="spellStart"/>
      <w:r w:rsidRPr="00D71CE0">
        <w:rPr>
          <w:rFonts w:ascii="Times New Roman" w:hAnsi="Times New Roman" w:cs="Times New Roman"/>
          <w:sz w:val="24"/>
        </w:rPr>
        <w:t>Lubchenco</w:t>
      </w:r>
      <w:proofErr w:type="spellEnd"/>
      <w:r w:rsidRPr="00D71CE0">
        <w:rPr>
          <w:rFonts w:ascii="Times New Roman" w:hAnsi="Times New Roman" w:cs="Times New Roman"/>
          <w:sz w:val="24"/>
        </w:rPr>
        <w:t xml:space="preserve">, J., M. K. McNutt, G. Dreyfus, S. A. </w:t>
      </w:r>
      <w:proofErr w:type="spellStart"/>
      <w:r w:rsidRPr="00D71CE0">
        <w:rPr>
          <w:rFonts w:ascii="Times New Roman" w:hAnsi="Times New Roman" w:cs="Times New Roman"/>
          <w:sz w:val="24"/>
        </w:rPr>
        <w:t>Murawski</w:t>
      </w:r>
      <w:proofErr w:type="spellEnd"/>
      <w:r w:rsidRPr="00D71CE0">
        <w:rPr>
          <w:rFonts w:ascii="Times New Roman" w:hAnsi="Times New Roman" w:cs="Times New Roman"/>
          <w:sz w:val="24"/>
        </w:rPr>
        <w:t xml:space="preserve">, D. M. Kennedy, P. T. </w:t>
      </w:r>
      <w:proofErr w:type="spellStart"/>
      <w:r w:rsidRPr="00D71CE0">
        <w:rPr>
          <w:rFonts w:ascii="Times New Roman" w:hAnsi="Times New Roman" w:cs="Times New Roman"/>
          <w:sz w:val="24"/>
        </w:rPr>
        <w:t>Anastas</w:t>
      </w:r>
      <w:proofErr w:type="spellEnd"/>
      <w:r w:rsidRPr="00D71CE0">
        <w:rPr>
          <w:rFonts w:ascii="Times New Roman" w:hAnsi="Times New Roman" w:cs="Times New Roman"/>
          <w:sz w:val="24"/>
        </w:rPr>
        <w:t>, S. Chu, and T. Hunter. 2012. Science in support of the Deepwater Horizon response. Proceedings of the National Academy of Sciences 109:20212–20221.</w:t>
      </w:r>
    </w:p>
    <w:p w14:paraId="3835F73E"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Lucey, S. M., S. K. </w:t>
      </w:r>
      <w:proofErr w:type="spellStart"/>
      <w:r w:rsidRPr="00D71CE0">
        <w:rPr>
          <w:rFonts w:ascii="Times New Roman" w:hAnsi="Times New Roman" w:cs="Times New Roman"/>
          <w:sz w:val="24"/>
        </w:rPr>
        <w:t>Gaichas</w:t>
      </w:r>
      <w:proofErr w:type="spellEnd"/>
      <w:r w:rsidRPr="00D71CE0">
        <w:rPr>
          <w:rFonts w:ascii="Times New Roman" w:hAnsi="Times New Roman" w:cs="Times New Roman"/>
          <w:sz w:val="24"/>
        </w:rPr>
        <w:t xml:space="preserve">, and K. Y. Aydin. 2020. Conducting reproducible ecosystem modeling using the open source mass balance model </w:t>
      </w:r>
      <w:proofErr w:type="spellStart"/>
      <w:r w:rsidRPr="00D71CE0">
        <w:rPr>
          <w:rFonts w:ascii="Times New Roman" w:hAnsi="Times New Roman" w:cs="Times New Roman"/>
          <w:sz w:val="24"/>
        </w:rPr>
        <w:t>Rpath</w:t>
      </w:r>
      <w:proofErr w:type="spellEnd"/>
      <w:r w:rsidRPr="00D71CE0">
        <w:rPr>
          <w:rFonts w:ascii="Times New Roman" w:hAnsi="Times New Roman" w:cs="Times New Roman"/>
          <w:sz w:val="24"/>
        </w:rPr>
        <w:t>. Ecological Modelling 427:109057.</w:t>
      </w:r>
    </w:p>
    <w:p w14:paraId="095AEA3B"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Marshall, K. N., I. C. Kaplan, E. E. Hodgson, A. Hermann, D. S. Busch, P. </w:t>
      </w:r>
      <w:proofErr w:type="spellStart"/>
      <w:r w:rsidRPr="00D71CE0">
        <w:rPr>
          <w:rFonts w:ascii="Times New Roman" w:hAnsi="Times New Roman" w:cs="Times New Roman"/>
          <w:sz w:val="24"/>
        </w:rPr>
        <w:t>McElhany</w:t>
      </w:r>
      <w:proofErr w:type="spellEnd"/>
      <w:r w:rsidRPr="00D71CE0">
        <w:rPr>
          <w:rFonts w:ascii="Times New Roman" w:hAnsi="Times New Roman" w:cs="Times New Roman"/>
          <w:sz w:val="24"/>
        </w:rPr>
        <w:t>, T. E. Essington, C. J. Harvey, and E. A. Fulton. 2017. Risks of ocean acidification in the California Current food web and fisheries: ecosystem model projections. Global Change Biology 23:1525–1539.</w:t>
      </w:r>
    </w:p>
    <w:p w14:paraId="7FD891B4"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lastRenderedPageBreak/>
        <w:t>Martin, C. W. 2017. Avoidance of oil contaminated sediments by estuarine fishes. Marine Ecology Progress Series 576:125–134.</w:t>
      </w:r>
    </w:p>
    <w:p w14:paraId="325A900A"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Martin, C. W., K. A. Lewis, A. M. McDonald, T. P. Spearman, S. B. Alford, R. C. Christian, and J. F. Valentine. 2020. Disturbance-driven changes to northern Gulf of Mexico nekton communities following the Deepwater Horizon oil spill. Marine Pollution Bulletin 155:111098.</w:t>
      </w:r>
    </w:p>
    <w:p w14:paraId="5754ADF7"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McDonald, T. L., F. E. Hornsby, T. R. </w:t>
      </w:r>
      <w:proofErr w:type="spellStart"/>
      <w:r w:rsidRPr="00D71CE0">
        <w:rPr>
          <w:rFonts w:ascii="Times New Roman" w:hAnsi="Times New Roman" w:cs="Times New Roman"/>
          <w:sz w:val="24"/>
        </w:rPr>
        <w:t>Speakman</w:t>
      </w:r>
      <w:proofErr w:type="spellEnd"/>
      <w:r w:rsidRPr="00D71CE0">
        <w:rPr>
          <w:rFonts w:ascii="Times New Roman" w:hAnsi="Times New Roman" w:cs="Times New Roman"/>
          <w:sz w:val="24"/>
        </w:rPr>
        <w:t xml:space="preserve">, E. S. </w:t>
      </w:r>
      <w:proofErr w:type="spellStart"/>
      <w:r w:rsidRPr="00D71CE0">
        <w:rPr>
          <w:rFonts w:ascii="Times New Roman" w:hAnsi="Times New Roman" w:cs="Times New Roman"/>
          <w:sz w:val="24"/>
        </w:rPr>
        <w:t>Zolman</w:t>
      </w:r>
      <w:proofErr w:type="spellEnd"/>
      <w:r w:rsidRPr="00D71CE0">
        <w:rPr>
          <w:rFonts w:ascii="Times New Roman" w:hAnsi="Times New Roman" w:cs="Times New Roman"/>
          <w:sz w:val="24"/>
        </w:rPr>
        <w:t xml:space="preserve">, K. D. Mullin, C. Sinclair, P. E. </w:t>
      </w:r>
      <w:proofErr w:type="spellStart"/>
      <w:r w:rsidRPr="00D71CE0">
        <w:rPr>
          <w:rFonts w:ascii="Times New Roman" w:hAnsi="Times New Roman" w:cs="Times New Roman"/>
          <w:sz w:val="24"/>
        </w:rPr>
        <w:t>Rosel</w:t>
      </w:r>
      <w:proofErr w:type="spellEnd"/>
      <w:r w:rsidRPr="00D71CE0">
        <w:rPr>
          <w:rFonts w:ascii="Times New Roman" w:hAnsi="Times New Roman" w:cs="Times New Roman"/>
          <w:sz w:val="24"/>
        </w:rPr>
        <w:t xml:space="preserve">, L. Thomas, and L. H. </w:t>
      </w:r>
      <w:proofErr w:type="spellStart"/>
      <w:r w:rsidRPr="00D71CE0">
        <w:rPr>
          <w:rFonts w:ascii="Times New Roman" w:hAnsi="Times New Roman" w:cs="Times New Roman"/>
          <w:sz w:val="24"/>
        </w:rPr>
        <w:t>Schwacke</w:t>
      </w:r>
      <w:proofErr w:type="spellEnd"/>
      <w:r w:rsidRPr="00D71CE0">
        <w:rPr>
          <w:rFonts w:ascii="Times New Roman" w:hAnsi="Times New Roman" w:cs="Times New Roman"/>
          <w:sz w:val="24"/>
        </w:rPr>
        <w:t xml:space="preserve">. 2017. Survival, density, and abundance of common bottlenose dolphins in </w:t>
      </w:r>
      <w:proofErr w:type="spellStart"/>
      <w:r w:rsidRPr="00D71CE0">
        <w:rPr>
          <w:rFonts w:ascii="Times New Roman" w:hAnsi="Times New Roman" w:cs="Times New Roman"/>
          <w:sz w:val="24"/>
        </w:rPr>
        <w:t>Barataria</w:t>
      </w:r>
      <w:proofErr w:type="spellEnd"/>
      <w:r w:rsidRPr="00D71CE0">
        <w:rPr>
          <w:rFonts w:ascii="Times New Roman" w:hAnsi="Times New Roman" w:cs="Times New Roman"/>
          <w:sz w:val="24"/>
        </w:rPr>
        <w:t xml:space="preserve"> Bay (USA) following the Deepwater Horizon oil spill. Endangered Species Research 33:193–209.</w:t>
      </w:r>
    </w:p>
    <w:p w14:paraId="66A2D0DE"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de </w:t>
      </w:r>
      <w:proofErr w:type="spellStart"/>
      <w:r w:rsidRPr="00D71CE0">
        <w:rPr>
          <w:rFonts w:ascii="Times New Roman" w:hAnsi="Times New Roman" w:cs="Times New Roman"/>
          <w:sz w:val="24"/>
        </w:rPr>
        <w:t>Mutsert</w:t>
      </w:r>
      <w:proofErr w:type="spellEnd"/>
      <w:r w:rsidRPr="00D71CE0">
        <w:rPr>
          <w:rFonts w:ascii="Times New Roman" w:hAnsi="Times New Roman" w:cs="Times New Roman"/>
          <w:sz w:val="24"/>
        </w:rPr>
        <w:t xml:space="preserve">, K., K. Lewis, S. Milroy, J. </w:t>
      </w:r>
      <w:proofErr w:type="spellStart"/>
      <w:r w:rsidRPr="00D71CE0">
        <w:rPr>
          <w:rFonts w:ascii="Times New Roman" w:hAnsi="Times New Roman" w:cs="Times New Roman"/>
          <w:sz w:val="24"/>
        </w:rPr>
        <w:t>Buszowski</w:t>
      </w:r>
      <w:proofErr w:type="spellEnd"/>
      <w:r w:rsidRPr="00D71CE0">
        <w:rPr>
          <w:rFonts w:ascii="Times New Roman" w:hAnsi="Times New Roman" w:cs="Times New Roman"/>
          <w:sz w:val="24"/>
        </w:rPr>
        <w:t xml:space="preserve">, and J. </w:t>
      </w:r>
      <w:proofErr w:type="spellStart"/>
      <w:r w:rsidRPr="00D71CE0">
        <w:rPr>
          <w:rFonts w:ascii="Times New Roman" w:hAnsi="Times New Roman" w:cs="Times New Roman"/>
          <w:sz w:val="24"/>
        </w:rPr>
        <w:t>Steenbeek</w:t>
      </w:r>
      <w:proofErr w:type="spellEnd"/>
      <w:r w:rsidRPr="00D71CE0">
        <w:rPr>
          <w:rFonts w:ascii="Times New Roman" w:hAnsi="Times New Roman" w:cs="Times New Roman"/>
          <w:sz w:val="24"/>
        </w:rPr>
        <w:t>. 2017. Using ecosystem modeling to evaluate trade-offs in coastal management: Effects of large-scale river diversions on fish and fisheries. Ecological Modelling 360:14–26.</w:t>
      </w:r>
    </w:p>
    <w:p w14:paraId="0F33C352"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Peterson, C. H., S. D. Rice, J. W. Short, D. </w:t>
      </w:r>
      <w:proofErr w:type="spellStart"/>
      <w:r w:rsidRPr="00D71CE0">
        <w:rPr>
          <w:rFonts w:ascii="Times New Roman" w:hAnsi="Times New Roman" w:cs="Times New Roman"/>
          <w:sz w:val="24"/>
        </w:rPr>
        <w:t>Esler</w:t>
      </w:r>
      <w:proofErr w:type="spellEnd"/>
      <w:r w:rsidRPr="00D71CE0">
        <w:rPr>
          <w:rFonts w:ascii="Times New Roman" w:hAnsi="Times New Roman" w:cs="Times New Roman"/>
          <w:sz w:val="24"/>
        </w:rPr>
        <w:t xml:space="preserve">, J. L. Bodkin, B. E. </w:t>
      </w:r>
      <w:proofErr w:type="spellStart"/>
      <w:r w:rsidRPr="00D71CE0">
        <w:rPr>
          <w:rFonts w:ascii="Times New Roman" w:hAnsi="Times New Roman" w:cs="Times New Roman"/>
          <w:sz w:val="24"/>
        </w:rPr>
        <w:t>Ballachey</w:t>
      </w:r>
      <w:proofErr w:type="spellEnd"/>
      <w:r w:rsidRPr="00D71CE0">
        <w:rPr>
          <w:rFonts w:ascii="Times New Roman" w:hAnsi="Times New Roman" w:cs="Times New Roman"/>
          <w:sz w:val="24"/>
        </w:rPr>
        <w:t>, and D. B. Irons. 2003. Long-term ecosystem response to the Exxon Valdez oil spill. Science 302:2082–2086.</w:t>
      </w:r>
    </w:p>
    <w:p w14:paraId="4FD8DF21"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R Core Team. 2020. R: A language and environment for statistical computing. R Foundation for Statistical Computing, Vienna, Austria.</w:t>
      </w:r>
    </w:p>
    <w:p w14:paraId="4DF4D39F" w14:textId="77777777" w:rsidR="00D71CE0" w:rsidRPr="00D71CE0" w:rsidRDefault="00D71CE0" w:rsidP="00D71CE0">
      <w:pPr>
        <w:pStyle w:val="Bibliography"/>
        <w:rPr>
          <w:rFonts w:ascii="Times New Roman" w:hAnsi="Times New Roman" w:cs="Times New Roman"/>
          <w:sz w:val="24"/>
        </w:rPr>
      </w:pPr>
      <w:proofErr w:type="spellStart"/>
      <w:r w:rsidRPr="00D71CE0">
        <w:rPr>
          <w:rFonts w:ascii="Times New Roman" w:hAnsi="Times New Roman" w:cs="Times New Roman"/>
          <w:sz w:val="24"/>
        </w:rPr>
        <w:t>Savolainen</w:t>
      </w:r>
      <w:proofErr w:type="spellEnd"/>
      <w:r w:rsidRPr="00D71CE0">
        <w:rPr>
          <w:rFonts w:ascii="Times New Roman" w:hAnsi="Times New Roman" w:cs="Times New Roman"/>
          <w:sz w:val="24"/>
        </w:rPr>
        <w:t xml:space="preserve">, M. A., J. M. </w:t>
      </w:r>
      <w:proofErr w:type="spellStart"/>
      <w:r w:rsidRPr="00D71CE0">
        <w:rPr>
          <w:rFonts w:ascii="Times New Roman" w:hAnsi="Times New Roman" w:cs="Times New Roman"/>
          <w:sz w:val="24"/>
        </w:rPr>
        <w:t>Fannin</w:t>
      </w:r>
      <w:proofErr w:type="spellEnd"/>
      <w:r w:rsidRPr="00D71CE0">
        <w:rPr>
          <w:rFonts w:ascii="Times New Roman" w:hAnsi="Times New Roman" w:cs="Times New Roman"/>
          <w:sz w:val="24"/>
        </w:rPr>
        <w:t>, and R. H. Caffey. 2014. Economic Impacts of the U.S. Gulf of Mexico Recreational For-Hire Fishing Industry. Human Dimensions of Wildlife 19:72–87.</w:t>
      </w:r>
    </w:p>
    <w:p w14:paraId="44676469"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lastRenderedPageBreak/>
        <w:t>Schaefer, J., N. Frazier, and J. Barr. 2016. Dynamics of near-coastal fish assemblages following the Deepwater Horizon oil spill in the northern Gulf of Mexico. Transactions of the American Fisheries Society 145:108–119.</w:t>
      </w:r>
    </w:p>
    <w:p w14:paraId="4D83EE54" w14:textId="77777777" w:rsidR="00D71CE0" w:rsidRPr="00D71CE0" w:rsidRDefault="00D71CE0" w:rsidP="00D71CE0">
      <w:pPr>
        <w:pStyle w:val="Bibliography"/>
        <w:rPr>
          <w:rFonts w:ascii="Times New Roman" w:hAnsi="Times New Roman" w:cs="Times New Roman"/>
          <w:sz w:val="24"/>
        </w:rPr>
      </w:pPr>
      <w:proofErr w:type="spellStart"/>
      <w:r w:rsidRPr="00D71CE0">
        <w:rPr>
          <w:rFonts w:ascii="Times New Roman" w:hAnsi="Times New Roman" w:cs="Times New Roman"/>
          <w:sz w:val="24"/>
        </w:rPr>
        <w:t>Schwacke</w:t>
      </w:r>
      <w:proofErr w:type="spellEnd"/>
      <w:r w:rsidRPr="00D71CE0">
        <w:rPr>
          <w:rFonts w:ascii="Times New Roman" w:hAnsi="Times New Roman" w:cs="Times New Roman"/>
          <w:sz w:val="24"/>
        </w:rPr>
        <w:t xml:space="preserve">, L. H., C. R. Smith, F. I. Townsend, R. S. Wells, L. B. Hart, B. C. </w:t>
      </w:r>
      <w:proofErr w:type="spellStart"/>
      <w:r w:rsidRPr="00D71CE0">
        <w:rPr>
          <w:rFonts w:ascii="Times New Roman" w:hAnsi="Times New Roman" w:cs="Times New Roman"/>
          <w:sz w:val="24"/>
        </w:rPr>
        <w:t>Balmer</w:t>
      </w:r>
      <w:proofErr w:type="spellEnd"/>
      <w:r w:rsidRPr="00D71CE0">
        <w:rPr>
          <w:rFonts w:ascii="Times New Roman" w:hAnsi="Times New Roman" w:cs="Times New Roman"/>
          <w:sz w:val="24"/>
        </w:rPr>
        <w:t xml:space="preserve">, T. K. Collier, S. De Guise, M. M. Fry, and L. J. </w:t>
      </w:r>
      <w:proofErr w:type="spellStart"/>
      <w:r w:rsidRPr="00D71CE0">
        <w:rPr>
          <w:rFonts w:ascii="Times New Roman" w:hAnsi="Times New Roman" w:cs="Times New Roman"/>
          <w:sz w:val="24"/>
        </w:rPr>
        <w:t>Guillette</w:t>
      </w:r>
      <w:proofErr w:type="spellEnd"/>
      <w:r w:rsidRPr="00D71CE0">
        <w:rPr>
          <w:rFonts w:ascii="Times New Roman" w:hAnsi="Times New Roman" w:cs="Times New Roman"/>
          <w:sz w:val="24"/>
        </w:rPr>
        <w:t xml:space="preserve"> Jr. 2013. Health of common bottlenose dolphins (</w:t>
      </w:r>
      <w:proofErr w:type="spellStart"/>
      <w:r w:rsidRPr="00D71CE0">
        <w:rPr>
          <w:rFonts w:ascii="Times New Roman" w:hAnsi="Times New Roman" w:cs="Times New Roman"/>
          <w:sz w:val="24"/>
        </w:rPr>
        <w:t>Tursiops</w:t>
      </w:r>
      <w:proofErr w:type="spellEnd"/>
      <w:r w:rsidRPr="00D71CE0">
        <w:rPr>
          <w:rFonts w:ascii="Times New Roman" w:hAnsi="Times New Roman" w:cs="Times New Roman"/>
          <w:sz w:val="24"/>
        </w:rPr>
        <w:t xml:space="preserve"> </w:t>
      </w:r>
      <w:proofErr w:type="spellStart"/>
      <w:r w:rsidRPr="00D71CE0">
        <w:rPr>
          <w:rFonts w:ascii="Times New Roman" w:hAnsi="Times New Roman" w:cs="Times New Roman"/>
          <w:sz w:val="24"/>
        </w:rPr>
        <w:t>truncatus</w:t>
      </w:r>
      <w:proofErr w:type="spellEnd"/>
      <w:r w:rsidRPr="00D71CE0">
        <w:rPr>
          <w:rFonts w:ascii="Times New Roman" w:hAnsi="Times New Roman" w:cs="Times New Roman"/>
          <w:sz w:val="24"/>
        </w:rPr>
        <w:t xml:space="preserve">) in </w:t>
      </w:r>
      <w:proofErr w:type="spellStart"/>
      <w:r w:rsidRPr="00D71CE0">
        <w:rPr>
          <w:rFonts w:ascii="Times New Roman" w:hAnsi="Times New Roman" w:cs="Times New Roman"/>
          <w:sz w:val="24"/>
        </w:rPr>
        <w:t>Barataria</w:t>
      </w:r>
      <w:proofErr w:type="spellEnd"/>
      <w:r w:rsidRPr="00D71CE0">
        <w:rPr>
          <w:rFonts w:ascii="Times New Roman" w:hAnsi="Times New Roman" w:cs="Times New Roman"/>
          <w:sz w:val="24"/>
        </w:rPr>
        <w:t xml:space="preserve"> Bay, Louisiana, following the Deepwater Horizon oil spill. Environmental science &amp; technology 48:93–103.</w:t>
      </w:r>
    </w:p>
    <w:p w14:paraId="595AF2B7"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Short, J. W., H. J. Geiger, J. C. Haney, C. M. Voss, M. L. </w:t>
      </w:r>
      <w:proofErr w:type="spellStart"/>
      <w:r w:rsidRPr="00D71CE0">
        <w:rPr>
          <w:rFonts w:ascii="Times New Roman" w:hAnsi="Times New Roman" w:cs="Times New Roman"/>
          <w:sz w:val="24"/>
        </w:rPr>
        <w:t>Vozzo</w:t>
      </w:r>
      <w:proofErr w:type="spellEnd"/>
      <w:r w:rsidRPr="00D71CE0">
        <w:rPr>
          <w:rFonts w:ascii="Times New Roman" w:hAnsi="Times New Roman" w:cs="Times New Roman"/>
          <w:sz w:val="24"/>
        </w:rPr>
        <w:t>, V. Guillory, and C. H. Peterson. 2017. Anomalously High Recruitment of the 2010 Gulf Menhaden (</w:t>
      </w:r>
      <w:proofErr w:type="spellStart"/>
      <w:r w:rsidRPr="00D71CE0">
        <w:rPr>
          <w:rFonts w:ascii="Times New Roman" w:hAnsi="Times New Roman" w:cs="Times New Roman"/>
          <w:sz w:val="24"/>
        </w:rPr>
        <w:t>Brevoortia</w:t>
      </w:r>
      <w:proofErr w:type="spellEnd"/>
      <w:r w:rsidRPr="00D71CE0">
        <w:rPr>
          <w:rFonts w:ascii="Times New Roman" w:hAnsi="Times New Roman" w:cs="Times New Roman"/>
          <w:sz w:val="24"/>
        </w:rPr>
        <w:t xml:space="preserve"> </w:t>
      </w:r>
      <w:proofErr w:type="spellStart"/>
      <w:r w:rsidRPr="00D71CE0">
        <w:rPr>
          <w:rFonts w:ascii="Times New Roman" w:hAnsi="Times New Roman" w:cs="Times New Roman"/>
          <w:sz w:val="24"/>
        </w:rPr>
        <w:t>patronus</w:t>
      </w:r>
      <w:proofErr w:type="spellEnd"/>
      <w:r w:rsidRPr="00D71CE0">
        <w:rPr>
          <w:rFonts w:ascii="Times New Roman" w:hAnsi="Times New Roman" w:cs="Times New Roman"/>
          <w:sz w:val="24"/>
        </w:rPr>
        <w:t>) Year Class: Evidence of Indirect Effects from the Deepwater Horizon Blowout in the Gulf of Mexico. Archives of Environmental Contamination and Toxicology 73:76–92.</w:t>
      </w:r>
    </w:p>
    <w:p w14:paraId="111E4D65" w14:textId="77777777" w:rsidR="00D71CE0" w:rsidRPr="00D71CE0" w:rsidRDefault="00D71CE0" w:rsidP="00D71CE0">
      <w:pPr>
        <w:pStyle w:val="Bibliography"/>
        <w:rPr>
          <w:rFonts w:ascii="Times New Roman" w:hAnsi="Times New Roman" w:cs="Times New Roman"/>
          <w:sz w:val="24"/>
        </w:rPr>
      </w:pPr>
      <w:proofErr w:type="spellStart"/>
      <w:r w:rsidRPr="00D71CE0">
        <w:rPr>
          <w:rFonts w:ascii="Times New Roman" w:hAnsi="Times New Roman" w:cs="Times New Roman"/>
          <w:sz w:val="24"/>
        </w:rPr>
        <w:t>Sumaila</w:t>
      </w:r>
      <w:proofErr w:type="spellEnd"/>
      <w:r w:rsidRPr="00D71CE0">
        <w:rPr>
          <w:rFonts w:ascii="Times New Roman" w:hAnsi="Times New Roman" w:cs="Times New Roman"/>
          <w:sz w:val="24"/>
        </w:rPr>
        <w:t>, U. R., A. M. Cisneros-</w:t>
      </w:r>
      <w:proofErr w:type="spellStart"/>
      <w:r w:rsidRPr="00D71CE0">
        <w:rPr>
          <w:rFonts w:ascii="Times New Roman" w:hAnsi="Times New Roman" w:cs="Times New Roman"/>
          <w:sz w:val="24"/>
        </w:rPr>
        <w:t>Montemayor</w:t>
      </w:r>
      <w:proofErr w:type="spellEnd"/>
      <w:r w:rsidRPr="00D71CE0">
        <w:rPr>
          <w:rFonts w:ascii="Times New Roman" w:hAnsi="Times New Roman" w:cs="Times New Roman"/>
          <w:sz w:val="24"/>
        </w:rPr>
        <w:t xml:space="preserve">, A. </w:t>
      </w:r>
      <w:proofErr w:type="spellStart"/>
      <w:r w:rsidRPr="00D71CE0">
        <w:rPr>
          <w:rFonts w:ascii="Times New Roman" w:hAnsi="Times New Roman" w:cs="Times New Roman"/>
          <w:sz w:val="24"/>
        </w:rPr>
        <w:t>Dyck</w:t>
      </w:r>
      <w:proofErr w:type="spellEnd"/>
      <w:r w:rsidRPr="00D71CE0">
        <w:rPr>
          <w:rFonts w:ascii="Times New Roman" w:hAnsi="Times New Roman" w:cs="Times New Roman"/>
          <w:sz w:val="24"/>
        </w:rPr>
        <w:t xml:space="preserve">, L. Huang, W. Cheung, J. </w:t>
      </w:r>
      <w:proofErr w:type="spellStart"/>
      <w:r w:rsidRPr="00D71CE0">
        <w:rPr>
          <w:rFonts w:ascii="Times New Roman" w:hAnsi="Times New Roman" w:cs="Times New Roman"/>
          <w:sz w:val="24"/>
        </w:rPr>
        <w:t>Jacquet</w:t>
      </w:r>
      <w:proofErr w:type="spellEnd"/>
      <w:r w:rsidRPr="00D71CE0">
        <w:rPr>
          <w:rFonts w:ascii="Times New Roman" w:hAnsi="Times New Roman" w:cs="Times New Roman"/>
          <w:sz w:val="24"/>
        </w:rPr>
        <w:t xml:space="preserve">, K. </w:t>
      </w:r>
      <w:proofErr w:type="spellStart"/>
      <w:r w:rsidRPr="00D71CE0">
        <w:rPr>
          <w:rFonts w:ascii="Times New Roman" w:hAnsi="Times New Roman" w:cs="Times New Roman"/>
          <w:sz w:val="24"/>
        </w:rPr>
        <w:t>Kleisner</w:t>
      </w:r>
      <w:proofErr w:type="spellEnd"/>
      <w:r w:rsidRPr="00D71CE0">
        <w:rPr>
          <w:rFonts w:ascii="Times New Roman" w:hAnsi="Times New Roman" w:cs="Times New Roman"/>
          <w:sz w:val="24"/>
        </w:rPr>
        <w:t>, V. Lam, A. McCrea-</w:t>
      </w:r>
      <w:proofErr w:type="spellStart"/>
      <w:r w:rsidRPr="00D71CE0">
        <w:rPr>
          <w:rFonts w:ascii="Times New Roman" w:hAnsi="Times New Roman" w:cs="Times New Roman"/>
          <w:sz w:val="24"/>
        </w:rPr>
        <w:t>Strub</w:t>
      </w:r>
      <w:proofErr w:type="spellEnd"/>
      <w:r w:rsidRPr="00D71CE0">
        <w:rPr>
          <w:rFonts w:ascii="Times New Roman" w:hAnsi="Times New Roman" w:cs="Times New Roman"/>
          <w:sz w:val="24"/>
        </w:rPr>
        <w:t>, and W. Swartz. 2012. Impact of the Deepwater Horizon well blowout on the economics of US Gulf fisheries. Canadian Journal of Fisheries and Aquatic Sciences 69:499–510.</w:t>
      </w:r>
    </w:p>
    <w:p w14:paraId="528BD948" w14:textId="77777777" w:rsidR="00D71CE0" w:rsidRPr="00D71CE0" w:rsidRDefault="00D71CE0" w:rsidP="00D71CE0">
      <w:pPr>
        <w:pStyle w:val="Bibliography"/>
        <w:rPr>
          <w:rFonts w:ascii="Times New Roman" w:hAnsi="Times New Roman" w:cs="Times New Roman"/>
          <w:sz w:val="24"/>
        </w:rPr>
      </w:pPr>
      <w:proofErr w:type="spellStart"/>
      <w:r w:rsidRPr="00D71CE0">
        <w:rPr>
          <w:rFonts w:ascii="Times New Roman" w:hAnsi="Times New Roman" w:cs="Times New Roman"/>
          <w:sz w:val="24"/>
        </w:rPr>
        <w:t>Vastano</w:t>
      </w:r>
      <w:proofErr w:type="spellEnd"/>
      <w:r w:rsidRPr="00D71CE0">
        <w:rPr>
          <w:rFonts w:ascii="Times New Roman" w:hAnsi="Times New Roman" w:cs="Times New Roman"/>
          <w:sz w:val="24"/>
        </w:rPr>
        <w:t xml:space="preserve">, A. R., K. W. Able, O. P. Jensen, P. C. </w:t>
      </w:r>
      <w:proofErr w:type="spellStart"/>
      <w:r w:rsidRPr="00D71CE0">
        <w:rPr>
          <w:rFonts w:ascii="Times New Roman" w:hAnsi="Times New Roman" w:cs="Times New Roman"/>
          <w:sz w:val="24"/>
        </w:rPr>
        <w:t>López</w:t>
      </w:r>
      <w:proofErr w:type="spellEnd"/>
      <w:r w:rsidRPr="00D71CE0">
        <w:rPr>
          <w:rFonts w:ascii="Times New Roman" w:hAnsi="Times New Roman" w:cs="Times New Roman"/>
          <w:sz w:val="24"/>
        </w:rPr>
        <w:t xml:space="preserve">-Duarte, C. W. Martin, and B. J. Roberts. 2017. Age validation and seasonal growth patterns of a subtropical marsh fish: The Gulf Killifish, </w:t>
      </w:r>
      <w:proofErr w:type="spellStart"/>
      <w:r w:rsidRPr="00D71CE0">
        <w:rPr>
          <w:rFonts w:ascii="Times New Roman" w:hAnsi="Times New Roman" w:cs="Times New Roman"/>
          <w:sz w:val="24"/>
        </w:rPr>
        <w:t>Fundulus</w:t>
      </w:r>
      <w:proofErr w:type="spellEnd"/>
      <w:r w:rsidRPr="00D71CE0">
        <w:rPr>
          <w:rFonts w:ascii="Times New Roman" w:hAnsi="Times New Roman" w:cs="Times New Roman"/>
          <w:sz w:val="24"/>
        </w:rPr>
        <w:t xml:space="preserve"> </w:t>
      </w:r>
      <w:proofErr w:type="spellStart"/>
      <w:r w:rsidRPr="00D71CE0">
        <w:rPr>
          <w:rFonts w:ascii="Times New Roman" w:hAnsi="Times New Roman" w:cs="Times New Roman"/>
          <w:sz w:val="24"/>
        </w:rPr>
        <w:t>grandis</w:t>
      </w:r>
      <w:proofErr w:type="spellEnd"/>
      <w:r w:rsidRPr="00D71CE0">
        <w:rPr>
          <w:rFonts w:ascii="Times New Roman" w:hAnsi="Times New Roman" w:cs="Times New Roman"/>
          <w:sz w:val="24"/>
        </w:rPr>
        <w:t>. Environmental Biology of Fishes 100:1315–1327.</w:t>
      </w:r>
    </w:p>
    <w:p w14:paraId="5A1B84D5"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t xml:space="preserve">Venn-Watson, S., K. M. </w:t>
      </w:r>
      <w:proofErr w:type="spellStart"/>
      <w:r w:rsidRPr="00D71CE0">
        <w:rPr>
          <w:rFonts w:ascii="Times New Roman" w:hAnsi="Times New Roman" w:cs="Times New Roman"/>
          <w:sz w:val="24"/>
        </w:rPr>
        <w:t>Colegrove</w:t>
      </w:r>
      <w:proofErr w:type="spellEnd"/>
      <w:r w:rsidRPr="00D71CE0">
        <w:rPr>
          <w:rFonts w:ascii="Times New Roman" w:hAnsi="Times New Roman" w:cs="Times New Roman"/>
          <w:sz w:val="24"/>
        </w:rPr>
        <w:t xml:space="preserve">, J. </w:t>
      </w:r>
      <w:proofErr w:type="spellStart"/>
      <w:r w:rsidRPr="00D71CE0">
        <w:rPr>
          <w:rFonts w:ascii="Times New Roman" w:hAnsi="Times New Roman" w:cs="Times New Roman"/>
          <w:sz w:val="24"/>
        </w:rPr>
        <w:t>Litz</w:t>
      </w:r>
      <w:proofErr w:type="spellEnd"/>
      <w:r w:rsidRPr="00D71CE0">
        <w:rPr>
          <w:rFonts w:ascii="Times New Roman" w:hAnsi="Times New Roman" w:cs="Times New Roman"/>
          <w:sz w:val="24"/>
        </w:rPr>
        <w:t xml:space="preserve">, M. </w:t>
      </w:r>
      <w:proofErr w:type="spellStart"/>
      <w:r w:rsidRPr="00D71CE0">
        <w:rPr>
          <w:rFonts w:ascii="Times New Roman" w:hAnsi="Times New Roman" w:cs="Times New Roman"/>
          <w:sz w:val="24"/>
        </w:rPr>
        <w:t>Kinsel</w:t>
      </w:r>
      <w:proofErr w:type="spellEnd"/>
      <w:r w:rsidRPr="00D71CE0">
        <w:rPr>
          <w:rFonts w:ascii="Times New Roman" w:hAnsi="Times New Roman" w:cs="Times New Roman"/>
          <w:sz w:val="24"/>
        </w:rPr>
        <w:t xml:space="preserve">, K. </w:t>
      </w:r>
      <w:proofErr w:type="spellStart"/>
      <w:r w:rsidRPr="00D71CE0">
        <w:rPr>
          <w:rFonts w:ascii="Times New Roman" w:hAnsi="Times New Roman" w:cs="Times New Roman"/>
          <w:sz w:val="24"/>
        </w:rPr>
        <w:t>Terio</w:t>
      </w:r>
      <w:proofErr w:type="spellEnd"/>
      <w:r w:rsidRPr="00D71CE0">
        <w:rPr>
          <w:rFonts w:ascii="Times New Roman" w:hAnsi="Times New Roman" w:cs="Times New Roman"/>
          <w:sz w:val="24"/>
        </w:rPr>
        <w:t xml:space="preserve">, J. </w:t>
      </w:r>
      <w:proofErr w:type="spellStart"/>
      <w:r w:rsidRPr="00D71CE0">
        <w:rPr>
          <w:rFonts w:ascii="Times New Roman" w:hAnsi="Times New Roman" w:cs="Times New Roman"/>
          <w:sz w:val="24"/>
        </w:rPr>
        <w:t>Saliki</w:t>
      </w:r>
      <w:proofErr w:type="spellEnd"/>
      <w:r w:rsidRPr="00D71CE0">
        <w:rPr>
          <w:rFonts w:ascii="Times New Roman" w:hAnsi="Times New Roman" w:cs="Times New Roman"/>
          <w:sz w:val="24"/>
        </w:rPr>
        <w:t xml:space="preserve">, S. Fire, R. Carmichael, C. </w:t>
      </w:r>
      <w:proofErr w:type="spellStart"/>
      <w:r w:rsidRPr="00D71CE0">
        <w:rPr>
          <w:rFonts w:ascii="Times New Roman" w:hAnsi="Times New Roman" w:cs="Times New Roman"/>
          <w:sz w:val="24"/>
        </w:rPr>
        <w:t>Chevis</w:t>
      </w:r>
      <w:proofErr w:type="spellEnd"/>
      <w:r w:rsidRPr="00D71CE0">
        <w:rPr>
          <w:rFonts w:ascii="Times New Roman" w:hAnsi="Times New Roman" w:cs="Times New Roman"/>
          <w:sz w:val="24"/>
        </w:rPr>
        <w:t>, and W. Hatchett. 2015. Adrenal gland and lung lesions in Gulf of Mexico common bottlenose dolphins (</w:t>
      </w:r>
      <w:proofErr w:type="spellStart"/>
      <w:r w:rsidRPr="00D71CE0">
        <w:rPr>
          <w:rFonts w:ascii="Times New Roman" w:hAnsi="Times New Roman" w:cs="Times New Roman"/>
          <w:sz w:val="24"/>
        </w:rPr>
        <w:t>Tursiops</w:t>
      </w:r>
      <w:proofErr w:type="spellEnd"/>
      <w:r w:rsidRPr="00D71CE0">
        <w:rPr>
          <w:rFonts w:ascii="Times New Roman" w:hAnsi="Times New Roman" w:cs="Times New Roman"/>
          <w:sz w:val="24"/>
        </w:rPr>
        <w:t xml:space="preserve"> </w:t>
      </w:r>
      <w:proofErr w:type="spellStart"/>
      <w:r w:rsidRPr="00D71CE0">
        <w:rPr>
          <w:rFonts w:ascii="Times New Roman" w:hAnsi="Times New Roman" w:cs="Times New Roman"/>
          <w:sz w:val="24"/>
        </w:rPr>
        <w:t>truncatus</w:t>
      </w:r>
      <w:proofErr w:type="spellEnd"/>
      <w:r w:rsidRPr="00D71CE0">
        <w:rPr>
          <w:rFonts w:ascii="Times New Roman" w:hAnsi="Times New Roman" w:cs="Times New Roman"/>
          <w:sz w:val="24"/>
        </w:rPr>
        <w:t xml:space="preserve">) found dead following the Deepwater Horizon oil spill. </w:t>
      </w:r>
      <w:proofErr w:type="spellStart"/>
      <w:r w:rsidRPr="00D71CE0">
        <w:rPr>
          <w:rFonts w:ascii="Times New Roman" w:hAnsi="Times New Roman" w:cs="Times New Roman"/>
          <w:sz w:val="24"/>
        </w:rPr>
        <w:t>PLoS</w:t>
      </w:r>
      <w:proofErr w:type="spellEnd"/>
      <w:r w:rsidRPr="00D71CE0">
        <w:rPr>
          <w:rFonts w:ascii="Times New Roman" w:hAnsi="Times New Roman" w:cs="Times New Roman"/>
          <w:sz w:val="24"/>
        </w:rPr>
        <w:t xml:space="preserve"> One </w:t>
      </w:r>
      <w:proofErr w:type="gramStart"/>
      <w:r w:rsidRPr="00D71CE0">
        <w:rPr>
          <w:rFonts w:ascii="Times New Roman" w:hAnsi="Times New Roman" w:cs="Times New Roman"/>
          <w:sz w:val="24"/>
        </w:rPr>
        <w:t>10:e</w:t>
      </w:r>
      <w:proofErr w:type="gramEnd"/>
      <w:r w:rsidRPr="00D71CE0">
        <w:rPr>
          <w:rFonts w:ascii="Times New Roman" w:hAnsi="Times New Roman" w:cs="Times New Roman"/>
          <w:sz w:val="24"/>
        </w:rPr>
        <w:t>0126538.</w:t>
      </w:r>
    </w:p>
    <w:p w14:paraId="6CC3CBDF" w14:textId="77777777" w:rsidR="00D71CE0" w:rsidRPr="00D71CE0" w:rsidRDefault="00D71CE0" w:rsidP="00D71CE0">
      <w:pPr>
        <w:pStyle w:val="Bibliography"/>
        <w:rPr>
          <w:rFonts w:ascii="Times New Roman" w:hAnsi="Times New Roman" w:cs="Times New Roman"/>
          <w:sz w:val="24"/>
        </w:rPr>
      </w:pPr>
      <w:r w:rsidRPr="00D71CE0">
        <w:rPr>
          <w:rFonts w:ascii="Times New Roman" w:hAnsi="Times New Roman" w:cs="Times New Roman"/>
          <w:sz w:val="24"/>
        </w:rPr>
        <w:lastRenderedPageBreak/>
        <w:t xml:space="preserve">Ward, E. J., K. L. Oken, K. A. Rose, S. Sable, K. Watkins, E. E. Holmes, and M. D. </w:t>
      </w:r>
      <w:proofErr w:type="spellStart"/>
      <w:r w:rsidRPr="00D71CE0">
        <w:rPr>
          <w:rFonts w:ascii="Times New Roman" w:hAnsi="Times New Roman" w:cs="Times New Roman"/>
          <w:sz w:val="24"/>
        </w:rPr>
        <w:t>Scheuerell</w:t>
      </w:r>
      <w:proofErr w:type="spellEnd"/>
      <w:r w:rsidRPr="00D71CE0">
        <w:rPr>
          <w:rFonts w:ascii="Times New Roman" w:hAnsi="Times New Roman" w:cs="Times New Roman"/>
          <w:sz w:val="24"/>
        </w:rPr>
        <w:t>. 2018. Applying spatiotemporal models to monitoring data to quantify fish population responses to the Deepwater Horizon oil spill in the Gulf of Mexico. Environmental Monitoring and Assessment 190:530.</w:t>
      </w:r>
    </w:p>
    <w:p w14:paraId="3AA5EE5B" w14:textId="468450B1"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iva Oken" w:date="2018-10-22T17:45:00Z" w:initials="KO">
    <w:p w14:paraId="7BA126FA" w14:textId="585BDE10" w:rsidR="00397736" w:rsidRDefault="00397736">
      <w:pPr>
        <w:pStyle w:val="CommentText"/>
      </w:pPr>
      <w:r>
        <w:rPr>
          <w:rStyle w:val="CommentReference"/>
        </w:rPr>
        <w:annotationRef/>
      </w:r>
      <w:r w:rsidR="001F68AB">
        <w:rPr>
          <w:rStyle w:val="CommentReference"/>
        </w:rPr>
        <w:t>Is there a way to better target this paragraph to the study?</w:t>
      </w:r>
    </w:p>
  </w:comment>
  <w:comment w:id="2" w:author="Kiva Oken" w:date="2018-11-05T19:10:00Z" w:initials="KO">
    <w:p w14:paraId="08BEF78A" w14:textId="3FD8C869" w:rsidR="00A56691" w:rsidRDefault="00A56691">
      <w:pPr>
        <w:pStyle w:val="CommentText"/>
      </w:pPr>
      <w:r>
        <w:rPr>
          <w:rStyle w:val="CommentReference"/>
        </w:rPr>
        <w:annotationRef/>
      </w:r>
      <w:r>
        <w:t>Should any of this go in a supplement?</w:t>
      </w:r>
    </w:p>
  </w:comment>
  <w:comment w:id="3" w:author="Kiva Oken" w:date="2018-11-05T19:12:00Z" w:initials="KO">
    <w:p w14:paraId="1A8478AE" w14:textId="6B932AC4" w:rsidR="00A56691" w:rsidRDefault="00A56691">
      <w:pPr>
        <w:pStyle w:val="CommentText"/>
      </w:pPr>
      <w:r>
        <w:t xml:space="preserve">Currently I treat these groups as independent. </w:t>
      </w:r>
      <w:r>
        <w:rPr>
          <w:rStyle w:val="CommentReference"/>
        </w:rPr>
        <w:annotationRef/>
      </w:r>
      <w:r>
        <w:t xml:space="preserve">I </w:t>
      </w:r>
      <w:r w:rsidR="006007C7">
        <w:t xml:space="preserve">have code set up to combine the juveniles and adults into one uniform group, but still need to rerun the analysis. This will </w:t>
      </w:r>
      <w:r>
        <w:t>“bracket” the true scenario</w:t>
      </w:r>
      <w:r w:rsidR="006007C7">
        <w:t>.</w:t>
      </w:r>
    </w:p>
  </w:comment>
  <w:comment w:id="4" w:author="Kiva Oken" w:date="2018-11-05T19:15:00Z" w:initials="KO">
    <w:p w14:paraId="4C935169" w14:textId="1289E617" w:rsidR="00A56691" w:rsidRDefault="00A56691">
      <w:pPr>
        <w:pStyle w:val="CommentText"/>
      </w:pPr>
      <w:r>
        <w:rPr>
          <w:rStyle w:val="CommentReference"/>
        </w:rPr>
        <w:annotationRef/>
      </w:r>
      <w:r>
        <w:t>Could potentially do this for change in catch and predator biomass instead. Would require me to calculate what those derivatives are.</w:t>
      </w:r>
    </w:p>
  </w:comment>
  <w:comment w:id="5" w:author="kiva.oken kiva.oken" w:date="2022-02-26T09:04:00Z" w:initials="kk">
    <w:p w14:paraId="4AF7F129" w14:textId="62989895" w:rsidR="001C16B2" w:rsidRDefault="001C16B2">
      <w:pPr>
        <w:pStyle w:val="CommentText"/>
      </w:pPr>
      <w:r>
        <w:rPr>
          <w:rStyle w:val="CommentReference"/>
        </w:rPr>
        <w:annotationRef/>
      </w:r>
      <w:r>
        <w:t>This is so much work and this section seems very short.</w:t>
      </w:r>
      <w:r w:rsidR="00655971">
        <w:t xml:space="preserve"> Ideas for other (small) analyses to add/ways to summarize the model?</w:t>
      </w:r>
    </w:p>
  </w:comment>
  <w:comment w:id="6" w:author="kiva.oken kiva.oken" w:date="2022-02-26T08:50:00Z" w:initials="kk">
    <w:p w14:paraId="776C27DC" w14:textId="70B61AFA" w:rsidR="004149A5" w:rsidRDefault="004149A5">
      <w:pPr>
        <w:pStyle w:val="CommentText"/>
      </w:pPr>
      <w:r>
        <w:rPr>
          <w:rStyle w:val="CommentReference"/>
        </w:rPr>
        <w:annotationRef/>
      </w:r>
      <w:r>
        <w:t>Word choice?</w:t>
      </w:r>
    </w:p>
  </w:comment>
  <w:comment w:id="7" w:author="Kiva Oken" w:date="2018-11-05T17:43:00Z" w:initials="KO">
    <w:p w14:paraId="390D0D92" w14:textId="6B913FC6" w:rsidR="00600A6E" w:rsidRDefault="00600A6E">
      <w:pPr>
        <w:pStyle w:val="CommentText"/>
      </w:pPr>
      <w:r>
        <w:rPr>
          <w:rStyle w:val="CommentReference"/>
        </w:rPr>
        <w:annotationRef/>
      </w:r>
      <w:r>
        <w:t xml:space="preserve">I am still working on figuring out how to tease these out. The math </w:t>
      </w:r>
      <w:r w:rsidR="00AC09A8">
        <w:t>I describe</w:t>
      </w:r>
      <w:r w:rsidR="002A60CF">
        <w:t>d</w:t>
      </w:r>
      <w:r w:rsidR="00AC09A8">
        <w:t xml:space="preserve"> </w:t>
      </w:r>
      <w:r>
        <w:t>in the methods</w:t>
      </w:r>
      <w:r w:rsidR="00AC09A8">
        <w:t xml:space="preserve"> I understand well (even if I didn’t explain it well…)</w:t>
      </w:r>
      <w:r>
        <w:t xml:space="preserve">, but </w:t>
      </w:r>
      <w:r w:rsidR="0036584F">
        <w:t xml:space="preserve">still not sure how to go </w:t>
      </w:r>
      <w:r>
        <w:t xml:space="preserve">back and </w:t>
      </w:r>
      <w:r w:rsidR="0036584F">
        <w:t>trace the indirect pathways</w:t>
      </w:r>
      <w:r>
        <w:t>.</w:t>
      </w:r>
    </w:p>
    <w:p w14:paraId="7467F0A6" w14:textId="49DE25A5" w:rsidR="00AC09A8" w:rsidRDefault="00AC09A8">
      <w:pPr>
        <w:pStyle w:val="CommentText"/>
      </w:pPr>
    </w:p>
    <w:p w14:paraId="0E2748AF" w14:textId="1501750D" w:rsidR="00AC09A8" w:rsidRDefault="00AC09A8">
      <w:pPr>
        <w:pStyle w:val="CommentText"/>
      </w:pPr>
      <w:r>
        <w:t xml:space="preserve">Also the error bars are ENORMOUS. Which I </w:t>
      </w:r>
      <w:r w:rsidR="002A60CF">
        <w:t xml:space="preserve">somewhat </w:t>
      </w:r>
      <w:r>
        <w:t xml:space="preserve">hid </w:t>
      </w:r>
      <w:r w:rsidR="002A60CF">
        <w:t xml:space="preserve">for now </w:t>
      </w:r>
      <w:r>
        <w:t>by only plotting 50% intervals.</w:t>
      </w:r>
    </w:p>
  </w:comment>
  <w:comment w:id="8" w:author="kiva.oken kiva.oken" w:date="2022-02-26T09:11:00Z" w:initials="kk">
    <w:p w14:paraId="669455F9" w14:textId="7D0BEA21" w:rsidR="00C22D88" w:rsidRDefault="00C22D88">
      <w:pPr>
        <w:pStyle w:val="CommentText"/>
      </w:pPr>
      <w:r>
        <w:rPr>
          <w:rStyle w:val="CommentReference"/>
        </w:rPr>
        <w:annotationRef/>
      </w:r>
      <w:r>
        <w:t xml:space="preserve">Though fishing was also more temporary?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A126FA" w15:done="0"/>
  <w15:commentEx w15:paraId="08BEF78A" w15:done="0"/>
  <w15:commentEx w15:paraId="1A8478AE" w15:done="0"/>
  <w15:commentEx w15:paraId="4C935169" w15:done="0"/>
  <w15:commentEx w15:paraId="4AF7F129" w15:done="0"/>
  <w15:commentEx w15:paraId="776C27DC" w15:done="0"/>
  <w15:commentEx w15:paraId="0E2748AF" w15:done="0"/>
  <w15:commentEx w15:paraId="669455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 Oken">
    <w15:presenceInfo w15:providerId="None" w15:userId="Kiva Oken"/>
  </w15:person>
  <w15:person w15:author="kiva.oken kiva.oken">
    <w15:presenceInfo w15:providerId="Windows Live" w15:userId="238a381983761e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86"/>
    <w:rsid w:val="00000340"/>
    <w:rsid w:val="00043676"/>
    <w:rsid w:val="00047859"/>
    <w:rsid w:val="0006069A"/>
    <w:rsid w:val="00083D48"/>
    <w:rsid w:val="00087729"/>
    <w:rsid w:val="0009609C"/>
    <w:rsid w:val="000A2A54"/>
    <w:rsid w:val="000A4E86"/>
    <w:rsid w:val="000C6C6A"/>
    <w:rsid w:val="000E7DB3"/>
    <w:rsid w:val="000F1A1C"/>
    <w:rsid w:val="001163ED"/>
    <w:rsid w:val="001310BD"/>
    <w:rsid w:val="001311AC"/>
    <w:rsid w:val="001541E7"/>
    <w:rsid w:val="00164606"/>
    <w:rsid w:val="00182160"/>
    <w:rsid w:val="00192711"/>
    <w:rsid w:val="001C16B2"/>
    <w:rsid w:val="001C499C"/>
    <w:rsid w:val="001D0259"/>
    <w:rsid w:val="001E17C5"/>
    <w:rsid w:val="001E30E6"/>
    <w:rsid w:val="001F68AB"/>
    <w:rsid w:val="00200548"/>
    <w:rsid w:val="002070D6"/>
    <w:rsid w:val="0022159B"/>
    <w:rsid w:val="00223945"/>
    <w:rsid w:val="00227571"/>
    <w:rsid w:val="00227D86"/>
    <w:rsid w:val="002400C6"/>
    <w:rsid w:val="0024026B"/>
    <w:rsid w:val="002615E3"/>
    <w:rsid w:val="002669F5"/>
    <w:rsid w:val="002908BC"/>
    <w:rsid w:val="00292F64"/>
    <w:rsid w:val="0029638B"/>
    <w:rsid w:val="002A60CF"/>
    <w:rsid w:val="002F6EEF"/>
    <w:rsid w:val="00311EFF"/>
    <w:rsid w:val="00312B86"/>
    <w:rsid w:val="003165E9"/>
    <w:rsid w:val="0032006F"/>
    <w:rsid w:val="003550F2"/>
    <w:rsid w:val="0036584F"/>
    <w:rsid w:val="00397736"/>
    <w:rsid w:val="003C72FA"/>
    <w:rsid w:val="003D58F7"/>
    <w:rsid w:val="003D6E3B"/>
    <w:rsid w:val="003E578A"/>
    <w:rsid w:val="00400F53"/>
    <w:rsid w:val="00413161"/>
    <w:rsid w:val="004145EA"/>
    <w:rsid w:val="004149A5"/>
    <w:rsid w:val="0042481F"/>
    <w:rsid w:val="00431D43"/>
    <w:rsid w:val="00432EF5"/>
    <w:rsid w:val="00440F38"/>
    <w:rsid w:val="0044619B"/>
    <w:rsid w:val="004614E2"/>
    <w:rsid w:val="00463142"/>
    <w:rsid w:val="0047767F"/>
    <w:rsid w:val="00492E53"/>
    <w:rsid w:val="0049714D"/>
    <w:rsid w:val="004A1C9A"/>
    <w:rsid w:val="004B0FDA"/>
    <w:rsid w:val="004C6877"/>
    <w:rsid w:val="00533AC9"/>
    <w:rsid w:val="005467F6"/>
    <w:rsid w:val="005815DE"/>
    <w:rsid w:val="00585A18"/>
    <w:rsid w:val="005C4F03"/>
    <w:rsid w:val="005C53F6"/>
    <w:rsid w:val="005D623D"/>
    <w:rsid w:val="005D6783"/>
    <w:rsid w:val="005D6BD6"/>
    <w:rsid w:val="005E2179"/>
    <w:rsid w:val="006007C7"/>
    <w:rsid w:val="00600A6E"/>
    <w:rsid w:val="00600CC1"/>
    <w:rsid w:val="0061731D"/>
    <w:rsid w:val="006329FD"/>
    <w:rsid w:val="00653948"/>
    <w:rsid w:val="00655971"/>
    <w:rsid w:val="00681AAB"/>
    <w:rsid w:val="0068351D"/>
    <w:rsid w:val="006A14FF"/>
    <w:rsid w:val="006B6036"/>
    <w:rsid w:val="006B792B"/>
    <w:rsid w:val="006C74E9"/>
    <w:rsid w:val="006C7D05"/>
    <w:rsid w:val="006D50CD"/>
    <w:rsid w:val="006D7B25"/>
    <w:rsid w:val="006F1CA0"/>
    <w:rsid w:val="006F4A42"/>
    <w:rsid w:val="0071357D"/>
    <w:rsid w:val="0077652B"/>
    <w:rsid w:val="00783AD0"/>
    <w:rsid w:val="007871E5"/>
    <w:rsid w:val="007A5FDB"/>
    <w:rsid w:val="007B4430"/>
    <w:rsid w:val="007C66E4"/>
    <w:rsid w:val="007D707F"/>
    <w:rsid w:val="007E59D8"/>
    <w:rsid w:val="007F12C1"/>
    <w:rsid w:val="00811953"/>
    <w:rsid w:val="008356A7"/>
    <w:rsid w:val="0085482F"/>
    <w:rsid w:val="008744D7"/>
    <w:rsid w:val="008774FC"/>
    <w:rsid w:val="00892EF5"/>
    <w:rsid w:val="00897870"/>
    <w:rsid w:val="008A1DFC"/>
    <w:rsid w:val="008B6D00"/>
    <w:rsid w:val="00902471"/>
    <w:rsid w:val="00902482"/>
    <w:rsid w:val="00911094"/>
    <w:rsid w:val="00953D57"/>
    <w:rsid w:val="009617AB"/>
    <w:rsid w:val="00975FCD"/>
    <w:rsid w:val="0099016B"/>
    <w:rsid w:val="0099281D"/>
    <w:rsid w:val="00994EF2"/>
    <w:rsid w:val="0099633C"/>
    <w:rsid w:val="009A4E7A"/>
    <w:rsid w:val="009B4C42"/>
    <w:rsid w:val="009B5C21"/>
    <w:rsid w:val="009E4F7A"/>
    <w:rsid w:val="00A14F7E"/>
    <w:rsid w:val="00A24A51"/>
    <w:rsid w:val="00A31EA3"/>
    <w:rsid w:val="00A50BE2"/>
    <w:rsid w:val="00A55059"/>
    <w:rsid w:val="00A56691"/>
    <w:rsid w:val="00A65929"/>
    <w:rsid w:val="00A660E2"/>
    <w:rsid w:val="00A70490"/>
    <w:rsid w:val="00A742FC"/>
    <w:rsid w:val="00A83A67"/>
    <w:rsid w:val="00A90166"/>
    <w:rsid w:val="00A952E8"/>
    <w:rsid w:val="00AB0A64"/>
    <w:rsid w:val="00AC09A8"/>
    <w:rsid w:val="00B26EC7"/>
    <w:rsid w:val="00B40D43"/>
    <w:rsid w:val="00B51D6F"/>
    <w:rsid w:val="00B529FC"/>
    <w:rsid w:val="00B72BEA"/>
    <w:rsid w:val="00B7572F"/>
    <w:rsid w:val="00B95D5A"/>
    <w:rsid w:val="00BD0702"/>
    <w:rsid w:val="00BD40E4"/>
    <w:rsid w:val="00C22D88"/>
    <w:rsid w:val="00C625C8"/>
    <w:rsid w:val="00C77F90"/>
    <w:rsid w:val="00C8346E"/>
    <w:rsid w:val="00C9183C"/>
    <w:rsid w:val="00CA5BAD"/>
    <w:rsid w:val="00CB1DC0"/>
    <w:rsid w:val="00CB2185"/>
    <w:rsid w:val="00CC01F4"/>
    <w:rsid w:val="00CC75F8"/>
    <w:rsid w:val="00CD5BB3"/>
    <w:rsid w:val="00CE6318"/>
    <w:rsid w:val="00CF20EB"/>
    <w:rsid w:val="00CF7A8A"/>
    <w:rsid w:val="00D01396"/>
    <w:rsid w:val="00D05ECC"/>
    <w:rsid w:val="00D169B7"/>
    <w:rsid w:val="00D23021"/>
    <w:rsid w:val="00D30116"/>
    <w:rsid w:val="00D32C90"/>
    <w:rsid w:val="00D34640"/>
    <w:rsid w:val="00D45A80"/>
    <w:rsid w:val="00D71CE0"/>
    <w:rsid w:val="00D8465A"/>
    <w:rsid w:val="00D86793"/>
    <w:rsid w:val="00D920DF"/>
    <w:rsid w:val="00D93A5A"/>
    <w:rsid w:val="00DA00EC"/>
    <w:rsid w:val="00DA219B"/>
    <w:rsid w:val="00DB4198"/>
    <w:rsid w:val="00DC1848"/>
    <w:rsid w:val="00DD3921"/>
    <w:rsid w:val="00DE2AB3"/>
    <w:rsid w:val="00DE34DC"/>
    <w:rsid w:val="00DE70A3"/>
    <w:rsid w:val="00E11E9B"/>
    <w:rsid w:val="00E15DB2"/>
    <w:rsid w:val="00E23B23"/>
    <w:rsid w:val="00E33FD5"/>
    <w:rsid w:val="00E379FB"/>
    <w:rsid w:val="00E42D58"/>
    <w:rsid w:val="00E51E5A"/>
    <w:rsid w:val="00E66FA7"/>
    <w:rsid w:val="00E851D9"/>
    <w:rsid w:val="00E956A8"/>
    <w:rsid w:val="00E96D16"/>
    <w:rsid w:val="00EC2728"/>
    <w:rsid w:val="00EE2AE1"/>
    <w:rsid w:val="00EE3118"/>
    <w:rsid w:val="00EF70E6"/>
    <w:rsid w:val="00F04EB7"/>
    <w:rsid w:val="00F16B03"/>
    <w:rsid w:val="00F24AC9"/>
    <w:rsid w:val="00F355A1"/>
    <w:rsid w:val="00F505E9"/>
    <w:rsid w:val="00F52E53"/>
    <w:rsid w:val="00F70F97"/>
    <w:rsid w:val="00F80441"/>
    <w:rsid w:val="00FA22FC"/>
    <w:rsid w:val="00FB3DCB"/>
    <w:rsid w:val="00FC2AD9"/>
    <w:rsid w:val="00FC662D"/>
    <w:rsid w:val="00FF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B28B"/>
  <w15:chartTrackingRefBased/>
  <w15:docId w15:val="{45A6713B-9628-4F95-8632-D8183058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48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semiHidden/>
    <w:unhideWhenUsed/>
    <w:rsid w:val="00953D57"/>
    <w:pPr>
      <w:spacing w:line="240" w:lineRule="auto"/>
    </w:pPr>
    <w:rPr>
      <w:sz w:val="20"/>
      <w:szCs w:val="20"/>
    </w:rPr>
  </w:style>
  <w:style w:type="character" w:customStyle="1" w:styleId="CommentTextChar">
    <w:name w:val="Comment Text Char"/>
    <w:basedOn w:val="DefaultParagraphFont"/>
    <w:link w:val="CommentText"/>
    <w:uiPriority w:val="99"/>
    <w:semiHidden/>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C7E2-FB31-4060-85A1-7F5B719A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34588</TotalTime>
  <Pages>20</Pages>
  <Words>16289</Words>
  <Characters>92851</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 kiva.oken</cp:lastModifiedBy>
  <cp:revision>132</cp:revision>
  <dcterms:created xsi:type="dcterms:W3CDTF">2018-09-11T20:41:00Z</dcterms:created>
  <dcterms:modified xsi:type="dcterms:W3CDTF">2022-02-26T17:13:00Z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id="YRGogy1S"/&gt;&lt;style id="http://www.zotero.org/styles/ecology" hasBibliography="1" bibliographyStyleHasBeenSet="1"/&gt;&lt;prefs&gt;&lt;pref name="fieldType" value="Field"/&gt;&lt;/prefs&gt;&lt;/data&gt;</vt:lpwstr>
  </property>
</Properties>
</file>