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3AFA3" w14:textId="7403A40B" w:rsidR="0063781F" w:rsidRPr="0063781F" w:rsidRDefault="0063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  Distributions used for bootstrapping functional responses. Distributions are similar to those used by Koehn et </w:t>
      </w:r>
      <w:r>
        <w:rPr>
          <w:rFonts w:ascii="Times New Roman" w:hAnsi="Times New Roman" w:cs="Times New Roman"/>
          <w:i/>
          <w:sz w:val="24"/>
          <w:szCs w:val="24"/>
        </w:rPr>
        <w:t>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wwPjbxaL","properties":{"formattedCitation":"(2017)","plainCitation":"(2017)","noteIndex":0},"citationItems":[{"id":1699,"uris":["http://zotero.org/users/783258/items/E8CVRNNG"],"uri":["http://zotero.org/users/783258/items/E8CVRNNG"],"itemData":{"id":1699,"type":"article-journal","title":"Trade-offs between forage fish fisheries and their predators in the California Current","container-title":"ICES Journal of Marine Science","page":"2448-2458","volume":"74","issue":"9","source":"academic-oup-com.proxy.libraries.rutgers.edu","abstract":"Abstract.  Forage fish generate economic benefits through directed fisheries, but also generate benefits through their role as prey to other valued species (lar","DOI":"10.1093/icesjms/fsx072","ISSN":"1054-3139","journalAbbreviation":"ICES J Mar Sci","language":"en","author":[{"family":"Koehn","given":"Laura E."},{"family":"Essington","given":"Timothy E."},{"family":"Marshall","given":"Kristin N."},{"family":"Sydeman","given":"William J."},{"family":"Szoboszlai","given":"Amber I."},{"family":"Thayer","given":"Julie A."}],"issued":{"date-parts":[["2017",12,1]]}},"suppress-author":true}],"schema":"https://github.com/citation-style-language/schema/raw/master/csl-citation.json"}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63781F">
        <w:rPr>
          <w:rFonts w:ascii="Times New Roman" w:hAnsi="Times New Roman" w:cs="Times New Roman"/>
          <w:sz w:val="24"/>
        </w:rPr>
        <w:t>(2017)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6"/>
        <w:gridCol w:w="3117"/>
        <w:gridCol w:w="1497"/>
      </w:tblGrid>
      <w:tr w:rsidR="0063781F" w14:paraId="40E68646" w14:textId="77777777" w:rsidTr="00285595">
        <w:tc>
          <w:tcPr>
            <w:tcW w:w="2076" w:type="dxa"/>
          </w:tcPr>
          <w:p w14:paraId="3F9D0961" w14:textId="6AB4282F" w:rsidR="0063781F" w:rsidRDefault="00637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 symbol</w:t>
            </w:r>
          </w:p>
        </w:tc>
        <w:tc>
          <w:tcPr>
            <w:tcW w:w="3117" w:type="dxa"/>
          </w:tcPr>
          <w:p w14:paraId="100B8FCD" w14:textId="1A93B951" w:rsidR="0063781F" w:rsidRDefault="00637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497" w:type="dxa"/>
          </w:tcPr>
          <w:p w14:paraId="26986EFC" w14:textId="10378870" w:rsidR="0063781F" w:rsidRDefault="00637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Distribution</w:t>
            </w:r>
          </w:p>
        </w:tc>
      </w:tr>
      <w:tr w:rsidR="0063781F" w14:paraId="1B41A10D" w14:textId="77777777" w:rsidTr="00285595">
        <w:tc>
          <w:tcPr>
            <w:tcW w:w="2076" w:type="dxa"/>
          </w:tcPr>
          <w:p w14:paraId="1F2147DE" w14:textId="6A8C1B62" w:rsidR="0063781F" w:rsidRDefault="00637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3117" w:type="dxa"/>
          </w:tcPr>
          <w:p w14:paraId="66BA0544" w14:textId="112A83F4" w:rsidR="0063781F" w:rsidRPr="0063781F" w:rsidRDefault="006378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Other mortality density-dependence for group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</w:p>
        </w:tc>
        <w:tc>
          <w:tcPr>
            <w:tcW w:w="1497" w:type="dxa"/>
          </w:tcPr>
          <w:p w14:paraId="0968F9BE" w14:textId="37056320" w:rsidR="0063781F" w:rsidRDefault="00637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Beta(3, 12)</w:t>
            </w:r>
          </w:p>
        </w:tc>
      </w:tr>
      <w:tr w:rsidR="0063781F" w14:paraId="2D5781E3" w14:textId="77777777" w:rsidTr="00285595">
        <w:tc>
          <w:tcPr>
            <w:tcW w:w="2076" w:type="dxa"/>
          </w:tcPr>
          <w:p w14:paraId="4DC67EC1" w14:textId="62F87A01" w:rsidR="0063781F" w:rsidRDefault="00637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59">
              <w:rPr>
                <w:rFonts w:ascii="Times New Roman" w:hAnsi="Times New Roman" w:cs="Times New Roman"/>
                <w:i/>
                <w:sz w:val="24"/>
                <w:szCs w:val="24"/>
              </w:rPr>
              <w:t>θ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ij</w:t>
            </w:r>
          </w:p>
        </w:tc>
        <w:tc>
          <w:tcPr>
            <w:tcW w:w="3117" w:type="dxa"/>
          </w:tcPr>
          <w:p w14:paraId="3FCC3DF3" w14:textId="5982A6CE" w:rsidR="0063781F" w:rsidRPr="0063781F" w:rsidRDefault="00637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Prey dependence of predator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functional response</w:t>
            </w:r>
          </w:p>
        </w:tc>
        <w:tc>
          <w:tcPr>
            <w:tcW w:w="1497" w:type="dxa"/>
          </w:tcPr>
          <w:p w14:paraId="19715F08" w14:textId="3B8A12BD" w:rsidR="0063781F" w:rsidRDefault="00637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Beta(12,3)</w:t>
            </w:r>
          </w:p>
        </w:tc>
      </w:tr>
      <w:tr w:rsidR="0063781F" w14:paraId="2D774CD2" w14:textId="77777777" w:rsidTr="00285595">
        <w:tc>
          <w:tcPr>
            <w:tcW w:w="2076" w:type="dxa"/>
          </w:tcPr>
          <w:p w14:paraId="4D71BF2C" w14:textId="274B5CCC" w:rsidR="0063781F" w:rsidRDefault="00637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ε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ij</w:t>
            </w:r>
          </w:p>
        </w:tc>
        <w:tc>
          <w:tcPr>
            <w:tcW w:w="3117" w:type="dxa"/>
          </w:tcPr>
          <w:p w14:paraId="111E9BFD" w14:textId="63F16CB6" w:rsidR="0063781F" w:rsidRPr="0063781F" w:rsidRDefault="00637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Predator dependence of predator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prey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functional response</w:t>
            </w:r>
          </w:p>
        </w:tc>
        <w:tc>
          <w:tcPr>
            <w:tcW w:w="1497" w:type="dxa"/>
          </w:tcPr>
          <w:p w14:paraId="5E52E711" w14:textId="5C1F0BD2" w:rsidR="0063781F" w:rsidRDefault="006378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Beta(2,2)</w:t>
            </w:r>
          </w:p>
        </w:tc>
      </w:tr>
    </w:tbl>
    <w:p w14:paraId="6855A92C" w14:textId="3947E06A" w:rsidR="0063781F" w:rsidRDefault="0063781F">
      <w:pPr>
        <w:rPr>
          <w:rFonts w:ascii="Times New Roman" w:hAnsi="Times New Roman" w:cs="Times New Roman"/>
          <w:sz w:val="24"/>
          <w:szCs w:val="24"/>
        </w:rPr>
      </w:pPr>
    </w:p>
    <w:p w14:paraId="25FC2A53" w14:textId="77777777" w:rsidR="0063781F" w:rsidRDefault="0063781F">
      <w:pPr>
        <w:rPr>
          <w:rFonts w:ascii="Times New Roman" w:hAnsi="Times New Roman" w:cs="Times New Roman"/>
          <w:sz w:val="24"/>
          <w:szCs w:val="24"/>
        </w:rPr>
      </w:pPr>
    </w:p>
    <w:p w14:paraId="05C96614" w14:textId="3D55F747" w:rsidR="00D43F65" w:rsidRPr="0063781F" w:rsidRDefault="00637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  <w:r w:rsidR="00D43F65" w:rsidRPr="0063781F">
        <w:rPr>
          <w:rFonts w:ascii="Times New Roman" w:hAnsi="Times New Roman" w:cs="Times New Roman"/>
          <w:sz w:val="24"/>
          <w:szCs w:val="24"/>
        </w:rPr>
        <w:t xml:space="preserve">  Ecopath model </w:t>
      </w:r>
      <w:commentRangeStart w:id="0"/>
      <w:r w:rsidR="00D43F65" w:rsidRPr="0063781F">
        <w:rPr>
          <w:rFonts w:ascii="Times New Roman" w:hAnsi="Times New Roman" w:cs="Times New Roman"/>
          <w:sz w:val="24"/>
          <w:szCs w:val="24"/>
        </w:rPr>
        <w:t>summary</w:t>
      </w:r>
      <w:commentRangeEnd w:id="0"/>
      <w:r w:rsidR="00D43F65" w:rsidRPr="0063781F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="00D43F65" w:rsidRPr="0063781F">
        <w:rPr>
          <w:rFonts w:ascii="Times New Roman" w:hAnsi="Times New Roman" w:cs="Times New Roman"/>
          <w:sz w:val="24"/>
          <w:szCs w:val="24"/>
        </w:rPr>
        <w:t xml:space="preserve">. TL is trophic level, PB production to biomass ratio, QB consumption to biomass ratio, EE ecotrophic efficiency, GE gross efficiency (PB/QB). </w:t>
      </w:r>
    </w:p>
    <w:tbl>
      <w:tblPr>
        <w:tblW w:w="8815" w:type="dxa"/>
        <w:tblLook w:val="04A0" w:firstRow="1" w:lastRow="0" w:firstColumn="1" w:lastColumn="0" w:noHBand="0" w:noVBand="1"/>
      </w:tblPr>
      <w:tblGrid>
        <w:gridCol w:w="2095"/>
        <w:gridCol w:w="960"/>
        <w:gridCol w:w="960"/>
        <w:gridCol w:w="960"/>
        <w:gridCol w:w="960"/>
        <w:gridCol w:w="960"/>
        <w:gridCol w:w="960"/>
        <w:gridCol w:w="1078"/>
      </w:tblGrid>
      <w:tr w:rsidR="00D43F65" w:rsidRPr="00D43F65" w14:paraId="28605166" w14:textId="77777777" w:rsidTr="00285595">
        <w:trPr>
          <w:trHeight w:val="300"/>
        </w:trPr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5DC2B1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commentRangeStart w:id="1"/>
            <w:r w:rsidRPr="00D43F65">
              <w:rPr>
                <w:rFonts w:ascii="Calibri" w:eastAsia="Times New Roman" w:hAnsi="Calibri" w:cs="Calibri"/>
                <w:color w:val="000000"/>
              </w:rPr>
              <w:t>Group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2C756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TL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5E935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Biomass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F09496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PB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0FB8F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QB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F7836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EE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F39299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4BCF65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Removals</w:t>
            </w:r>
          </w:p>
        </w:tc>
      </w:tr>
      <w:tr w:rsidR="00D43F65" w:rsidRPr="00D43F65" w14:paraId="50D3F173" w14:textId="77777777" w:rsidTr="00285595">
        <w:trPr>
          <w:trHeight w:val="300"/>
        </w:trPr>
        <w:tc>
          <w:tcPr>
            <w:tcW w:w="20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8BA0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juv shark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3D3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3.49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04E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0.0844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178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F7A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727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0.00237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1C8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F95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4.00E-04</w:t>
            </w:r>
          </w:p>
        </w:tc>
      </w:tr>
      <w:tr w:rsidR="00D43F65" w:rsidRPr="00D43F65" w14:paraId="2BD84790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9700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adu shark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CD1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C3F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6.80E-07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E292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A76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570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A8F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401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1.00E-07</w:t>
            </w:r>
          </w:p>
        </w:tc>
      </w:tr>
      <w:tr w:rsidR="00D43F65" w:rsidRPr="00D43F65" w14:paraId="2FE7ACFC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224D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juv r drum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A64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0ED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438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F1111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AB8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C7D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314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5.00E-04</w:t>
            </w:r>
          </w:p>
        </w:tc>
      </w:tr>
      <w:tr w:rsidR="00D43F65" w:rsidRPr="00D43F65" w14:paraId="08D86D84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0A9F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adu r drum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761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162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5A9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21D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AD1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1.46E-05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147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BDA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36138408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285B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juv seatrout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2F3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D42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E7A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06A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29.1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2C0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EFF1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E3D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233C3B8A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EC5E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adu seatrout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943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A39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402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F4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D34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20E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72F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</w:tr>
      <w:tr w:rsidR="00D43F65" w:rsidRPr="00D43F65" w14:paraId="068ED8E8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D8B3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juv b drum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A3461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2F8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048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3DE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DF6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180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CBC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</w:tr>
      <w:tr w:rsidR="00D43F65" w:rsidRPr="00D43F65" w14:paraId="2C0FF8C1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EB90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adu b drum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BE6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DC5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EF0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FD6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6.36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C0D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098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E2A1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0.00016</w:t>
            </w:r>
          </w:p>
        </w:tc>
      </w:tr>
      <w:tr w:rsidR="00D43F65" w:rsidRPr="00D43F65" w14:paraId="7F3582AA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DBC7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juv catfish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5A91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32E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E98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FF2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A70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91C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B3B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5483D20D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B862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adu catfish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4E9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A9E5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3F2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77B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51F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4A3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355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</w:tr>
      <w:tr w:rsidR="00D43F65" w:rsidRPr="00D43F65" w14:paraId="5FA1C51B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2F70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juv croaker spot perch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B90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E7A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2FB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044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9971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5DB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05C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2205EEAC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90A5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adu croaker spot perch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031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CB4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1.56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F33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E34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8.84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653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F40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875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0.022</w:t>
            </w:r>
          </w:p>
        </w:tc>
      </w:tr>
      <w:tr w:rsidR="00D43F65" w:rsidRPr="00D43F65" w14:paraId="3293B7A3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FCB2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juv sheepshead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2C0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E47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5DE1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354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31D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F18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9B9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0.001</w:t>
            </w:r>
          </w:p>
        </w:tc>
      </w:tr>
      <w:tr w:rsidR="00D43F65" w:rsidRPr="00D43F65" w14:paraId="7046E1E2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C280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adu sheepshead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A3F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BB3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D71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6A5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756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DC8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782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</w:tr>
      <w:tr w:rsidR="00D43F65" w:rsidRPr="00D43F65" w14:paraId="1EB3C8DA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9A41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juv flounder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92E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288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D3B2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046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330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135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274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2.00E-04</w:t>
            </w:r>
          </w:p>
        </w:tc>
      </w:tr>
      <w:tr w:rsidR="00D43F65" w:rsidRPr="00D43F65" w14:paraId="65F5BF18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28E9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adu flounder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76B0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CE0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C97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D6C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4.51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F26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20C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62A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0.0018</w:t>
            </w:r>
          </w:p>
        </w:tc>
      </w:tr>
      <w:tr w:rsidR="00D43F65" w:rsidRPr="00D43F65" w14:paraId="01B971A2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EEA9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juv pinfish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954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5E8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135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060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3C0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86F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1C6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52573483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16EA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adu pinfish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D84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721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A2B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0F7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040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321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B8E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</w:tr>
      <w:tr w:rsidR="00D43F65" w:rsidRPr="00D43F65" w14:paraId="2CE37E24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6C50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juv menhaden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63A6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D59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AB5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00C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AA2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834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A80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1.00E-04</w:t>
            </w:r>
          </w:p>
        </w:tc>
      </w:tr>
      <w:tr w:rsidR="00D43F65" w:rsidRPr="00D43F65" w14:paraId="74852A1A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F901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adu menhaden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719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23C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1BF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1BE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887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1AA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B31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0.68</w:t>
            </w:r>
          </w:p>
        </w:tc>
      </w:tr>
      <w:tr w:rsidR="00D43F65" w:rsidRPr="00D43F65" w14:paraId="57825802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179D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juv mullet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B8B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977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105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BE7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7B1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694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DAA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</w:tr>
      <w:tr w:rsidR="00D43F65" w:rsidRPr="00D43F65" w14:paraId="7F90C5C2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38CA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adu mullet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851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5F7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C37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D1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A06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DAA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B0C1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37649A59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A806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anchovy silverside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D47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641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D38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773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AC3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A7FD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599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</w:tr>
      <w:tr w:rsidR="00D43F65" w:rsidRPr="00D43F65" w14:paraId="351D1C3F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0D6B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lastRenderedPageBreak/>
              <w:t>gar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877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49B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7E4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DF6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82C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F38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473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</w:tr>
      <w:tr w:rsidR="00D43F65" w:rsidRPr="00D43F65" w14:paraId="27FB97F4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66FE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stingray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EA6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39D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12A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670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94E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FFE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C09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62809527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293A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diving birds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A21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F8B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726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C4E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645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9E6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706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4F5E406F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E5E3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pelicans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24C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F00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9D7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363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026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5.41E-05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4ED0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393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3741BBAE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BE69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marsh birds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A50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3.36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B49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1E9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5.48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EFE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87.6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40F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5D2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ADE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35E409B8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DBBF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dolphins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30E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44A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2EC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A69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CDD1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8.24E-05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C3A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0F9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54CDCE64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A6F9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killifishes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4AB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1BE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9F0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79C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986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3C4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29C1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4ECDFAFE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C723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juv panaeids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90B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C626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B92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DB6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66.6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A38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AEC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441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0FF07B8E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D2AA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adu panaeids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AF4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29B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DD3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C771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19.2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12B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E59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E0C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1.32</w:t>
            </w:r>
          </w:p>
        </w:tc>
      </w:tr>
      <w:tr w:rsidR="00D43F65" w:rsidRPr="00D43F65" w14:paraId="08C52728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A5B8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juv blue crab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40F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E5C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E22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ACA8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BD1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CCE81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ED7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</w:tr>
      <w:tr w:rsidR="00D43F65" w:rsidRPr="00D43F65" w14:paraId="125E208C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E81A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adu blue crab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D44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C54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7AA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0DF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B60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547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A4E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0.601</w:t>
            </w:r>
          </w:p>
        </w:tc>
      </w:tr>
      <w:tr w:rsidR="00D43F65" w:rsidRPr="00D43F65" w14:paraId="6F5BAC5D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457E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carn insects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DDA2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BD4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FB5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975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3CBA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FC6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6F8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0C64488E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6492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grass shrimp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F076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2C5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FB7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F9B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DA7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D4A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3CC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375A52D4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3424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other crabs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5101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33A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98E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110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492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91A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16D1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312537CC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4F02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herb insects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B7D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DB8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49E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C82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B10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406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31C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59D1A354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4FCB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zooplankton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411E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F88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4.12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2791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A06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84.9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124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B6E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150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5DC96CBA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BC09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oyster spat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7C0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4C2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105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DBED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DA6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7AC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86BB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0726B1B1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F137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seed oyster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E960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977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835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ABA1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0A5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970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B9B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21EA12CA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8679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sack oyster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D27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A2B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D46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DE7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741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96FB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C09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0.3</w:t>
            </w:r>
          </w:p>
        </w:tc>
      </w:tr>
      <w:tr w:rsidR="00D43F65" w:rsidRPr="00D43F65" w14:paraId="75881E78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F9B70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oyster drill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D92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63C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6C6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995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63F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C26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5C3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D43F65" w:rsidRPr="00D43F65" w14:paraId="5942DDCA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D609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mollusks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D53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40F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4.03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BF8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BE0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71CD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190D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CAB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0383BBFE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6107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benthic inverts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30C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C14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78F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649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D72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25B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FE4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23DC7816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BCC9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juncus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701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12F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B48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38E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763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11B2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9AD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793AD218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A421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spartina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726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F99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E33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6D1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5A29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96F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1A7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0C25DED9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C985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SAV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D540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EBB3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9.78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D57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9.01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535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A02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C6C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3BC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18F1250E" w14:textId="77777777" w:rsidTr="00D43F6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E73A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benthic microalgae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5EF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A4E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29.8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F934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3.91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B31B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E203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4058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02CB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3271AD3C" w14:textId="77777777" w:rsidTr="00285595">
        <w:trPr>
          <w:trHeight w:val="300"/>
        </w:trPr>
        <w:tc>
          <w:tcPr>
            <w:tcW w:w="20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4E1E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phytoplankton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DDE7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D90A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12.8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FA3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23C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1116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0.31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4EA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8E4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43F65" w:rsidRPr="00D43F65" w14:paraId="3C8E815F" w14:textId="77777777" w:rsidTr="00285595">
        <w:trPr>
          <w:trHeight w:val="300"/>
        </w:trPr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0FB668" w14:textId="77777777" w:rsidR="00D43F65" w:rsidRPr="00D43F65" w:rsidRDefault="00D43F65" w:rsidP="00D43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detritus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584EE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596D6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C82665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5E02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264FB4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C840F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2FADC" w14:textId="77777777" w:rsidR="00D43F65" w:rsidRPr="00D43F65" w:rsidRDefault="00D43F65" w:rsidP="004F39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F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4205DCDF" w14:textId="0E64F1F0" w:rsidR="0063781F" w:rsidRDefault="0063781F" w:rsidP="00D43F65"/>
    <w:p w14:paraId="51A23CD5" w14:textId="77777777" w:rsidR="0063781F" w:rsidRDefault="0063781F">
      <w:r>
        <w:br w:type="page"/>
      </w:r>
    </w:p>
    <w:p w14:paraId="585D4D22" w14:textId="23059F26" w:rsidR="00903151" w:rsidRDefault="00903151" w:rsidP="00D43F65"/>
    <w:p w14:paraId="29B74B80" w14:textId="7D2F548C" w:rsidR="00285595" w:rsidRDefault="00285595" w:rsidP="00D4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1  Map</w:t>
      </w:r>
    </w:p>
    <w:p w14:paraId="1BCB8116" w14:textId="6923F724" w:rsidR="00076EF6" w:rsidRDefault="00076EF6" w:rsidP="00D43F65">
      <w:pPr>
        <w:rPr>
          <w:rFonts w:ascii="Times New Roman" w:hAnsi="Times New Roman" w:cs="Times New Roman"/>
          <w:sz w:val="24"/>
          <w:szCs w:val="24"/>
        </w:rPr>
      </w:pPr>
    </w:p>
    <w:p w14:paraId="23CD0B3A" w14:textId="3F7E5791" w:rsidR="00076EF6" w:rsidRDefault="00B862FD" w:rsidP="00D4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? </w:t>
      </w:r>
      <w:r w:rsidR="00076EF6">
        <w:rPr>
          <w:rFonts w:ascii="Times New Roman" w:hAnsi="Times New Roman" w:cs="Times New Roman"/>
          <w:sz w:val="24"/>
          <w:szCs w:val="24"/>
        </w:rPr>
        <w:t>Should I include some sort of food web representation?</w:t>
      </w:r>
      <w:bookmarkStart w:id="2" w:name="_GoBack"/>
      <w:bookmarkEnd w:id="2"/>
    </w:p>
    <w:p w14:paraId="3561D99A" w14:textId="77777777" w:rsidR="00B862FD" w:rsidRPr="00285595" w:rsidRDefault="00B862FD" w:rsidP="00D43F65">
      <w:pPr>
        <w:rPr>
          <w:rFonts w:ascii="Times New Roman" w:hAnsi="Times New Roman" w:cs="Times New Roman"/>
          <w:sz w:val="24"/>
          <w:szCs w:val="24"/>
        </w:rPr>
      </w:pPr>
    </w:p>
    <w:p w14:paraId="08E37C96" w14:textId="7822A738" w:rsidR="0063781F" w:rsidRDefault="0063781F" w:rsidP="00D43F65">
      <w:r w:rsidRPr="0063781F">
        <w:rPr>
          <w:noProof/>
        </w:rPr>
        <w:drawing>
          <wp:inline distT="0" distB="0" distL="0" distR="0" wp14:anchorId="4990E656" wp14:editId="04602972">
            <wp:extent cx="5943600" cy="4622800"/>
            <wp:effectExtent l="0" t="0" r="0" b="6350"/>
            <wp:docPr id="1" name="Picture 1" descr="C:\Users\Kiva Oken\Dropbox\CWC-II\Figs\direct-mort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va Oken\Dropbox\CWC-II\Figs\direct-mortalit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0102" w14:textId="107B5443" w:rsidR="0063781F" w:rsidRPr="0063781F" w:rsidRDefault="00285595" w:rsidP="00D4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</w:t>
      </w:r>
      <w:r w:rsidR="0063781F">
        <w:rPr>
          <w:rFonts w:ascii="Times New Roman" w:hAnsi="Times New Roman" w:cs="Times New Roman"/>
          <w:sz w:val="24"/>
          <w:szCs w:val="24"/>
        </w:rPr>
        <w:t xml:space="preserve">  Proportion of total mortality directly induced by predators and fishing on juvenile and adult stanzas of five key fish and invertebrate functional groups.</w:t>
      </w:r>
    </w:p>
    <w:p w14:paraId="204E5696" w14:textId="665C36B9" w:rsidR="0063781F" w:rsidRDefault="0063781F" w:rsidP="00D43F65"/>
    <w:p w14:paraId="7AAC53BC" w14:textId="64B1E319" w:rsidR="00285595" w:rsidRDefault="006B512C" w:rsidP="00D43F65">
      <w:r>
        <w:lastRenderedPageBreak/>
        <w:pict w14:anchorId="67DA70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571.5pt">
            <v:imagedata r:id="rId7" o:title="indirect"/>
          </v:shape>
        </w:pict>
      </w:r>
    </w:p>
    <w:p w14:paraId="1762146B" w14:textId="498E0500" w:rsidR="006B512C" w:rsidRPr="006B512C" w:rsidRDefault="006B512C" w:rsidP="00D43F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3  </w:t>
      </w:r>
      <w:r w:rsidR="00076EF6">
        <w:rPr>
          <w:rFonts w:ascii="Times New Roman" w:hAnsi="Times New Roman" w:cs="Times New Roman"/>
          <w:sz w:val="24"/>
          <w:szCs w:val="24"/>
        </w:rPr>
        <w:t>Integrated i</w:t>
      </w:r>
      <w:r>
        <w:rPr>
          <w:rFonts w:ascii="Times New Roman" w:hAnsi="Times New Roman" w:cs="Times New Roman"/>
          <w:sz w:val="24"/>
          <w:szCs w:val="24"/>
        </w:rPr>
        <w:t xml:space="preserve">ndirect and direct response of fish and invertebrate biomass to changes in (a) predator productivity and (b) fishing effort. Bars </w:t>
      </w:r>
      <w:r w:rsidR="00076EF6">
        <w:rPr>
          <w:rFonts w:ascii="Times New Roman" w:hAnsi="Times New Roman" w:cs="Times New Roman"/>
          <w:sz w:val="24"/>
          <w:szCs w:val="24"/>
        </w:rPr>
        <w:t xml:space="preserve">are at median of the Monte Carlo simulations and error lines represent </w:t>
      </w:r>
      <w:r>
        <w:rPr>
          <w:rFonts w:ascii="Times New Roman" w:hAnsi="Times New Roman" w:cs="Times New Roman"/>
          <w:sz w:val="24"/>
          <w:szCs w:val="24"/>
        </w:rPr>
        <w:t>50</w:t>
      </w:r>
      <w:r w:rsidR="00076EF6"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sz w:val="24"/>
          <w:szCs w:val="24"/>
        </w:rPr>
        <w:t xml:space="preserve">simulation intervals. </w:t>
      </w:r>
    </w:p>
    <w:sectPr w:rsidR="006B512C" w:rsidRPr="006B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iva Oken" w:date="2018-11-04T17:23:00Z" w:initials="KO">
    <w:p w14:paraId="212B86DD" w14:textId="77777777" w:rsidR="00D43F65" w:rsidRDefault="00D43F65">
      <w:pPr>
        <w:pStyle w:val="CommentText"/>
      </w:pPr>
      <w:r>
        <w:rPr>
          <w:rStyle w:val="CommentReference"/>
        </w:rPr>
        <w:annotationRef/>
      </w:r>
      <w:r>
        <w:t>Need to add references</w:t>
      </w:r>
      <w:r w:rsidR="00862B5B">
        <w:t xml:space="preserve">. Right now this table is generated in R so automated and easy to replace when/if model changes. Harder to do with references so putting that off for now. </w:t>
      </w:r>
    </w:p>
  </w:comment>
  <w:comment w:id="1" w:author="Kiva Oken" w:date="2018-11-04T17:27:00Z" w:initials="KO">
    <w:p w14:paraId="1DE185FB" w14:textId="77777777" w:rsidR="00D43F65" w:rsidRDefault="00D43F65">
      <w:pPr>
        <w:pStyle w:val="CommentText"/>
      </w:pPr>
      <w:r>
        <w:rPr>
          <w:rStyle w:val="CommentReference"/>
        </w:rPr>
        <w:annotationRef/>
      </w:r>
      <w:r>
        <w:t>These could u</w:t>
      </w:r>
      <w:r w:rsidR="00862B5B">
        <w:t>se neatening for humans vs code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2B86DD" w15:done="0"/>
  <w15:commentEx w15:paraId="1DE185F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iva Oken">
    <w15:presenceInfo w15:providerId="None" w15:userId="Kiva Ok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F0"/>
    <w:rsid w:val="00076EF6"/>
    <w:rsid w:val="00091EA1"/>
    <w:rsid w:val="00285595"/>
    <w:rsid w:val="004F3931"/>
    <w:rsid w:val="0063781F"/>
    <w:rsid w:val="006B512C"/>
    <w:rsid w:val="00862B5B"/>
    <w:rsid w:val="008B5BF0"/>
    <w:rsid w:val="00903151"/>
    <w:rsid w:val="00A8273E"/>
    <w:rsid w:val="00B862FD"/>
    <w:rsid w:val="00C14289"/>
    <w:rsid w:val="00D4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21C4"/>
  <w15:chartTrackingRefBased/>
  <w15:docId w15:val="{45D1256F-E372-446D-8411-D5B19351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3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F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F6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37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3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723</Words>
  <Characters>4000</Characters>
  <Application>Microsoft Office Word</Application>
  <DocSecurity>0</DocSecurity>
  <Lines>60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Kiva Oken</dc:creator>
  <cp:keywords/>
  <dc:description/>
  <cp:lastModifiedBy>Kiva Oken</cp:lastModifiedBy>
  <cp:revision>10</cp:revision>
  <dcterms:created xsi:type="dcterms:W3CDTF">2018-11-05T00:55:00Z</dcterms:created>
  <dcterms:modified xsi:type="dcterms:W3CDTF">2018-11-06T03:58:00Z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zotero-version="5.0.57"&gt;&lt;session id="T3L5Fsxn"/&gt;&lt;style id="http://www.zotero.org/styles/ecology" hasBibliography="1" bibliographyStyleHasBeenSet="0"/&gt;&lt;prefs&gt;&lt;pref name="fieldType" value="Field"/&gt;&lt;/prefs&gt;&lt;/data&gt;</vt:lpwstr>
  </property>
</Properties>
</file>