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he-hedger-roadmap-to-success"/>
    <w:p>
      <w:pPr>
        <w:pStyle w:val="1"/>
      </w:pPr>
      <w:r>
        <w:t xml:space="preserve">The Hedger — Roadmap to Success</w:t>
      </w:r>
    </w:p>
    <w:bookmarkStart w:id="20" w:name="where-we-are"/>
    <w:p>
      <w:pPr>
        <w:pStyle w:val="2"/>
      </w:pPr>
      <w:r>
        <w:t xml:space="preserve">Where We Are</w:t>
      </w:r>
    </w:p>
    <w:p>
      <w:pPr>
        <w:pStyle w:val="FirstParagraph"/>
      </w:pPr>
      <w:r>
        <w:t xml:space="preserve">The Hedger started with a simple observation: African farmers face the same price volatility as farmers everywhere, but they have none of the tools to manage it. After analyzing 24 months of Nigerian maize prices against CBOT corn futures, we found something that changes the equation — a stable basis of just 5.6% volatility. That stability means partial hedging is not just theoretically possible; it is practically viable for smallholders for the first time.</w:t>
      </w:r>
    </w:p>
    <w:p>
      <w:pPr>
        <w:pStyle w:val="a0"/>
      </w:pPr>
      <w:r>
        <w:t xml:space="preserve">Today, The Hedger is a working MVP. The scenario engine runs. The white paper is published. The code is open-source under MIT License. We are ready to move from research to reality.</w:t>
      </w:r>
    </w:p>
    <w:bookmarkEnd w:id="20"/>
    <w:bookmarkStart w:id="25" w:name="the-road-ahead"/>
    <w:p>
      <w:pPr>
        <w:pStyle w:val="2"/>
      </w:pPr>
      <w:r>
        <w:t xml:space="preserve">The Road Ahead</w:t>
      </w:r>
    </w:p>
    <w:bookmarkStart w:id="21" w:name="phase-1-mvp-validation-complete"/>
    <w:p>
      <w:pPr>
        <w:pStyle w:val="3"/>
      </w:pPr>
      <w:r>
        <w:t xml:space="preserve">Phase 1: MVP &amp; Validation — COMPLETE</w:t>
      </w:r>
    </w:p>
    <w:p>
      <w:pPr>
        <w:pStyle w:val="FirstParagraph"/>
      </w:pPr>
      <w:r>
        <w:rPr>
          <w:b/>
          <w:bCs/>
        </w:rPr>
        <w:t xml:space="preserve">Deliverable</w:t>
      </w:r>
      <w:r>
        <w:t xml:space="preserve">: Working hedge model + white paper</w:t>
      </w:r>
      <w:r>
        <w:t xml:space="preserve"> </w:t>
      </w:r>
      <w:r>
        <w:rPr>
          <w:b/>
          <w:bCs/>
        </w:rPr>
        <w:t xml:space="preserve">Status</w:t>
      </w:r>
      <w:r>
        <w:t xml:space="preserve">: ✅ Done. Built with Python, FastAPI, Streamlit, and PostgreSQL. Deployed on Render. Open to the world.</w:t>
      </w:r>
    </w:p>
    <w:bookmarkEnd w:id="21"/>
    <w:bookmarkStart w:id="22" w:name="phase-2-pilot-program-in-progress"/>
    <w:p>
      <w:pPr>
        <w:pStyle w:val="3"/>
      </w:pPr>
      <w:r>
        <w:t xml:space="preserve">Phase 2: Pilot Program — IN PROGRESS</w:t>
      </w:r>
    </w:p>
    <w:p>
      <w:pPr>
        <w:pStyle w:val="FirstParagraph"/>
      </w:pPr>
      <w:r>
        <w:rPr>
          <w:b/>
          <w:bCs/>
        </w:rPr>
        <w:t xml:space="preserve">Target</w:t>
      </w:r>
      <w:r>
        <w:t xml:space="preserve">: 1–3 Nigerian farms or cooperatives</w:t>
      </w:r>
      <w:r>
        <w:t xml:space="preserve"> </w:t>
      </w:r>
      <w:r>
        <w:rPr>
          <w:b/>
          <w:bCs/>
        </w:rPr>
        <w:t xml:space="preserve">Goal</w:t>
      </w:r>
      <w:r>
        <w:t xml:space="preserve">: Test The Hedger with real users who have never heard of a futures contract. Learn what works, what confuses, what saves money.</w:t>
      </w:r>
      <w:r>
        <w:t xml:space="preserve"> </w:t>
      </w:r>
      <w:r>
        <w:rPr>
          <w:b/>
          <w:bCs/>
        </w:rPr>
        <w:t xml:space="preserve">Success looks like</w:t>
      </w:r>
      <w:r>
        <w:t xml:space="preserve">: A cooperative manager in Ogun State opening the tool, understanding the recommendation, and making a decision that protects 30% of their members’ harvest from a price drop.</w:t>
      </w:r>
    </w:p>
    <w:bookmarkEnd w:id="22"/>
    <w:bookmarkStart w:id="23" w:name="phase-3-product-refinement-monetization"/>
    <w:p>
      <w:pPr>
        <w:pStyle w:val="3"/>
      </w:pPr>
      <w:r>
        <w:t xml:space="preserve">Phase 3: Product Refinement &amp; Monetization</w:t>
      </w:r>
    </w:p>
    <w:p>
      <w:pPr>
        <w:pStyle w:val="FirstParagraph"/>
      </w:pPr>
      <w:r>
        <w:rPr>
          <w:b/>
          <w:bCs/>
        </w:rPr>
        <w:t xml:space="preserve">Target</w:t>
      </w:r>
      <w:r>
        <w:t xml:space="preserve">: Multi-crop support, cooperative dashboards, sustainable revenue</w:t>
      </w:r>
      <w:r>
        <w:t xml:space="preserve"> </w:t>
      </w:r>
      <w:r>
        <w:rPr>
          <w:b/>
          <w:bCs/>
        </w:rPr>
        <w:t xml:space="preserve">Goal</w:t>
      </w:r>
      <w:r>
        <w:t xml:space="preserve">: Add rice, soybeans, sorghum. Build aggregate risk views for cooperatives. Find a model that keeps the tool free for smallholders while generating revenue from agribusinesses and NGOs.</w:t>
      </w:r>
      <w:r>
        <w:t xml:space="preserve"> </w:t>
      </w:r>
      <w:r>
        <w:rPr>
          <w:b/>
          <w:bCs/>
        </w:rPr>
        <w:t xml:space="preserve">Success looks like</w:t>
      </w:r>
      <w:r>
        <w:t xml:space="preserve">: A poultry feed processor using The Hedger to manage input costs, subsidizing free access for 500 smallholder farmers.</w:t>
      </w:r>
    </w:p>
    <w:bookmarkEnd w:id="23"/>
    <w:bookmarkStart w:id="24" w:name="phase-4-scale-ecosystem"/>
    <w:p>
      <w:pPr>
        <w:pStyle w:val="3"/>
      </w:pPr>
      <w:r>
        <w:t xml:space="preserve">Phase 4: Scale &amp; Ecosystem</w:t>
      </w:r>
    </w:p>
    <w:p>
      <w:pPr>
        <w:pStyle w:val="FirstParagraph"/>
      </w:pPr>
      <w:r>
        <w:rPr>
          <w:b/>
          <w:bCs/>
        </w:rPr>
        <w:t xml:space="preserve">Target</w:t>
      </w:r>
      <w:r>
        <w:t xml:space="preserve">: 100+ users, multi-country expansion, policy influence</w:t>
      </w:r>
      <w:r>
        <w:t xml:space="preserve"> </w:t>
      </w:r>
      <w:r>
        <w:rPr>
          <w:b/>
          <w:bCs/>
        </w:rPr>
        <w:t xml:space="preserve">Goal</w:t>
      </w:r>
      <w:r>
        <w:t xml:space="preserve">: Expand to Ghana, Kenya, Tanzania. Integrate with mobile money. Advocate for Nigerian commodity exchange infrastructure. Publish academic findings.</w:t>
      </w:r>
      <w:r>
        <w:t xml:space="preserve"> </w:t>
      </w:r>
      <w:r>
        <w:rPr>
          <w:b/>
          <w:bCs/>
        </w:rPr>
        <w:t xml:space="preserve">Success looks like</w:t>
      </w:r>
      <w:r>
        <w:t xml:space="preserve">: An agricultural extension officer in Kaduna training farmers to use The Hedger as standard practice, and a policy paper citing our basis stability research as evidence for exchange development.</w:t>
      </w:r>
    </w:p>
    <w:bookmarkEnd w:id="24"/>
    <w:bookmarkEnd w:id="25"/>
    <w:bookmarkStart w:id="26" w:name="what-success-means"/>
    <w:p>
      <w:pPr>
        <w:pStyle w:val="2"/>
      </w:pPr>
      <w:r>
        <w:t xml:space="preserve">What Success Means</w:t>
      </w:r>
    </w:p>
    <w:p>
      <w:pPr>
        <w:pStyle w:val="FirstParagraph"/>
      </w:pPr>
      <w:r>
        <w:t xml:space="preserve">Success is not a valuation or a funding round. Success is a farmer in Ogbomoso who sleeps better because she knows the price floor for her maize. It is a cooperative that negotiates with confidence because they understand their risk. It is an African agricultural sector where price volatility is managed, not endured.</w:t>
      </w:r>
    </w:p>
    <w:p>
      <w:pPr>
        <w:pStyle w:val="a0"/>
      </w:pPr>
      <w:r>
        <w:t xml:space="preserve">The tools exist. The data is public. The correlation is real. The only missing piece is execution — and that is what this roadmap is for.</w:t>
      </w:r>
    </w:p>
    <w:p>
      <w:r>
        <w:pict>
          <v:rect style="width:0;height:1.5pt" o:hralign="center" o:hrstd="t" o:hr="t"/>
        </w:pict>
      </w:r>
    </w:p>
    <w:p>
      <w:pPr>
        <w:pStyle w:val="FirstParagraph"/>
      </w:pPr>
      <w:r>
        <w:rPr>
          <w:i/>
          <w:iCs/>
        </w:rPr>
        <w:t xml:space="preserve">Built by Okaro Okechukwu | github.com/okeson99/The-Hedger</w:t>
      </w:r>
    </w:p>
    <w:bookmarkEnd w:id="26"/>
    <w:bookmarkEnd w:id="2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2026-05-03T04:02:43Z</dcterms:created>
  <dcterms:modified xsi:type="dcterms:W3CDTF">2026-05-03T04:02:43Z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v99118bjvu6vpbmjig-19debc9d-ed12-8c7d-8000-096149207d9a-20260503040243","ReservedCode1":"","ContentPropagator":"001191110108MACG2KBH8F20000","PropagateID":"d2v99118bjvu6vpbmjig-19debc9d-ed12-8c7d-8000-096149207d9a-20260503040243","ReservedCode2":""}</vt:lpwstr>
  </property>
</Properties>
</file>