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arket-research-intelligence-report"/>
    <w:p>
      <w:pPr>
        <w:pStyle w:val="Heading1"/>
      </w:pPr>
      <w:r>
        <w:t xml:space="preserve">Market Research Intelligence Report</w:t>
      </w:r>
    </w:p>
    <w:bookmarkStart w:id="9" w:name="research-methodology"/>
    <w:p>
      <w:pPr>
        <w:pStyle w:val="Heading2"/>
      </w:pPr>
      <w:r>
        <w:t xml:space="preserve">Research Methodology</w:t>
      </w:r>
    </w:p>
    <w:p>
      <w:pPr>
        <w:pStyle w:val="FirstParagraph"/>
      </w:pPr>
      <w:r>
        <w:t xml:space="preserve">This comprehensive market research was conducted using multiple data sources including industry surveys, customer interviews, and competitive analysis.</w:t>
      </w:r>
    </w:p>
    <w:bookmarkEnd w:id="9"/>
    <w:bookmarkStart w:id="12" w:name="industry-trends-analysis"/>
    <w:p>
      <w:pPr>
        <w:pStyle w:val="Heading2"/>
      </w:pPr>
      <w:r>
        <w:t xml:space="preserve">Industry Trends Analysis</w:t>
      </w:r>
    </w:p>
    <w:bookmarkStart w:id="10" w:name="technology-adoption-patterns"/>
    <w:p>
      <w:pPr>
        <w:pStyle w:val="Heading3"/>
      </w:pPr>
      <w:r>
        <w:t xml:space="preserve">Technology Adoption Patterns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Cloud Migration</w:t>
      </w:r>
      <w:r>
        <w:t xml:space="preserve">: 78% of enterprises planning cloud migration by 2025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Integration</w:t>
      </w:r>
      <w:r>
        <w:t xml:space="preserve">: 45% increase in AI tool adoption across industries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Remote Work Tools</w:t>
      </w:r>
      <w:r>
        <w:t xml:space="preserve">: Sustained demand post-pandemic with 60% hybrid workforce</w:t>
      </w:r>
    </w:p>
    <w:bookmarkEnd w:id="10"/>
    <w:bookmarkStart w:id="11" w:name="customer-behavior-insights"/>
    <w:p>
      <w:pPr>
        <w:pStyle w:val="Heading3"/>
      </w:pPr>
      <w:r>
        <w:t xml:space="preserve">Customer Behavior Insights</w:t>
      </w:r>
    </w:p>
    <w:p>
      <w:pPr>
        <w:pStyle w:val="Compact"/>
        <w:numPr>
          <w:ilvl w:val="0"/>
          <w:numId w:val="1002"/>
        </w:numPr>
      </w:pPr>
      <w:r>
        <w:t xml:space="preserve">Decision-making cycles averaging 6-9 months for enterprise software</w:t>
      </w:r>
    </w:p>
    <w:p>
      <w:pPr>
        <w:pStyle w:val="Compact"/>
        <w:numPr>
          <w:ilvl w:val="0"/>
          <w:numId w:val="1002"/>
        </w:numPr>
      </w:pPr>
      <w:r>
        <w:t xml:space="preserve">Security concerns rank as top priority (85% of respondents)</w:t>
      </w:r>
    </w:p>
    <w:p>
      <w:pPr>
        <w:pStyle w:val="Compact"/>
        <w:numPr>
          <w:ilvl w:val="0"/>
          <w:numId w:val="1002"/>
        </w:numPr>
      </w:pPr>
      <w:r>
        <w:t xml:space="preserve">Cost optimization driving 40% of technology decisions</w:t>
      </w:r>
    </w:p>
    <w:bookmarkEnd w:id="11"/>
    <w:bookmarkEnd w:id="12"/>
    <w:bookmarkStart w:id="14" w:name="competitive-pricing-analysis"/>
    <w:p>
      <w:pPr>
        <w:pStyle w:val="Heading2"/>
      </w:pPr>
      <w:r>
        <w:t xml:space="preserve">Competitive Pricing Analysis</w:t>
      </w:r>
    </w:p>
    <w:bookmarkStart w:id="13" w:name="market-segments"/>
    <w:p>
      <w:pPr>
        <w:pStyle w:val="Heading3"/>
      </w:pPr>
      <w:r>
        <w:t xml:space="preserve">Market Segments</w:t>
      </w:r>
    </w:p>
    <w:p>
      <w:pPr>
        <w:pStyle w:val="FirstParagraph"/>
      </w:pPr>
      <w:r>
        <w:rPr>
          <w:b/>
          <w:bCs/>
        </w:rPr>
        <w:t xml:space="preserve">Enterprise Tier ($50K+ annually)</w:t>
      </w:r>
      <w:r>
        <w:t xml:space="preserve">:</w:t>
      </w:r>
      <w:r>
        <w:t xml:space="preserve"> </w:t>
      </w:r>
      <w:r>
        <w:t xml:space="preserve">- Company Alpha: $75,000 base price</w:t>
      </w:r>
      <w:r>
        <w:t xml:space="preserve"> </w:t>
      </w:r>
      <w:r>
        <w:t xml:space="preserve">- Gamma Technologies: $65,000 base price</w:t>
      </w:r>
      <w:r>
        <w:t xml:space="preserve"> </w:t>
      </w:r>
      <w:r>
        <w:t xml:space="preserve">- Our Position: $70,000 (competitive middle ground)</w:t>
      </w:r>
    </w:p>
    <w:p>
      <w:pPr>
        <w:pStyle w:val="BodyText"/>
      </w:pPr>
      <w:r>
        <w:rPr>
          <w:b/>
          <w:bCs/>
        </w:rPr>
        <w:t xml:space="preserve">Mid-Market ($10K-$50K annually)</w:t>
      </w:r>
      <w:r>
        <w:t xml:space="preserve">:</w:t>
      </w:r>
      <w:r>
        <w:t xml:space="preserve"> </w:t>
      </w:r>
      <w:r>
        <w:t xml:space="preserve">- Beta Corp: $25,000 aggressive pricing</w:t>
      </w:r>
      <w:r>
        <w:t xml:space="preserve"> </w:t>
      </w:r>
      <w:r>
        <w:t xml:space="preserve">- Various competitors: $30,000-$40,000 range</w:t>
      </w:r>
      <w:r>
        <w:t xml:space="preserve"> </w:t>
      </w:r>
      <w:r>
        <w:t xml:space="preserve">- Growth opportunity identified</w:t>
      </w:r>
    </w:p>
    <w:p>
      <w:pPr>
        <w:pStyle w:val="BodyText"/>
      </w:pPr>
      <w:r>
        <w:rPr>
          <w:b/>
          <w:bCs/>
        </w:rPr>
        <w:t xml:space="preserve">SMB Market ($1K-$10K annually)</w:t>
      </w:r>
      <w:r>
        <w:t xml:space="preserve">:</w:t>
      </w:r>
      <w:r>
        <w:t xml:space="preserve"> </w:t>
      </w:r>
      <w:r>
        <w:t xml:space="preserve">- Underserved segment with high growth potential</w:t>
      </w:r>
      <w:r>
        <w:t xml:space="preserve"> </w:t>
      </w:r>
      <w:r>
        <w:t xml:space="preserve">- Limited competitive offerings</w:t>
      </w:r>
      <w:r>
        <w:t xml:space="preserve"> </w:t>
      </w:r>
      <w:r>
        <w:t xml:space="preserve">- Opportunity for market entry</w:t>
      </w:r>
    </w:p>
    <w:bookmarkEnd w:id="13"/>
    <w:bookmarkEnd w:id="14"/>
    <w:bookmarkStart w:id="17" w:name="customer-satisfaction-metrics"/>
    <w:p>
      <w:pPr>
        <w:pStyle w:val="Heading2"/>
      </w:pPr>
      <w:r>
        <w:t xml:space="preserve">Customer Satisfaction Metrics</w:t>
      </w:r>
    </w:p>
    <w:bookmarkStart w:id="15" w:name="industry-benchmarks"/>
    <w:p>
      <w:pPr>
        <w:pStyle w:val="Heading3"/>
      </w:pPr>
      <w:r>
        <w:t xml:space="preserve">Industry Benchmarks</w:t>
      </w:r>
    </w:p>
    <w:p>
      <w:pPr>
        <w:pStyle w:val="Compact"/>
        <w:numPr>
          <w:ilvl w:val="0"/>
          <w:numId w:val="1003"/>
        </w:numPr>
      </w:pPr>
      <w:r>
        <w:t xml:space="preserve">Average NPS Score: 42</w:t>
      </w:r>
    </w:p>
    <w:p>
      <w:pPr>
        <w:pStyle w:val="Compact"/>
        <w:numPr>
          <w:ilvl w:val="0"/>
          <w:numId w:val="1003"/>
        </w:numPr>
      </w:pPr>
      <w:r>
        <w:t xml:space="preserve">Customer Churn Rate: 15% annually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Support Response Time: 4.2 hours average</w:t>
      </w:r>
    </w:p>
    <w:bookmarkEnd w:id="15"/>
    <w:bookmarkStart w:id="16" w:name="competitive-performance"/>
    <w:p>
      <w:pPr>
        <w:pStyle w:val="Heading3"/>
      </w:pPr>
      <w:r>
        <w:t xml:space="preserve">Competitive Performance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Company Alpha</w:t>
      </w:r>
      <w:r>
        <w:t xml:space="preserve">: NPS 58, Churn 8%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Beta Corp</w:t>
      </w:r>
      <w:r>
        <w:t xml:space="preserve">: NPS 35, Churn 22%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Gamma Technologies</w:t>
      </w:r>
      <w:r>
        <w:t xml:space="preserve">: NPS 48, Churn 12%</w:t>
      </w:r>
    </w:p>
    <w:bookmarkEnd w:id="16"/>
    <w:bookmarkEnd w:id="17"/>
    <w:bookmarkStart w:id="18" w:name="market-size-and-growth-projections"/>
    <w:p>
      <w:pPr>
        <w:pStyle w:val="Heading2"/>
      </w:pPr>
      <w:r>
        <w:t xml:space="preserve">Market Size and Growth Projections</w:t>
      </w:r>
    </w:p>
    <w:p>
      <w:pPr>
        <w:pStyle w:val="FirstParagraph"/>
      </w:pPr>
      <w:r>
        <w:rPr>
          <w:b/>
          <w:bCs/>
        </w:rPr>
        <w:t xml:space="preserve">Current Market Value</w:t>
      </w:r>
      <w:r>
        <w:t xml:space="preserve">: $2.8 billion globally</w:t>
      </w:r>
      <w:r>
        <w:t xml:space="preserve"> </w:t>
      </w:r>
      <w:r>
        <w:rPr>
          <w:b/>
          <w:bCs/>
        </w:rPr>
        <w:t xml:space="preserve">Projected Growth</w:t>
      </w:r>
      <w:r>
        <w:t xml:space="preserve">: 15% CAGR through 2027</w:t>
      </w:r>
      <w:r>
        <w:t xml:space="preserve"> </w:t>
      </w:r>
      <w:r>
        <w:rPr>
          <w:b/>
          <w:bCs/>
        </w:rPr>
        <w:t xml:space="preserve">Key Growth Drivers</w:t>
      </w:r>
      <w:r>
        <w:t xml:space="preserve">:</w:t>
      </w:r>
      <w:r>
        <w:t xml:space="preserve"> </w:t>
      </w:r>
      <w:r>
        <w:t xml:space="preserve">- Digital transformation initiatives</w:t>
      </w:r>
      <w:r>
        <w:t xml:space="preserve"> </w:t>
      </w:r>
      <w:r>
        <w:t xml:space="preserve">- Regulatory compliance requirements</w:t>
      </w:r>
      <w:r>
        <w:t xml:space="preserve"> </w:t>
      </w:r>
      <w:r>
        <w:t xml:space="preserve">- Cybersecurity concerns</w:t>
      </w:r>
    </w:p>
    <w:bookmarkEnd w:id="18"/>
    <w:bookmarkStart w:id="22" w:name="regional-analysis"/>
    <w:p>
      <w:pPr>
        <w:pStyle w:val="Heading2"/>
      </w:pPr>
      <w:r>
        <w:t xml:space="preserve">Regional Analysis</w:t>
      </w:r>
    </w:p>
    <w:bookmarkStart w:id="19" w:name="north-america"/>
    <w:p>
      <w:pPr>
        <w:pStyle w:val="Heading3"/>
      </w:pPr>
      <w:r>
        <w:t xml:space="preserve">North America</w:t>
      </w:r>
    </w:p>
    <w:p>
      <w:pPr>
        <w:pStyle w:val="Compact"/>
        <w:numPr>
          <w:ilvl w:val="0"/>
          <w:numId w:val="1005"/>
        </w:numPr>
      </w:pPr>
      <w:r>
        <w:t xml:space="preserve">Mature market with 45% global share</w:t>
      </w:r>
    </w:p>
    <w:p>
      <w:pPr>
        <w:pStyle w:val="Compact"/>
        <w:numPr>
          <w:ilvl w:val="0"/>
          <w:numId w:val="1005"/>
        </w:numPr>
      </w:pPr>
      <w:r>
        <w:t xml:space="preserve">High competition, premium pricing</w:t>
      </w:r>
    </w:p>
    <w:p>
      <w:pPr>
        <w:pStyle w:val="Compact"/>
        <w:numPr>
          <w:ilvl w:val="0"/>
          <w:numId w:val="1005"/>
        </w:numPr>
      </w:pPr>
      <w:r>
        <w:t xml:space="preserve">Regulatory stability advantage</w:t>
      </w:r>
    </w:p>
    <w:bookmarkEnd w:id="19"/>
    <w:bookmarkStart w:id="20" w:name="europe"/>
    <w:p>
      <w:pPr>
        <w:pStyle w:val="Heading3"/>
      </w:pPr>
      <w:r>
        <w:t xml:space="preserve">Europe</w:t>
      </w:r>
    </w:p>
    <w:p>
      <w:pPr>
        <w:pStyle w:val="Compact"/>
        <w:numPr>
          <w:ilvl w:val="0"/>
          <w:numId w:val="1006"/>
        </w:numPr>
      </w:pPr>
      <w:r>
        <w:t xml:space="preserve">Growing market (25% global share)</w:t>
      </w:r>
    </w:p>
    <w:p>
      <w:pPr>
        <w:pStyle w:val="Compact"/>
        <w:numPr>
          <w:ilvl w:val="0"/>
          <w:numId w:val="1006"/>
        </w:numPr>
      </w:pPr>
      <w:r>
        <w:t xml:space="preserve">GDPR compliance critical</w:t>
      </w:r>
    </w:p>
    <w:p>
      <w:pPr>
        <w:pStyle w:val="Compact"/>
        <w:numPr>
          <w:ilvl w:val="0"/>
          <w:numId w:val="1006"/>
        </w:numPr>
      </w:pPr>
      <w:r>
        <w:t xml:space="preserve">Localization requirements</w:t>
      </w:r>
    </w:p>
    <w:bookmarkEnd w:id="20"/>
    <w:bookmarkStart w:id="21" w:name="asia-pacific"/>
    <w:p>
      <w:pPr>
        <w:pStyle w:val="Heading3"/>
      </w:pPr>
      <w:r>
        <w:t xml:space="preserve">Asia-Pacific</w:t>
      </w:r>
    </w:p>
    <w:p>
      <w:pPr>
        <w:pStyle w:val="Compact"/>
        <w:numPr>
          <w:ilvl w:val="0"/>
          <w:numId w:val="1007"/>
        </w:numPr>
      </w:pPr>
      <w:r>
        <w:t xml:space="preserve">Fastest growing region (30% CAGR)</w:t>
      </w:r>
    </w:p>
    <w:p>
      <w:pPr>
        <w:pStyle w:val="Compact"/>
        <w:numPr>
          <w:ilvl w:val="0"/>
          <w:numId w:val="1007"/>
        </w:numPr>
      </w:pPr>
      <w:r>
        <w:t xml:space="preserve">Price-sensitive market</w:t>
      </w:r>
    </w:p>
    <w:p>
      <w:pPr>
        <w:pStyle w:val="Compact"/>
        <w:numPr>
          <w:ilvl w:val="0"/>
          <w:numId w:val="1007"/>
        </w:numPr>
      </w:pPr>
      <w:r>
        <w:t xml:space="preserve">Local partnership essential</w:t>
      </w:r>
    </w:p>
    <w:bookmarkEnd w:id="21"/>
    <w:bookmarkEnd w:id="22"/>
    <w:bookmarkStart w:id="23" w:name="intelligence-sources"/>
    <w:p>
      <w:pPr>
        <w:pStyle w:val="Heading2"/>
      </w:pPr>
      <w:r>
        <w:t xml:space="preserve">Intelligence Sources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Primary Research</w:t>
      </w:r>
      <w:r>
        <w:t xml:space="preserve">: 500+ customer interviews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Industry Reports</w:t>
      </w:r>
      <w:r>
        <w:t xml:space="preserve">: Gartner, Forrester, IDC analysis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Competitive Monitoring</w:t>
      </w:r>
      <w:r>
        <w:t xml:space="preserve">: Public filings, press releases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Market Surveys</w:t>
      </w:r>
      <w:r>
        <w:t xml:space="preserve">: Third-party research firms</w:t>
      </w:r>
    </w:p>
    <w:bookmarkEnd w:id="23"/>
    <w:bookmarkStart w:id="24" w:name="strategic-intelligence-recommendations"/>
    <w:p>
      <w:pPr>
        <w:pStyle w:val="Heading2"/>
      </w:pPr>
      <w:r>
        <w:t xml:space="preserve">Strategic Intelligence Recommendations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Market Entry Strategy</w:t>
      </w:r>
      <w:r>
        <w:t xml:space="preserve">: Focus on underserved mid-market segment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Pricing Optimization</w:t>
      </w:r>
      <w:r>
        <w:t xml:space="preserve">: Implement tiered pricing model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Geographic Expansion</w:t>
      </w:r>
      <w:r>
        <w:t xml:space="preserve">: Prioritize Asia-Pacific growth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Product Development</w:t>
      </w:r>
      <w:r>
        <w:t xml:space="preserve">: Invest in AI/ML capabilities to match Beta Corp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Customer Experience</w:t>
      </w:r>
      <w:r>
        <w:t xml:space="preserve">: Improve NPS to match Company Alpha levels</w:t>
      </w:r>
    </w:p>
    <w:bookmarkEnd w:id="24"/>
    <w:bookmarkStart w:id="25" w:name="risk-factors"/>
    <w:p>
      <w:pPr>
        <w:pStyle w:val="Heading2"/>
      </w:pPr>
      <w:r>
        <w:t xml:space="preserve">Risk Factors</w:t>
      </w:r>
    </w:p>
    <w:p>
      <w:pPr>
        <w:pStyle w:val="FirstParagraph"/>
      </w:pPr>
      <w:r>
        <w:rPr>
          <w:b/>
          <w:bCs/>
        </w:rPr>
        <w:t xml:space="preserve">Market Risks</w:t>
      </w:r>
      <w:r>
        <w:t xml:space="preserve">:</w:t>
      </w:r>
      <w:r>
        <w:t xml:space="preserve"> </w:t>
      </w:r>
      <w:r>
        <w:t xml:space="preserve">- Economic downturn affecting enterprise spending</w:t>
      </w:r>
      <w:r>
        <w:t xml:space="preserve"> </w:t>
      </w:r>
      <w:r>
        <w:t xml:space="preserve">- New regulatory requirements increasing compliance costs</w:t>
      </w:r>
      <w:r>
        <w:t xml:space="preserve"> </w:t>
      </w:r>
      <w:r>
        <w:t xml:space="preserve">- Technological disruption from AI/automation</w:t>
      </w:r>
    </w:p>
    <w:p>
      <w:pPr>
        <w:pStyle w:val="BodyText"/>
      </w:pPr>
      <w:r>
        <w:rPr>
          <w:b/>
          <w:bCs/>
        </w:rPr>
        <w:t xml:space="preserve">Competitive Risks</w:t>
      </w:r>
      <w:r>
        <w:t xml:space="preserve">:</w:t>
      </w:r>
      <w:r>
        <w:t xml:space="preserve"> </w:t>
      </w:r>
      <w:r>
        <w:t xml:space="preserve">- Beta Corp’s aggressive pricing strategy</w:t>
      </w:r>
      <w:r>
        <w:t xml:space="preserve"> </w:t>
      </w:r>
      <w:r>
        <w:t xml:space="preserve">- Company Alpha’s brand dominance</w:t>
      </w:r>
      <w:r>
        <w:t xml:space="preserve"> </w:t>
      </w:r>
      <w:r>
        <w:t xml:space="preserve">- New market entrants with innovative solutions</w:t>
      </w:r>
    </w:p>
    <w:bookmarkEnd w:id="25"/>
    <w:bookmarkStart w:id="2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Market research indicates significant growth opportunities, particularly in mid-market and Asia-Pacific regions. Strategic focus on competitive differentiation and customer experience will be critical for market share expansion.</w:t>
      </w:r>
    </w:p>
    <w:p>
      <w:pPr>
        <w:pStyle w:val="BodyText"/>
      </w:pPr>
      <w:r>
        <w:rPr>
          <w:b/>
          <w:bCs/>
        </w:rPr>
        <w:t xml:space="preserve">Research Period</w:t>
      </w:r>
      <w:r>
        <w:t xml:space="preserve">: October-December 2024</w:t>
      </w:r>
      <w:r>
        <w:br/>
      </w:r>
      <w:r>
        <w:rPr>
          <w:b/>
          <w:bCs/>
        </w:rPr>
        <w:t xml:space="preserve">Data Sources</w:t>
      </w:r>
      <w:r>
        <w:t xml:space="preserve">: 15+ industry reports, 500+ interviews</w:t>
      </w:r>
      <w:r>
        <w:br/>
      </w:r>
      <w:r>
        <w:rPr>
          <w:b/>
          <w:bCs/>
        </w:rPr>
        <w:t xml:space="preserve">Confidence Level</w:t>
      </w:r>
      <w:r>
        <w:t xml:space="preserve">: High (95% statistical confidence)</w:t>
      </w:r>
      <w:r>
        <w:br/>
      </w:r>
      <w:r>
        <w:rPr>
          <w:b/>
          <w:bCs/>
        </w:rPr>
        <w:t xml:space="preserve">Next Update</w:t>
      </w:r>
      <w:r>
        <w:t xml:space="preserve">: Q2 2025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2025-06-19T20:37:23Z</dcterms:created>
  <dcterms:modified xsi:type="dcterms:W3CDTF">2025-06-19T20:37:23Z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