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400"/>
      </w:tblPr>
      <w:tblGrid>
        <w:gridCol w:w="820"/>
        <w:gridCol w:w="11420"/>
        <w:tblGridChange w:id="0">
          <w:tblGrid>
            <w:gridCol w:w="820"/>
            <w:gridCol w:w="11420"/>
          </w:tblGrid>
        </w:tblGridChange>
      </w:tblGrid>
      <w:tr>
        <w:trPr>
          <w:cantSplit w:val="0"/>
          <w:trHeight w:val="1580" w:hRule="atLeast"/>
          <w:tblHeader w:val="0"/>
        </w:trPr>
        <w:tc>
          <w:tcPr>
            <w:shd w:fill="7030a0" w:val="clear"/>
            <w:tcMar>
              <w:top w:w="600.0" w:type="dxa"/>
              <w:left w:w="7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tcMar>
              <w:top w:w="600.0" w:type="dxa"/>
              <w:left w:w="0.0" w:type="dxa"/>
              <w:bottom w:w="0.0" w:type="dxa"/>
              <w:right w:w="50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8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(THEY /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NAARM, VIC, 3070 / NISHANTDOUGALL@GMAIL.COM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/ 0412 202 666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0" w:before="0" w:line="240" w:lineRule="auto"/>
              <w:ind w:left="1180" w:right="2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March 19, 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right="-21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Attn: Nina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-21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Family Violence Justice Project Coordinator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-21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53744"/>
          <w:sz w:val="20"/>
          <w:szCs w:val="20"/>
          <w:rtl w:val="0"/>
        </w:rPr>
        <w:t xml:space="preserve">Flat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74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744"/>
          <w:sz w:val="20"/>
          <w:szCs w:val="20"/>
          <w:u w:val="none"/>
          <w:shd w:fill="auto" w:val="clear"/>
          <w:vertAlign w:val="baseline"/>
          <w:rtl w:val="0"/>
        </w:rPr>
        <w:t xml:space="preserve">Queen Victoria Women’s Centre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74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744"/>
          <w:sz w:val="20"/>
          <w:szCs w:val="20"/>
          <w:u w:val="none"/>
          <w:shd w:fill="auto" w:val="clear"/>
          <w:vertAlign w:val="baseline"/>
          <w:rtl w:val="0"/>
        </w:rPr>
        <w:t xml:space="preserve">Wurundjeri Country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74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744"/>
          <w:sz w:val="20"/>
          <w:szCs w:val="20"/>
          <w:u w:val="none"/>
          <w:shd w:fill="auto" w:val="clear"/>
          <w:vertAlign w:val="baseline"/>
          <w:rtl w:val="0"/>
        </w:rPr>
        <w:t xml:space="preserve">Level 2, 210 Lonsdale Street,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744"/>
          <w:sz w:val="20"/>
          <w:szCs w:val="20"/>
          <w:u w:val="none"/>
          <w:shd w:fill="auto" w:val="clear"/>
          <w:vertAlign w:val="baseline"/>
          <w:rtl w:val="0"/>
        </w:rPr>
        <w:t xml:space="preserve">Melbourne,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="240" w:lineRule="auto"/>
        <w:ind w:right="-2124"/>
        <w:rPr>
          <w:rFonts w:ascii="Arial" w:cs="Arial" w:eastAsia="Arial" w:hAnsi="Arial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8"/>
          <w:szCs w:val="28"/>
          <w:rtl w:val="0"/>
        </w:rPr>
        <w:t xml:space="preserve">RE: Family Violence Justice Project Worker role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Dear Nina,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I am writing to express my strong interest in the Family Violence Justice Project Worker position.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I interviewed for a role on the Beyond Bricks and Bars project approximately a year ago. At the time, I was finalising my studies and transitioning from the banking and finance sector. While I understood Witt needed someone with more immediate experience, they encouraged me to watch for future opportunities, which is why I am writing to you now.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Fast-forward a year, and I'm proud to say I have completed my Diploma in Community Services and gained invaluable experience at headspace and DVCS. Putting theory into practice has been incredibly rewarding.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My background in project delivery within banking and finance provides a unique perspective that makes me a strong candidate for this role. I left the finance sector in pursuit of work that aligns with my values and allows me to positively impact society, unlike my previous role in finance, which I felt contributed to the wealth divide and caused harm.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As detailed in my Statement of Claims regarding the key selection criteria for this role, I believe I am a candidate for this role because: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030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I possess a strong understanding of the drivers of incarceration for the TGD community as a gender-diverse, neurodivergent person of colour.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030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I have practical experience working on projects in banking involving complex systems and processes.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3030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I have a consistent and proven ability to creatively problem-solve and collaborate effectively with stakeholders to address complex challenges.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Thank you for considering my application. I genuinely believe I would be a valuable addition to your team and hope you will give me the opportunity to interview for this role.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1C">
      <w:pPr>
        <w:spacing w:before="200" w:line="240" w:lineRule="auto"/>
        <w:ind w:right="-2124"/>
        <w:rPr>
          <w:rFonts w:ascii="Arial" w:cs="Arial" w:eastAsia="Arial" w:hAnsi="Arial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8"/>
          <w:szCs w:val="28"/>
          <w:rtl w:val="0"/>
        </w:rPr>
        <w:t xml:space="preserve">Nishant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They/Them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right="-212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0412 202 666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right="-2124"/>
        <w:rPr>
          <w:rFonts w:ascii="Arial" w:cs="Arial" w:eastAsia="Arial" w:hAnsi="Arial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nishantdougall@gmail.com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600" w:top="0" w:left="0" w:right="7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ishantdougall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