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400"/>
      </w:tblPr>
      <w:tblGrid>
        <w:gridCol w:w="2080"/>
        <w:gridCol w:w="10160"/>
        <w:tblGridChange w:id="0">
          <w:tblGrid>
            <w:gridCol w:w="2080"/>
            <w:gridCol w:w="10160"/>
          </w:tblGrid>
        </w:tblGridChange>
      </w:tblGrid>
      <w:tr>
        <w:trPr>
          <w:cantSplit w:val="0"/>
          <w:trHeight w:val="1580" w:hRule="atLeast"/>
          <w:tblHeader w:val="0"/>
        </w:trPr>
        <w:tc>
          <w:tcPr>
            <w:shd w:fill="000000" w:val="clear"/>
            <w:tcMar>
              <w:top w:w="600.0" w:type="dxa"/>
              <w:left w:w="700.0" w:type="dxa"/>
              <w:bottom w:w="0.0" w:type="dxa"/>
              <w:right w:w="100.0" w:type="dxa"/>
            </w:tcMar>
          </w:tcPr>
          <w:p w:rsidR="00000000" w:rsidDel="00000000" w:rsidP="00000000" w:rsidRDefault="00000000" w:rsidRPr="00000000" w14:paraId="00000002">
            <w:pPr>
              <w:rPr>
                <w:rFonts w:ascii="Arial" w:cs="Arial" w:eastAsia="Arial" w:hAnsi="Arial"/>
                <w:color w:val="ffffff"/>
                <w:sz w:val="20"/>
                <w:szCs w:val="20"/>
              </w:rPr>
            </w:pPr>
            <w:r w:rsidDel="00000000" w:rsidR="00000000" w:rsidRPr="00000000">
              <w:rPr>
                <w:rtl w:val="0"/>
              </w:rPr>
            </w:r>
          </w:p>
        </w:tc>
        <w:tc>
          <w:tcPr>
            <w:shd w:fill="000000" w:val="clear"/>
            <w:tcMar>
              <w:top w:w="600.0" w:type="dxa"/>
              <w:left w:w="0.0" w:type="dxa"/>
              <w:bottom w:w="0.0" w:type="dxa"/>
              <w:right w:w="5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80" w:lineRule="auto"/>
              <w:ind w:left="440" w:right="0" w:firstLine="0"/>
              <w:jc w:val="left"/>
              <w:rPr>
                <w:rFonts w:ascii="Arial" w:cs="Arial" w:eastAsia="Arial" w:hAnsi="Arial"/>
                <w:b w:val="1"/>
                <w:bCs w:val="1"/>
                <w:i w:val="0"/>
                <w:iCs w:val="0"/>
                <w:smallCaps w:val="1"/>
                <w:strike w:val="0"/>
                <w:color w:val="ffffff"/>
                <w:sz w:val="44"/>
                <w:szCs w:val="44"/>
                <w:u w:val="none"/>
                <w:shd w:fill="auto" w:val="clear"/>
                <w:vertAlign w:val="baseline"/>
              </w:rPr>
            </w:pPr>
            <w:r w:rsidDel="00000000" w:rsidR="00000000" w:rsidRPr="00000000">
              <w:rPr>
                <w:rFonts w:ascii="Arial" w:cs="Arial" w:eastAsia="Arial" w:hAnsi="Arial"/>
                <w:b w:val="1"/>
                <w:bCs w:val="1"/>
                <w:i w:val="0"/>
                <w:iCs w:val="0"/>
                <w:smallCaps w:val="1"/>
                <w:strike w:val="0"/>
                <w:color w:val="ffffff"/>
                <w:sz w:val="44"/>
                <w:szCs w:val="44"/>
                <w:u w:val="none"/>
                <w:shd w:fill="auto" w:val="clear"/>
                <w:vertAlign w:val="baseline"/>
                <w:rtl w:val="0"/>
              </w:rPr>
              <w:t xml:space="preserve">NISHANT DOUGALL (THEY / THEM)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180" w:right="20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nishantdougall@gmail.com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1180" w:right="20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Northcote, Australia 3070</w:t>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February 20, 2025</w:t>
      </w:r>
    </w:p>
    <w:p w:rsidR="00000000" w:rsidDel="00000000" w:rsidP="00000000" w:rsidRDefault="00000000" w:rsidRPr="00000000" w14:paraId="00000007">
      <w:pPr>
        <w:spacing w:before="200" w:line="240" w:lineRule="auto"/>
        <w:ind w:right="-2124"/>
        <w:rPr>
          <w:rFonts w:ascii="Arial" w:cs="Arial" w:eastAsia="Arial" w:hAnsi="Arial"/>
          <w:sz w:val="20"/>
          <w:szCs w:val="20"/>
        </w:rPr>
      </w:pPr>
      <w:r w:rsidDel="00000000" w:rsidR="00000000" w:rsidRPr="00000000">
        <w:rPr>
          <w:rFonts w:ascii="Arial" w:cs="Arial" w:eastAsia="Arial" w:hAnsi="Arial"/>
          <w:color w:val="353744"/>
          <w:sz w:val="20"/>
          <w:szCs w:val="20"/>
          <w:rtl w:val="0"/>
        </w:rPr>
        <w:t xml:space="preserve">Stephen Borg</w:t>
      </w:r>
      <w:r w:rsidDel="00000000" w:rsidR="00000000" w:rsidRPr="00000000">
        <w:rPr>
          <w:rtl w:val="0"/>
        </w:rPr>
      </w:r>
    </w:p>
    <w:p w:rsidR="00000000" w:rsidDel="00000000" w:rsidP="00000000" w:rsidRDefault="00000000" w:rsidRPr="00000000" w14:paraId="00000008">
      <w:pPr>
        <w:spacing w:line="240" w:lineRule="auto"/>
        <w:ind w:right="-2124"/>
        <w:rPr>
          <w:rFonts w:ascii="Arial" w:cs="Arial" w:eastAsia="Arial" w:hAnsi="Arial"/>
          <w:sz w:val="20"/>
          <w:szCs w:val="20"/>
        </w:rPr>
      </w:pPr>
      <w:r w:rsidDel="00000000" w:rsidR="00000000" w:rsidRPr="00000000">
        <w:rPr>
          <w:rFonts w:ascii="Arial" w:cs="Arial" w:eastAsia="Arial" w:hAnsi="Arial"/>
          <w:color w:val="353744"/>
          <w:sz w:val="20"/>
          <w:szCs w:val="20"/>
          <w:rtl w:val="0"/>
        </w:rPr>
        <w:t xml:space="preserve">Acting Manager, Positive Living Centre</w:t>
      </w:r>
      <w:r w:rsidDel="00000000" w:rsidR="00000000" w:rsidRPr="00000000">
        <w:rPr>
          <w:rtl w:val="0"/>
        </w:rPr>
      </w:r>
    </w:p>
    <w:p w:rsidR="00000000" w:rsidDel="00000000" w:rsidP="00000000" w:rsidRDefault="00000000" w:rsidRPr="00000000" w14:paraId="00000009">
      <w:pPr>
        <w:spacing w:line="240" w:lineRule="auto"/>
        <w:ind w:right="-2124"/>
        <w:rPr>
          <w:rFonts w:ascii="Arial" w:cs="Arial" w:eastAsia="Arial" w:hAnsi="Arial"/>
          <w:sz w:val="20"/>
          <w:szCs w:val="20"/>
        </w:rPr>
      </w:pPr>
      <w:r w:rsidDel="00000000" w:rsidR="00000000" w:rsidRPr="00000000">
        <w:rPr>
          <w:rFonts w:ascii="Arial" w:cs="Arial" w:eastAsia="Arial" w:hAnsi="Arial"/>
          <w:color w:val="353744"/>
          <w:sz w:val="20"/>
          <w:szCs w:val="20"/>
          <w:rtl w:val="0"/>
        </w:rPr>
        <w:t xml:space="preserve">Thorne Harbour Health</w:t>
      </w:r>
      <w:r w:rsidDel="00000000" w:rsidR="00000000" w:rsidRPr="00000000">
        <w:rPr>
          <w:rtl w:val="0"/>
        </w:rPr>
      </w:r>
    </w:p>
    <w:p w:rsidR="00000000" w:rsidDel="00000000" w:rsidP="00000000" w:rsidRDefault="00000000" w:rsidRPr="00000000" w14:paraId="0000000A">
      <w:pPr>
        <w:spacing w:line="240" w:lineRule="auto"/>
        <w:ind w:right="-2124"/>
        <w:rPr>
          <w:rFonts w:ascii="Arial" w:cs="Arial" w:eastAsia="Arial" w:hAnsi="Arial"/>
          <w:sz w:val="20"/>
          <w:szCs w:val="20"/>
        </w:rPr>
      </w:pPr>
      <w:r w:rsidDel="00000000" w:rsidR="00000000" w:rsidRPr="00000000">
        <w:rPr>
          <w:rFonts w:ascii="Arial" w:cs="Arial" w:eastAsia="Arial" w:hAnsi="Arial"/>
          <w:color w:val="353744"/>
          <w:sz w:val="20"/>
          <w:szCs w:val="20"/>
          <w:rtl w:val="0"/>
        </w:rPr>
        <w:t xml:space="preserve">31-51 Commercial Rd</w:t>
      </w:r>
      <w:r w:rsidDel="00000000" w:rsidR="00000000" w:rsidRPr="00000000">
        <w:rPr>
          <w:rtl w:val="0"/>
        </w:rPr>
      </w:r>
    </w:p>
    <w:p w:rsidR="00000000" w:rsidDel="00000000" w:rsidP="00000000" w:rsidRDefault="00000000" w:rsidRPr="00000000" w14:paraId="0000000B">
      <w:pPr>
        <w:spacing w:line="240" w:lineRule="auto"/>
        <w:ind w:right="-2124"/>
        <w:rPr>
          <w:rFonts w:ascii="Arial" w:cs="Arial" w:eastAsia="Arial" w:hAnsi="Arial"/>
          <w:sz w:val="20"/>
          <w:szCs w:val="20"/>
        </w:rPr>
      </w:pPr>
      <w:r w:rsidDel="00000000" w:rsidR="00000000" w:rsidRPr="00000000">
        <w:rPr>
          <w:rFonts w:ascii="Arial" w:cs="Arial" w:eastAsia="Arial" w:hAnsi="Arial"/>
          <w:color w:val="353744"/>
          <w:sz w:val="20"/>
          <w:szCs w:val="20"/>
          <w:rtl w:val="0"/>
        </w:rPr>
        <w:t xml:space="preserve">South Yarra VIC 3141</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spacing w:before="200" w:line="240" w:lineRule="auto"/>
        <w:ind w:right="-2124"/>
        <w:rPr>
          <w:rFonts w:ascii="Arial" w:cs="Arial" w:eastAsia="Arial" w:hAnsi="Arial"/>
          <w:b w:val="1"/>
          <w:bCs w:val="1"/>
          <w:color w:val="c00000"/>
          <w:sz w:val="28"/>
          <w:szCs w:val="28"/>
        </w:rPr>
      </w:pPr>
      <w:r w:rsidDel="00000000" w:rsidR="00000000" w:rsidRPr="00000000">
        <w:rPr>
          <w:rFonts w:ascii="Arial" w:cs="Arial" w:eastAsia="Arial" w:hAnsi="Arial"/>
          <w:b w:val="1"/>
          <w:bCs w:val="1"/>
          <w:color w:val="c00000"/>
          <w:sz w:val="28"/>
          <w:szCs w:val="28"/>
          <w:rtl w:val="0"/>
        </w:rPr>
        <w:t xml:space="preserve">RE: Client Care and Support Worker – Positive Living Centre (PLC)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Dear Mr. Borg,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I'm very interested in joining your team at the PLC as a Client Care and Support Worker. I was pleased to see this position advertised again on </w:t>
      </w:r>
      <w:hyperlink r:id="rId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https://www.ethicaljobs.com.au</w:t>
        </w:r>
      </w:hyperlink>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previously interviewed for this role on your team a year ago. I am still very grateful for how patient and kind your team was that day!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As I've mentioned before, volunteering with Thorne Harbour Health in various roles has reinforced my understanding and appreciation of the vital support your organization provides to Victorians living with HIV and other at-risk cohorts within the LGBTQIA+ communities.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have attached my resume and my selection criteria responses which evidence my strength as a candidate. I believe I could be a valuable addition to your team because: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have two years of experience providing direct client care and support within the community services sector. I have honed my strengths-based, person-led, affirmative practice over the course of 400 interviews and assessments with vulnerable and marginalized clients, developing tailored psychosocial support plans.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As a queer, gender-diverse person with significant lived experience, I understand the needs of the community and am well versed in the issues and challenges faced by PLHIV and LGBTQIA+ communities. I have a profound understanding of the toxic nature of stigma and shame and have a proven ability to create a safe, inclusive space for clients from all walks of life.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offer significant transferable skills from my 9+ years in the finance sector, including stakeholder management, collaboration, and oral and written communication. I am also proficient with computer systems and possess strong organizational skills.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hope you will consider giving me another chance to interview for this opportunity. I will ensure to arrive promptly for the interview.</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Thank you for your time and consideration.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Sincerely,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pacing w:before="200" w:line="240" w:lineRule="auto"/>
        <w:ind w:right="-2124"/>
        <w:rPr>
          <w:rFonts w:ascii="Arial" w:cs="Arial" w:eastAsia="Arial" w:hAnsi="Arial"/>
          <w:color w:val="c00000"/>
        </w:rPr>
      </w:pPr>
      <w:r w:rsidDel="00000000" w:rsidR="00000000" w:rsidRPr="00000000">
        <w:rPr>
          <w:rFonts w:ascii="Arial" w:cs="Arial" w:eastAsia="Arial" w:hAnsi="Arial"/>
          <w:b w:val="1"/>
          <w:bCs w:val="1"/>
          <w:color w:val="c00000"/>
          <w:sz w:val="28"/>
          <w:szCs w:val="28"/>
          <w:rtl w:val="0"/>
        </w:rPr>
        <w:t xml:space="preserve">Nishant Dougall</w:t>
      </w:r>
      <w:r w:rsidDel="00000000" w:rsidR="00000000" w:rsidRPr="00000000">
        <w:rPr>
          <w:rtl w:val="0"/>
        </w:rPr>
      </w:r>
    </w:p>
    <w:p w:rsidR="00000000" w:rsidDel="00000000" w:rsidP="00000000" w:rsidRDefault="00000000" w:rsidRPr="00000000" w14:paraId="0000001B">
      <w:pPr>
        <w:spacing w:line="240" w:lineRule="auto"/>
        <w:ind w:right="-2124"/>
        <w:rPr>
          <w:rFonts w:ascii="Arial" w:cs="Arial" w:eastAsia="Arial" w:hAnsi="Arial"/>
        </w:rPr>
      </w:pPr>
      <w:r w:rsidDel="00000000" w:rsidR="00000000" w:rsidRPr="00000000">
        <w:rPr>
          <w:rFonts w:ascii="Arial" w:cs="Arial" w:eastAsia="Arial" w:hAnsi="Arial"/>
          <w:color w:val="666666"/>
          <w:sz w:val="20"/>
          <w:szCs w:val="20"/>
          <w:rtl w:val="0"/>
        </w:rPr>
        <w:t xml:space="preserve">They/Them</w:t>
      </w:r>
      <w:r w:rsidDel="00000000" w:rsidR="00000000" w:rsidRPr="00000000">
        <w:rPr>
          <w:rtl w:val="0"/>
        </w:rPr>
      </w:r>
    </w:p>
    <w:p w:rsidR="00000000" w:rsidDel="00000000" w:rsidP="00000000" w:rsidRDefault="00000000" w:rsidRPr="00000000" w14:paraId="0000001C">
      <w:pPr>
        <w:spacing w:line="240" w:lineRule="auto"/>
        <w:ind w:right="-2124"/>
        <w:rPr>
          <w:rFonts w:ascii="Arial" w:cs="Arial" w:eastAsia="Arial" w:hAnsi="Arial"/>
        </w:rPr>
      </w:pPr>
      <w:r w:rsidDel="00000000" w:rsidR="00000000" w:rsidRPr="00000000">
        <w:rPr>
          <w:rFonts w:ascii="Arial" w:cs="Arial" w:eastAsia="Arial" w:hAnsi="Arial"/>
          <w:color w:val="666666"/>
          <w:sz w:val="20"/>
          <w:szCs w:val="20"/>
          <w:rtl w:val="0"/>
        </w:rPr>
        <w:t xml:space="preserve">0412 202 666</w:t>
      </w:r>
      <w:r w:rsidDel="00000000" w:rsidR="00000000" w:rsidRPr="00000000">
        <w:rPr>
          <w:rtl w:val="0"/>
        </w:rPr>
      </w:r>
    </w:p>
    <w:p w:rsidR="00000000" w:rsidDel="00000000" w:rsidP="00000000" w:rsidRDefault="00000000" w:rsidRPr="00000000" w14:paraId="0000001D">
      <w:pPr>
        <w:spacing w:line="240" w:lineRule="auto"/>
        <w:ind w:right="-2124"/>
        <w:rPr>
          <w:rFonts w:ascii="Arial" w:cs="Arial" w:eastAsia="Arial" w:hAnsi="Arial"/>
        </w:rPr>
      </w:pPr>
      <w:hyperlink r:id="rId7">
        <w:r w:rsidDel="00000000" w:rsidR="00000000" w:rsidRPr="00000000">
          <w:rPr>
            <w:rFonts w:ascii="Arial" w:cs="Arial" w:eastAsia="Arial" w:hAnsi="Arial"/>
            <w:color w:val="1155cc"/>
            <w:sz w:val="20"/>
            <w:szCs w:val="20"/>
            <w:u w:val="single"/>
            <w:rtl w:val="0"/>
          </w:rPr>
          <w:t xml:space="preserve">nishantdougall@gmail.com</w:t>
        </w:r>
      </w:hyperlink>
      <w:r w:rsidDel="00000000" w:rsidR="00000000" w:rsidRPr="00000000">
        <w:rPr>
          <w:rtl w:val="0"/>
        </w:rPr>
      </w:r>
    </w:p>
    <w:p w:rsidR="00000000" w:rsidDel="00000000" w:rsidP="00000000" w:rsidRDefault="00000000" w:rsidRPr="00000000" w14:paraId="0000001E">
      <w:pPr>
        <w:spacing w:line="240" w:lineRule="auto"/>
        <w:rPr>
          <w:rFonts w:ascii="Arial" w:cs="Arial" w:eastAsia="Arial" w:hAnsi="Arial"/>
        </w:rPr>
      </w:pPr>
      <w:r w:rsidDel="00000000" w:rsidR="00000000" w:rsidRPr="00000000">
        <w:rPr>
          <w:rtl w:val="0"/>
        </w:rPr>
      </w:r>
    </w:p>
    <w:sectPr>
      <w:headerReference r:id="rId8" w:type="default"/>
      <w:footerReference r:id="rId9" w:type="default"/>
      <w:pgSz w:h="15840" w:w="12240" w:orient="portrait"/>
      <w:pgMar w:bottom="600" w:top="0" w:left="0" w:right="7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sz w:val="48"/>
      <w:szCs w:val="48"/>
    </w:rPr>
  </w:style>
  <w:style w:type="paragraph" w:styleId="Heading2">
    <w:name w:val="heading 2"/>
    <w:basedOn w:val="Normal"/>
    <w:next w:val="Normal"/>
    <w:pPr>
      <w:keepNext w:val="1"/>
      <w:keepLines w:val="1"/>
      <w:spacing w:before="40" w:lineRule="auto"/>
    </w:pPr>
    <w:rPr>
      <w:b w:val="1"/>
      <w:bCs w:val="1"/>
      <w:color w:val="2f5496"/>
      <w:sz w:val="36"/>
      <w:szCs w:val="36"/>
    </w:rPr>
  </w:style>
  <w:style w:type="paragraph" w:styleId="Heading3">
    <w:name w:val="heading 3"/>
    <w:basedOn w:val="Normal"/>
    <w:next w:val="Normal"/>
    <w:pPr>
      <w:keepNext w:val="1"/>
      <w:keepLines w:val="1"/>
      <w:spacing w:before="40" w:lineRule="auto"/>
    </w:pPr>
    <w:rPr>
      <w:b w:val="1"/>
      <w:bCs w:val="1"/>
      <w:color w:val="1f3763"/>
      <w:sz w:val="28"/>
      <w:szCs w:val="28"/>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sz w:val="20"/>
      <w:szCs w:val="20"/>
    </w:rPr>
  </w:style>
  <w:style w:type="paragraph" w:styleId="Heading6">
    <w:name w:val="heading 6"/>
    <w:basedOn w:val="Normal"/>
    <w:next w:val="Normal"/>
    <w:pPr>
      <w:keepNext w:val="1"/>
      <w:keepLines w:val="1"/>
      <w:spacing w:before="40" w:lineRule="auto"/>
    </w:pPr>
    <w:rPr>
      <w:b w:val="1"/>
      <w:bCs w:val="1"/>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ethicaljobs.com.au" TargetMode="External"/><Relationship Id="rId7" Type="http://schemas.openxmlformats.org/officeDocument/2006/relationships/hyperlink" Target="mailto:nishantdougall@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