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ind w:right="-2124.330708661417"/>
        <w:rPr>
          <w:rFonts w:ascii="Arial" w:cs="Arial" w:eastAsia="Arial" w:hAnsi="Arial"/>
          <w:color w:val="666666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Nishant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Dougall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ind w:right="-2124.330708661417"/>
        <w:rPr>
          <w:rFonts w:ascii="Arial" w:cs="Arial" w:eastAsia="Arial" w:hAnsi="Arial"/>
          <w:color w:val="666666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They/Them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ind w:right="-2124.330708661417"/>
        <w:rPr>
          <w:rFonts w:ascii="Arial" w:cs="Arial" w:eastAsia="Arial" w:hAnsi="Arial"/>
          <w:color w:val="666666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0412 202 666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ind w:right="-2124.330708661417"/>
        <w:rPr>
          <w:rFonts w:ascii="Arial" w:cs="Arial" w:eastAsia="Arial" w:hAnsi="Arial"/>
        </w:rPr>
      </w:pPr>
      <w:hyperlink r:id="rId6">
        <w:r w:rsidDel="00000000" w:rsidR="00000000" w:rsidRPr="00000000">
          <w:rPr>
            <w:rFonts w:ascii="Arial" w:cs="Arial" w:eastAsia="Arial" w:hAnsi="Arial"/>
            <w:color w:val="1155cc"/>
            <w:sz w:val="20"/>
            <w:szCs w:val="20"/>
            <w:u w:val="single"/>
            <w:rtl w:val="0"/>
          </w:rPr>
          <w:t xml:space="preserve">nishantdougall@gmail.com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before="360" w:line="288" w:lineRule="auto"/>
        <w:ind w:right="-2124.330708661417"/>
        <w:rPr>
          <w:rFonts w:ascii="Arial" w:cs="Arial" w:eastAsia="Arial" w:hAnsi="Arial"/>
          <w:b w:val="1"/>
          <w:bCs w:val="1"/>
          <w:color w:val="353744"/>
          <w:sz w:val="34"/>
          <w:szCs w:val="34"/>
        </w:rPr>
      </w:pPr>
      <w:bookmarkStart w:colFirst="0" w:colLast="0" w:name="_axpiykvan7mn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353744"/>
          <w:sz w:val="34"/>
          <w:szCs w:val="34"/>
          <w:rtl w:val="0"/>
        </w:rPr>
        <w:t xml:space="preserve">Key Selection Criteria Responses - TGD Peer Navigator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1. Lived experience as a transgender, gender diverse, and/or non-binary person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 a queer, non-binary, neurodivergent person of colour, I have a deep understanding of the challenges and triumphs that come with navigating one's gender identity. My own journey has included experiences of discrimination, exclusion, family violence, homelessness, mental ill-health, and psychosocial disability. These lived experiences have instilled in me a profound commitment to empowering and advocating for marginalised communities.  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2. Strong interpersonal and communication skills to build rapport with TGD people and community stakeholders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My four years of experience in community services, coupled with a decade in the finance sector, have equipped me with the skills to build rapport with people from all walks of life. I have a proven ability to provide strengths-based, person-led, empathetic support. I am confident in my ability to communicate respectfully and effectively with TGD people and community stakeholders.  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3. Demonstrated ability to connect with peers in a genuine and empathetic manner to provide personalised support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 a Peer Support Group Facilitator at Thorne Harbour Health, I honed my skills in active listening and creating a safe and inclusive space. I have experience mentoring LGBTQ+ individuals through empathetic, non-judgmental, and respectful support. I am confident in my ability to connect with TGD peers in a genuine and empathetic manner to provide personalised support.  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4. Knowledge of transgender issues, challenges, and resources available to TGD people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Through my own identity journey and volunteer work at Thorne Harbour Health, I have developed a strong understanding of the issues, challenges, and resources available to the TGD community. I am familiar with local and national LGBTQ+ support services and networks. I am committed to staying updated on current transgender-related issues and resources.  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5. Familiarity with local and national LGBTQ+ support services and networks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My lived experience, coupled with my mental health and gender identity journey, has equipped me with a strong understanding of local and national LGBTQ+ support services and networks.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This, along with my experience in health outreach, makes me confident in my ability to connect individuals with essential resources.</w:t>
      </w:r>
      <w:r w:rsidDel="00000000" w:rsidR="00000000" w:rsidRPr="00000000">
        <w:rPr>
          <w:rFonts w:ascii="Arial" w:cs="Arial" w:eastAsia="Arial" w:hAnsi="Arial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6. Ability to work independently and as part of a team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Throughout my career, I have demonstrated the ability to work both independently and as part of a team. My experience at Diamond Valley Community Support and Headspace required independent decision-making and initiative. My experience as a Business Analyst involved collaborating with stakeholders and external organisations. I am adaptable and can thrive in both individual and collaborative settings.  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7. Respectful, inclusive, and affirming attitude towards diverse gender identities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 am deeply committed to creating safe and inclusive spaces for all individuals. I have a respectful, inclusive, and affirming attitude towards diverse gender identities. My lived experience and work with diverse communities have instilled in me a deep commitment to anti-racist and gender-affirming practice.  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8. Willingness to undergo training and development as required by the organisation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 further my professional development, I recently began a short course at the Odyssey Institute to enhance my skills in addressing AOD issues.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I also regularly participate in webinars and lunch and learns offered by organisations such as Thorne Harbour Health, Turning Point, and the Hamilton Centre.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I am eager to undertake any training and development necessary to excel in this role.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9. Flexibility to work some evenings and weekends for events and outreach activities, including travel to regional and rural Victoria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 am flexible and willing to work evenings and weekends to support Transgender Victoria's events and outreach activities. I am also willing to travel to regional and rural Victoria as needed.  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first"/>
      <w:pgSz w:h="16838" w:w="11906" w:orient="portrait"/>
      <w:pgMar w:bottom="720.0000000000001" w:top="720.0000000000001" w:left="1440.0000000000002" w:right="3237.165354330709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00" w:line="288" w:lineRule="auto"/>
      <w:rPr>
        <w:rFonts w:ascii="Proxima Nova" w:cs="Proxima Nova" w:eastAsia="Proxima Nova" w:hAnsi="Proxima Nova"/>
        <w:color w:val="35374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80" w:line="288" w:lineRule="auto"/>
      <w:rPr/>
    </w:pPr>
    <w:r w:rsidDel="00000000" w:rsidR="00000000" w:rsidRPr="00000000">
      <w:rPr>
        <w:rFonts w:ascii="Proxima Nova" w:cs="Proxima Nova" w:eastAsia="Proxima Nova" w:hAnsi="Proxima Nova"/>
        <w:color w:val="353744"/>
      </w:rPr>
      <w:drawing>
        <wp:inline distB="114300" distT="114300" distL="114300" distR="114300">
          <wp:extent cx="5943600" cy="63500"/>
          <wp:effectExtent b="0" l="0" r="0" t="0"/>
          <wp:docPr descr="horizontal line" id="2" name="image2.png"/>
          <a:graphic>
            <a:graphicData uri="http://schemas.openxmlformats.org/drawingml/2006/picture">
              <pic:pic>
                <pic:nvPicPr>
                  <pic:cNvPr descr="horizontal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63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0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80" w:lineRule="auto"/>
      <w:rPr/>
    </w:pPr>
    <w:r w:rsidDel="00000000" w:rsidR="00000000" w:rsidRPr="00000000">
      <w:rPr/>
      <w:drawing>
        <wp:inline distB="114300" distT="114300" distL="114300" distR="114300">
          <wp:extent cx="5943600" cy="63500"/>
          <wp:effectExtent b="0" l="0" r="0" t="0"/>
          <wp:docPr descr="horizontal line" id="1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63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color w:val="353744"/>
        <w:sz w:val="22"/>
        <w:szCs w:val="22"/>
        <w:lang w:val="en"/>
      </w:rPr>
    </w:rPrDefault>
    <w:pPrDefault>
      <w:pPr>
        <w:spacing w:before="20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320" w:line="288" w:lineRule="auto"/>
    </w:pPr>
    <w:rPr>
      <w:rFonts w:ascii="Proxima Nova" w:cs="Proxima Nova" w:eastAsia="Proxima Nova" w:hAnsi="Proxima Nova"/>
      <w:b w:val="1"/>
      <w:bCs w:val="1"/>
      <w:color w:val="35374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line="240" w:lineRule="auto"/>
    </w:pPr>
    <w:rPr>
      <w:rFonts w:ascii="Proxima Nova" w:cs="Proxima Nova" w:eastAsia="Proxima Nova" w:hAnsi="Proxima Nova"/>
      <w:color w:val="00ab44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line="288" w:lineRule="auto"/>
    </w:pPr>
    <w:rPr>
      <w:rFonts w:ascii="Proxima Nova" w:cs="Proxima Nova" w:eastAsia="Proxima Nova" w:hAnsi="Proxima Nova"/>
      <w:b w:val="1"/>
      <w:bCs w:val="1"/>
      <w:color w:val="00ab4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200" w:line="288" w:lineRule="auto"/>
    </w:pPr>
    <w:rPr>
      <w:rFonts w:ascii="Proxima Nova" w:cs="Proxima Nova" w:eastAsia="Proxima Nova" w:hAnsi="Proxima Nova"/>
      <w:color w:val="353744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Proxima Nova" w:cs="Proxima Nova" w:eastAsia="Proxima Nova" w:hAnsi="Proxima Nova"/>
      <w:color w:val="999999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mailto:nishantdougall@gmail.com" TargetMode="Externa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