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89" w:right="49" w:firstLine="0"/>
        <w:jc w:val="center"/>
        <w:rPr>
          <w:color w:val="2e5395"/>
          <w:sz w:val="48"/>
          <w:szCs w:val="48"/>
        </w:rPr>
      </w:pPr>
      <w:r w:rsidDel="00000000" w:rsidR="00000000" w:rsidRPr="00000000">
        <w:rPr>
          <w:color w:val="2e5395"/>
          <w:sz w:val="48"/>
          <w:szCs w:val="48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pStyle w:val="Title"/>
        <w:ind w:firstLine="89"/>
        <w:rPr/>
      </w:pPr>
      <w:bookmarkStart w:colFirst="0" w:colLast="0" w:name="_wkz8fnuqd64m" w:id="0"/>
      <w:bookmarkEnd w:id="0"/>
      <w:r w:rsidDel="00000000" w:rsidR="00000000" w:rsidRPr="00000000">
        <w:rPr>
          <w:rtl w:val="0"/>
        </w:rPr>
        <w:t xml:space="preserve">Nishant Dougall</w:t>
      </w:r>
    </w:p>
    <w:p w:rsidR="00000000" w:rsidDel="00000000" w:rsidP="00000000" w:rsidRDefault="00000000" w:rsidRPr="00000000" w14:paraId="00000003">
      <w:pPr>
        <w:keepNext w:val="1"/>
        <w:spacing w:after="18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M: 0412 202 666 | E: nishantdougall</w:t>
      </w:r>
      <w:hyperlink r:id="rId6">
        <w:r w:rsidDel="00000000" w:rsidR="00000000" w:rsidRPr="00000000">
          <w:rPr>
            <w:b w:val="1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50800</wp:posOffset>
                </wp:positionV>
                <wp:extent cx="6298565" cy="254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96718" y="3780000"/>
                          <a:ext cx="6298565" cy="0"/>
                        </a:xfrm>
                        <a:custGeom>
                          <a:rect b="b" l="l" r="r" t="t"/>
                          <a:pathLst>
                            <a:path extrusionOk="0" h="1" w="9920">
                              <a:moveTo>
                                <a:pt x="0" y="0"/>
                              </a:moveTo>
                              <a:lnTo>
                                <a:pt x="9920" y="0"/>
                              </a:lnTo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4472C3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50800</wp:posOffset>
                </wp:positionV>
                <wp:extent cx="6298565" cy="2540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856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Career Profile</w:t>
      </w:r>
    </w:p>
    <w:p w:rsidR="00000000" w:rsidDel="00000000" w:rsidP="00000000" w:rsidRDefault="00000000" w:rsidRPr="00000000" w14:paraId="00000005">
      <w:pPr>
        <w:tabs>
          <w:tab w:val="right" w:leader="none" w:pos="9360"/>
        </w:tabs>
        <w:spacing w:line="220" w:lineRule="auto"/>
        <w:rPr/>
      </w:pPr>
      <w:r w:rsidDel="00000000" w:rsidR="00000000" w:rsidRPr="00000000">
        <w:rPr>
          <w:rtl w:val="0"/>
        </w:rPr>
        <w:t xml:space="preserve">As a queer, gender-diverse, and neuro-diverse person of colour, I possess a unique perspective and profound understanding of the challenges faced by young gender-diverse individuals seeking services and support.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 a Diploma in Community Services, a Master's in Finance, and a Bachelor's in Business, my educational background has equipped me with a comprehensive skill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line="220" w:lineRule="auto"/>
        <w:rPr/>
      </w:pPr>
      <w:r w:rsidDel="00000000" w:rsidR="00000000" w:rsidRPr="00000000">
        <w:rPr>
          <w:rtl w:val="0"/>
        </w:rPr>
        <w:t xml:space="preserve">I have been dedicated</w:t>
      </w:r>
      <w:r w:rsidDel="00000000" w:rsidR="00000000" w:rsidRPr="00000000">
        <w:rPr>
          <w:rtl w:val="0"/>
        </w:rPr>
        <w:t xml:space="preserve"> to community services, advocacy, and outreach for the past four years.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Through my work supporting individuals in crisis and my experience in peer support group work, I've developed expertise in harm minimisation and person-led, strengths-based support.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 value freedom, equality, and self-determination for all and strive to be a respectful and effective communicator.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line="220" w:lineRule="auto"/>
        <w:rPr/>
      </w:pPr>
      <w:r w:rsidDel="00000000" w:rsidR="00000000" w:rsidRPr="00000000">
        <w:rPr>
          <w:rtl w:val="0"/>
        </w:rPr>
        <w:t xml:space="preserve">As a Capricorn, I am known for my hard work and dedication.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My passion for inclusivity and equality led me to leave the corporate world to focus on social justice.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 am eager to contribute my experience and commitment to an organisation that creates transformative change for transgender and gender-diverse young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6184900" cy="25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Key Skills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Excellent interpersonal skills, including working with diverse individuals across various platforms.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Strong computer skills, proficient in Microsoft Office Suite and online platforms.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Experience and knowledge of peer work principles in a youth health setting.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Effective problem-solving and creative collaboration skills.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Ability to work independently and collaboratively in a team environment.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Excellent time management and organisational skills.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Experience working in health or community sectors with clients with complex needs.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Experience providing navigation support, referrals, and administrative tasks.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Knowledge of frameworks for early intervention, destigmatisation, diversity, inclusion, and non-discrimination.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Knowledge of some of the mental health and social issues faced by </w:t>
      </w:r>
      <w:r w:rsidDel="00000000" w:rsidR="00000000" w:rsidRPr="00000000">
        <w:rPr>
          <w:rtl w:val="0"/>
        </w:rPr>
        <w:t xml:space="preserve">TGD&amp;NB</w:t>
      </w:r>
      <w:r w:rsidDel="00000000" w:rsidR="00000000" w:rsidRPr="00000000">
        <w:rPr>
          <w:rtl w:val="0"/>
        </w:rPr>
        <w:t xml:space="preserve"> youth.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Capacity to conduct presentations and programs for diverse audiences.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9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210820</wp:posOffset>
            </wp:positionH>
            <wp:positionV relativeFrom="paragraph">
              <wp:posOffset>153035</wp:posOffset>
            </wp:positionV>
            <wp:extent cx="6184900" cy="25400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7846.0" w:type="dxa"/>
        <w:jc w:val="left"/>
        <w:tblInd w:w="102.0" w:type="dxa"/>
        <w:tblLayout w:type="fixed"/>
        <w:tblLook w:val="0000"/>
      </w:tblPr>
      <w:tblGrid>
        <w:gridCol w:w="3469"/>
        <w:gridCol w:w="3478"/>
        <w:gridCol w:w="899"/>
        <w:tblGridChange w:id="0">
          <w:tblGrid>
            <w:gridCol w:w="3469"/>
            <w:gridCol w:w="3478"/>
            <w:gridCol w:w="899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Education and Training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Diploma of Community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Melbourne Polytechnic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|2024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Master of Finance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Monash University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|2008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Bachelor of Business (Marketing)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Queensland Uni of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|2005</w:t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210820</wp:posOffset>
            </wp:positionH>
            <wp:positionV relativeFrom="paragraph">
              <wp:posOffset>162560</wp:posOffset>
            </wp:positionV>
            <wp:extent cx="6184900" cy="25400"/>
            <wp:effectExtent b="0" l="0" r="0" t="0"/>
            <wp:wrapTopAndBottom distB="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pStyle w:val="Heading1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Headspace | </w:t>
      </w: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Internship – Refugee and Migrant Practice Team </w:t>
      </w:r>
      <w:r w:rsidDel="00000000" w:rsidR="00000000" w:rsidRPr="00000000">
        <w:rPr>
          <w:color w:val="404040"/>
          <w:sz w:val="22"/>
          <w:szCs w:val="22"/>
          <w:rtl w:val="0"/>
        </w:rPr>
        <w:t xml:space="preserve">| Apr 2024 - Current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Working on the International Students Experience Project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goal is to create culturally and linguistically appropriate mental health resources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Planning to collaborate with the Participation team for consultation and co-design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</wp:posOffset>
                </wp:positionV>
                <wp:extent cx="6298565" cy="254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31718" y="3780000"/>
                          <a:ext cx="6298565" cy="0"/>
                        </a:xfrm>
                        <a:custGeom>
                          <a:rect b="b" l="l" r="r" t="t"/>
                          <a:pathLst>
                            <a:path extrusionOk="0" h="1" w="6298565">
                              <a:moveTo>
                                <a:pt x="0" y="0"/>
                              </a:moveTo>
                              <a:lnTo>
                                <a:pt x="6298565" y="0"/>
                              </a:lnTo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4472C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</wp:posOffset>
                </wp:positionV>
                <wp:extent cx="6298565" cy="254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856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pStyle w:val="Heading1"/>
        <w:rPr>
          <w:color w:val="404040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Diamond Valley Community Support | Community Support Worker | Nov 2022-2024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Provided emergency relief, material aid, and advocacy services to individuals in crisis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Delivered friendly, non-judgmental, empathetic, and compassionate support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Assessed and evaluated clients' needs and developed appropriate support responses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over 400 client interviews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Thorne Harbour Health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COVID19 Food Delivery Volunteer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| May 2020 - Dec 2020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Delivered food support to socially isolated and immunocompromised LGBTIQ+ clients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Managed client visits by phoning them in advance to confirm delivery arrangements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Delivered over 2000 packages to Positive Living Centre clients during the pandemic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Thorne Harbour Health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Sex on Premise Venue Outreach Volunteer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| Dec 2018 - Dec 2019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Provided support to clients at sex-on-premises venues for their health and well-being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Answered questions about sexual health, HIV, mental health, and substance use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Suggested appropriate internal and external referrals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Thorne Harbour Health | Re-Wired v2.0 Volunteer Peer Support Facilitator | Aug 2018 - Jan 2019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SMART Recovery fortnightly meeting for Re-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Wired program graduates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Utilised lived experience to assist clients with substance use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Covered topics such as lapses &amp; relapses, sleep, nutrition, HIV, sex, mental health &amp; mindfulness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5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Royal Bank of Scotland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Senior Business Analyst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| Jan 2016 - Dec 2019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Lead analyst on regulatory compliance project.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Successfully established effective collaborations with stakeholders and external organisations.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5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Independent TV News | Business Analyst | Jan 2014 - Dec 2015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Lead analyst on a tech project in ITN's Finance dept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Responsible for creating and managing staff training &amp; project communications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Supported the project manager in implementing a new accounting software package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National Australia Bank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Project Analyst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| Dec 2010 - Dec 2013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Identified and documented requirements for a new centralised process on a significant transformational change program.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Designed the solution, drafted appropriate documents, and maintained records per NAB's policies and procedures regarding project delivery.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National Australia Bank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Graduate Program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| Jan 2009 - Nov 2010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Supported manager in managing a portfolio of 100 small business clients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Clients in Carlton with around $2 million in borrowings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1" w:rightFromText="181" w:topFromText="0" w:bottomFromText="284" w:vertAnchor="text" w:horzAnchor="text" w:tblpX="0" w:tblpY="1"/>
        <w:tblW w:w="7908.999999999998" w:type="dxa"/>
        <w:jc w:val="left"/>
        <w:tblLayout w:type="fixed"/>
        <w:tblLook w:val="0000"/>
      </w:tblPr>
      <w:tblGrid>
        <w:gridCol w:w="3284"/>
        <w:gridCol w:w="3737"/>
        <w:gridCol w:w="888"/>
        <w:tblGridChange w:id="0">
          <w:tblGrid>
            <w:gridCol w:w="3284"/>
            <w:gridCol w:w="3737"/>
            <w:gridCol w:w="888"/>
          </w:tblGrid>
        </w:tblGridChange>
      </w:tblGrid>
      <w:tr>
        <w:trPr>
          <w:cantSplit w:val="1"/>
          <w:trHeight w:val="2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Licences &amp; Certifications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Working With Children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Victorian State Government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| 2023</w:t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First 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St John Ambulance Australia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| 2023</w:t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Mental Health First 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Mental Health First Aid Australia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| 2021</w:t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SMART Recovery Facilitator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SMART Recovery Australia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| 2018</w:t>
            </w:r>
          </w:p>
        </w:tc>
      </w:tr>
      <w:tr>
        <w:trPr>
          <w:cantSplit w:val="1"/>
          <w:trHeight w:val="2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Victorian Driver’s Licence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VicRoads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| 2006</w:t>
            </w:r>
          </w:p>
        </w:tc>
      </w:tr>
    </w:tbl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629856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831718" y="3780000"/>
                          <a:ext cx="6298565" cy="0"/>
                        </a:xfrm>
                        <a:custGeom>
                          <a:rect b="b" l="l" r="r" t="t"/>
                          <a:pathLst>
                            <a:path extrusionOk="0" h="1" w="6298565">
                              <a:moveTo>
                                <a:pt x="0" y="0"/>
                              </a:moveTo>
                              <a:lnTo>
                                <a:pt x="6298565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6298565" cy="12700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85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280" w:top="500" w:left="1000" w:right="10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Play" w:cs="Play" w:eastAsia="Play" w:hAnsi="Play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89" w:right="49"/>
      <w:jc w:val="center"/>
    </w:pPr>
    <w:rPr>
      <w:color w:val="15608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youremail@gmail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</Properties>
</file>