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before="200"/>
              <w:jc w:val="center"/>
            </w:pPr>
            <w:r>
              <w:rPr>
                <w:rFonts w:ascii="Arial" w:cs="Arial" w:eastAsia="Arial" w:hAnsi="Arial"/>
                <w:b/>
                <w:bCs/>
                <w:color w:val="FFFFFF"/>
                <w:sz w:val="60"/>
                <w:szCs w:val="60"/>
              </w:rPr>
              <w:t xml:space="preserve">ECOSKILLER JOB PORTAL</w:t>
            </w:r>
          </w:p>
          <w:p>
            <w:pPr>
              <w:spacing w:before="160"/>
              <w:jc w:val="center"/>
            </w:pPr>
            <w:r>
              <w:rPr>
                <w:rFonts w:ascii="Arial" w:cs="Arial" w:eastAsia="Arial" w:hAnsi="Arial"/>
                <w:b/>
                <w:bCs/>
                <w:color w:val="F4A11D"/>
                <w:sz w:val="32"/>
                <w:szCs w:val="32"/>
              </w:rPr>
              <w:t xml:space="preserve">COMPLETE CANDIDATE FEATURE GUIDE</w:t>
            </w:r>
          </w:p>
          <w:p>
            <w:pPr>
              <w:spacing w:before="160"/>
              <w:jc w:val="center"/>
            </w:pPr>
            <w:r>
              <w:rPr>
                <w:rFonts w:ascii="Arial" w:cs="Arial" w:eastAsia="Arial" w:hAnsi="Arial"/>
                <w:i/>
                <w:iCs/>
                <w:color w:val="AACCEE"/>
                <w:sz w:val="22"/>
                <w:szCs w:val="22"/>
              </w:rPr>
              <w:t xml:space="preserve">In-Depth Description of Every Feature, Screen, and Intelligence Engine</w:t>
            </w:r>
          </w:p>
          <w:p>
            <w:r>
              <w:t xml:space="preserve"/>
            </w:r>
          </w:p>
          <w:p>
            <w:pPr>
              <w:spacing w:before="120"/>
              <w:jc w:val="center"/>
            </w:pPr>
            <w:r>
              <w:rPr>
                <w:rFonts w:ascii="Arial" w:cs="Arial" w:eastAsia="Arial" w:hAnsi="Arial"/>
                <w:color w:val="8899BB"/>
                <w:sz w:val="18"/>
                <w:szCs w:val="18"/>
              </w:rPr>
              <w:t xml:space="preserve">Version 1.0  ·  2026  ·  Internal Reference Document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AB" w:sz="1"/>
              <w:left w:val="single" w:color="2E86AB" w:sz="1"/>
              <w:bottom w:val="single" w:color="2E86AB" w:sz="1"/>
              <w:right w:val="single" w:color="2E86AB" w:sz="1"/>
            </w:tcBorders>
            <w:shd w:fill="E8F4FD" w:val="clear"/>
            <w:tcMar>
              <w:top w:type="dxa" w:w="120"/>
              <w:left w:type="dxa" w:w="120"/>
              <w:bottom w:type="dxa" w:w="120"/>
              <w:right w:type="dxa" w:w="120"/>
            </w:tcMar>
          </w:tcPr>
          <w:p>
            <w:pPr>
              <w:jc w:val="center"/>
            </w:pPr>
            <w:r>
              <w:rPr>
                <w:rFonts w:ascii="Arial" w:cs="Arial" w:eastAsia="Arial" w:hAnsi="Arial"/>
                <w:b/>
                <w:bCs/>
                <w:color w:val="1B3A6B"/>
                <w:sz w:val="48"/>
                <w:szCs w:val="48"/>
              </w:rPr>
              <w:t xml:space="preserve">20+</w:t>
            </w:r>
          </w:p>
          <w:p>
            <w:pPr>
              <w:jc w:val="center"/>
            </w:pPr>
            <w:r>
              <w:rPr>
                <w:rFonts w:ascii="Arial" w:cs="Arial" w:eastAsia="Arial" w:hAnsi="Arial"/>
                <w:color w:val="555577"/>
                <w:sz w:val="18"/>
                <w:szCs w:val="18"/>
              </w:rPr>
              <w:t xml:space="preserve">Candidate Modules</w:t>
            </w:r>
          </w:p>
        </w:tc>
        <w:tc>
          <w:tcPr>
            <w:tcW w:type="dxa" w:w="2340"/>
            <w:tcBorders>
              <w:top w:val="single" w:color="2E86AB" w:sz="1"/>
              <w:left w:val="single" w:color="2E86AB" w:sz="1"/>
              <w:bottom w:val="single" w:color="2E86AB" w:sz="1"/>
              <w:right w:val="single" w:color="2E86AB" w:sz="1"/>
            </w:tcBorders>
            <w:shd w:fill="E8F4FD" w:val="clear"/>
            <w:tcMar>
              <w:top w:type="dxa" w:w="120"/>
              <w:left w:type="dxa" w:w="120"/>
              <w:bottom w:type="dxa" w:w="120"/>
              <w:right w:type="dxa" w:w="120"/>
            </w:tcMar>
          </w:tcPr>
          <w:p>
            <w:pPr>
              <w:jc w:val="center"/>
            </w:pPr>
            <w:r>
              <w:rPr>
                <w:rFonts w:ascii="Arial" w:cs="Arial" w:eastAsia="Arial" w:hAnsi="Arial"/>
                <w:b/>
                <w:bCs/>
                <w:color w:val="2E86AB"/>
                <w:sz w:val="48"/>
                <w:szCs w:val="48"/>
              </w:rPr>
              <w:t xml:space="preserve">50+</w:t>
            </w:r>
          </w:p>
          <w:p>
            <w:pPr>
              <w:jc w:val="center"/>
            </w:pPr>
            <w:r>
              <w:rPr>
                <w:rFonts w:ascii="Arial" w:cs="Arial" w:eastAsia="Arial" w:hAnsi="Arial"/>
                <w:color w:val="555577"/>
                <w:sz w:val="18"/>
                <w:szCs w:val="18"/>
              </w:rPr>
              <w:t xml:space="preserve">Problem Gaps Solved</w:t>
            </w:r>
          </w:p>
        </w:tc>
        <w:tc>
          <w:tcPr>
            <w:tcW w:type="dxa" w:w="2340"/>
            <w:tcBorders>
              <w:top w:val="single" w:color="2E86AB" w:sz="1"/>
              <w:left w:val="single" w:color="2E86AB" w:sz="1"/>
              <w:bottom w:val="single" w:color="2E86AB" w:sz="1"/>
              <w:right w:val="single" w:color="2E86AB" w:sz="1"/>
            </w:tcBorders>
            <w:shd w:fill="E8F4FD" w:val="clear"/>
            <w:tcMar>
              <w:top w:type="dxa" w:w="120"/>
              <w:left w:type="dxa" w:w="120"/>
              <w:bottom w:type="dxa" w:w="120"/>
              <w:right w:type="dxa" w:w="120"/>
            </w:tcMar>
          </w:tcPr>
          <w:p>
            <w:pPr>
              <w:jc w:val="center"/>
            </w:pPr>
            <w:r>
              <w:rPr>
                <w:rFonts w:ascii="Arial" w:cs="Arial" w:eastAsia="Arial" w:hAnsi="Arial"/>
                <w:b/>
                <w:bCs/>
                <w:color w:val="27AE60"/>
                <w:sz w:val="48"/>
                <w:szCs w:val="48"/>
              </w:rPr>
              <w:t xml:space="preserve">8</w:t>
            </w:r>
          </w:p>
          <w:p>
            <w:pPr>
              <w:jc w:val="center"/>
            </w:pPr>
            <w:r>
              <w:rPr>
                <w:rFonts w:ascii="Arial" w:cs="Arial" w:eastAsia="Arial" w:hAnsi="Arial"/>
                <w:color w:val="555577"/>
                <w:sz w:val="18"/>
                <w:szCs w:val="18"/>
              </w:rPr>
              <w:t xml:space="preserve">Intelligence Engines</w:t>
            </w:r>
          </w:p>
        </w:tc>
        <w:tc>
          <w:tcPr>
            <w:tcW w:type="dxa" w:w="2340"/>
            <w:tcBorders>
              <w:top w:val="single" w:color="2E86AB" w:sz="1"/>
              <w:left w:val="single" w:color="2E86AB" w:sz="1"/>
              <w:bottom w:val="single" w:color="2E86AB" w:sz="1"/>
              <w:right w:val="single" w:color="2E86AB" w:sz="1"/>
            </w:tcBorders>
            <w:shd w:fill="E8F4FD" w:val="clear"/>
            <w:tcMar>
              <w:top w:type="dxa" w:w="120"/>
              <w:left w:type="dxa" w:w="120"/>
              <w:bottom w:type="dxa" w:w="120"/>
              <w:right w:type="dxa" w:w="120"/>
            </w:tcMar>
          </w:tcPr>
          <w:p>
            <w:pPr>
              <w:jc w:val="center"/>
            </w:pPr>
            <w:r>
              <w:rPr>
                <w:rFonts w:ascii="Arial" w:cs="Arial" w:eastAsia="Arial" w:hAnsi="Arial"/>
                <w:b/>
                <w:bCs/>
                <w:color w:val="F4A11D"/>
                <w:sz w:val="48"/>
                <w:szCs w:val="48"/>
              </w:rPr>
              <w:t xml:space="preserve">0</w:t>
            </w:r>
          </w:p>
          <w:p>
            <w:pPr>
              <w:jc w:val="center"/>
            </w:pPr>
            <w:r>
              <w:rPr>
                <w:rFonts w:ascii="Arial" w:cs="Arial" w:eastAsia="Arial" w:hAnsi="Arial"/>
                <w:color w:val="555577"/>
                <w:sz w:val="18"/>
                <w:szCs w:val="18"/>
              </w:rPr>
              <w:t xml:space="preserve">Recruiter Bias Allowed</w:t>
            </w:r>
          </w:p>
        </w:tc>
      </w:tr>
    </w:tbl>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1</w:t>
            </w:r>
          </w:p>
          <w:p>
            <w:pPr>
              <w:jc w:val="left"/>
            </w:pPr>
            <w:r>
              <w:rPr>
                <w:rFonts w:ascii="Arial" w:cs="Arial" w:eastAsia="Arial" w:hAnsi="Arial"/>
                <w:i/>
                <w:iCs/>
                <w:color w:val="AACCEE"/>
                <w:sz w:val="19"/>
                <w:szCs w:val="19"/>
              </w:rPr>
              <w:t xml:space="preserve">Candidate Profile &amp; Registration System</w:t>
            </w:r>
          </w:p>
        </w:tc>
      </w:tr>
    </w:tbl>
    <w:p>
      <w:r>
        <w:t xml:space="preserve"/>
      </w:r>
    </w:p>
    <w:p>
      <w:pPr>
        <w:pStyle w:val="Heading2"/>
        <w:spacing w:before="280" w:after="120"/>
      </w:pPr>
      <w:r>
        <w:rPr>
          <w:rFonts w:ascii="Arial" w:cs="Arial" w:eastAsia="Arial" w:hAnsi="Arial"/>
          <w:b/>
          <w:bCs/>
          <w:color w:val="2E86AB"/>
          <w:sz w:val="28"/>
          <w:szCs w:val="28"/>
        </w:rPr>
        <w:t xml:space="preserve">1.1  Smart Registration &amp; Identity Verification</w:t>
      </w:r>
    </w:p>
    <w:p>
      <w:pPr>
        <w:spacing w:before="60" w:after="80"/>
        <w:jc w:val="left"/>
      </w:pPr>
      <w:r>
        <w:rPr>
          <w:rFonts w:ascii="Arial" w:cs="Arial" w:eastAsia="Arial" w:hAnsi="Arial"/>
          <w:b w:val="false"/>
          <w:bCs w:val="false"/>
          <w:i w:val="false"/>
          <w:iCs w:val="false"/>
          <w:color w:val="1A1A2E"/>
          <w:sz w:val="20"/>
          <w:szCs w:val="20"/>
        </w:rPr>
        <w:t xml:space="preserve">The registration system is designed to eliminate fake profiles and ensure every candidate on the platform is a verified, real individual linked to a legitimate educational institution. Registration is not a simple sign-up — it is an identity establishment process.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pPr>
              <w:spacing w:before="60" w:after="80"/>
            </w:pPr>
            <w:r>
              <w:rPr>
                <w:rFonts w:ascii="Arial" w:cs="Arial" w:eastAsia="Arial" w:hAnsi="Arial"/>
                <w:b/>
                <w:bCs/>
                <w:color w:val="1B3A6B"/>
                <w:sz w:val="22"/>
                <w:szCs w:val="22"/>
              </w:rPr>
              <w:t xml:space="preserve">◆  Registration Flow — Step by Step</w:t>
            </w:r>
          </w:p>
          <w:p>
            <w:pPr>
              <w:pStyle w:val="ListParagraph"/>
              <w:numPr>
                <w:ilvl w:val="0"/>
                <w:numId w:val="2"/>
              </w:numPr>
              <w:spacing w:before="30" w:after="30"/>
            </w:pPr>
            <w:r>
              <w:rPr>
                <w:rFonts w:ascii="Arial" w:cs="Arial" w:eastAsia="Arial" w:hAnsi="Arial"/>
                <w:color w:val="1A1A2E"/>
                <w:sz w:val="19"/>
                <w:szCs w:val="19"/>
              </w:rPr>
              <w:t xml:space="preserve">Step 1 — Mobile OTP Verification: Candidate registers using a verified mobile number. A 6-digit OTP is sent. The number is permanently associated with the account and cannot be changed without KYC re-verification.</w:t>
            </w:r>
          </w:p>
          <w:p>
            <w:pPr>
              <w:pStyle w:val="ListParagraph"/>
              <w:numPr>
                <w:ilvl w:val="0"/>
                <w:numId w:val="2"/>
              </w:numPr>
              <w:spacing w:before="30" w:after="30"/>
            </w:pPr>
            <w:r>
              <w:rPr>
                <w:rFonts w:ascii="Arial" w:cs="Arial" w:eastAsia="Arial" w:hAnsi="Arial"/>
                <w:color w:val="1A1A2E"/>
                <w:sz w:val="19"/>
                <w:szCs w:val="19"/>
              </w:rPr>
              <w:t xml:space="preserve">Step 2 — Institute Email Validation: An official institute email (e.g., student@college.edu) must be provided. System validates the email domain against the registered institute database. Personal Gmail/Yahoo addresses are not accepted for institute-linked profiles.</w:t>
            </w:r>
          </w:p>
          <w:p>
            <w:pPr>
              <w:pStyle w:val="ListParagraph"/>
              <w:numPr>
                <w:ilvl w:val="0"/>
                <w:numId w:val="2"/>
              </w:numPr>
              <w:spacing w:before="30" w:after="30"/>
            </w:pPr>
            <w:r>
              <w:rPr>
                <w:rFonts w:ascii="Arial" w:cs="Arial" w:eastAsia="Arial" w:hAnsi="Arial"/>
                <w:color w:val="1A1A2E"/>
                <w:sz w:val="19"/>
                <w:szCs w:val="19"/>
              </w:rPr>
              <w:t xml:space="preserve">Step 3 — Aadhar/Government ID Link: Optional but unlocks trust badge. Aadhar number is hashed and never stored in plain text. Enables verified identity score.</w:t>
            </w:r>
          </w:p>
          <w:p>
            <w:pPr>
              <w:pStyle w:val="ListParagraph"/>
              <w:numPr>
                <w:ilvl w:val="0"/>
                <w:numId w:val="2"/>
              </w:numPr>
              <w:spacing w:before="30" w:after="30"/>
            </w:pPr>
            <w:r>
              <w:rPr>
                <w:rFonts w:ascii="Arial" w:cs="Arial" w:eastAsia="Arial" w:hAnsi="Arial"/>
                <w:color w:val="1A1A2E"/>
                <w:sz w:val="19"/>
                <w:szCs w:val="19"/>
              </w:rPr>
              <w:t xml:space="preserve">Step 4 — Academic Record Upload: Marksheets, passing certificates, and enrollment proof are submitted. Documents pass through AI-based tampering detection before acceptance.</w:t>
            </w:r>
          </w:p>
          <w:p>
            <w:pPr>
              <w:pStyle w:val="ListParagraph"/>
              <w:numPr>
                <w:ilvl w:val="0"/>
                <w:numId w:val="2"/>
              </w:numPr>
              <w:spacing w:before="30" w:after="30"/>
            </w:pPr>
            <w:r>
              <w:rPr>
                <w:rFonts w:ascii="Arial" w:cs="Arial" w:eastAsia="Arial" w:hAnsi="Arial"/>
                <w:color w:val="1A1A2E"/>
                <w:sz w:val="19"/>
                <w:szCs w:val="19"/>
              </w:rPr>
              <w:t xml:space="preserve">Step 5 — Institute Approval Handshake: The candidate's institute placement cell receives a notification. TPO (Training &amp; Placement Officer) verifies student enrollment. Only after this handshake is the student profile activated for recruiter visibility.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Verification Tier</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Unlocked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Profile Verification Level</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What It Unlocks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Basic (Mobile + Email)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Browse jobs, apply to SME listings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Institute Verified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Apply to campus drives, appear in recruiter search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Document Verified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Unlock salary negotiation tools, offer tracking</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Fully KYC'd (ID + Institute)</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Priority ranking in employer search, trust badge displayed</w:t>
            </w:r>
          </w:p>
        </w:tc>
      </w:tr>
    </w:tbl>
    <w:p>
      <w:r>
        <w:t xml:space="preserve"/>
      </w:r>
    </w:p>
    <w:p>
      <w:pPr>
        <w:pStyle w:val="Heading2"/>
        <w:spacing w:before="280" w:after="120"/>
      </w:pPr>
      <w:r>
        <w:rPr>
          <w:rFonts w:ascii="Arial" w:cs="Arial" w:eastAsia="Arial" w:hAnsi="Arial"/>
          <w:b/>
          <w:bCs/>
          <w:color w:val="2E86AB"/>
          <w:sz w:val="28"/>
          <w:szCs w:val="28"/>
        </w:rPr>
        <w:t xml:space="preserve">1.2  Multi-Dimensional Candidate Profile</w:t>
      </w:r>
    </w:p>
    <w:p>
      <w:pPr>
        <w:spacing w:before="60" w:after="80"/>
        <w:jc w:val="left"/>
      </w:pPr>
      <w:r>
        <w:rPr>
          <w:rFonts w:ascii="Arial" w:cs="Arial" w:eastAsia="Arial" w:hAnsi="Arial"/>
          <w:b w:val="false"/>
          <w:bCs w:val="false"/>
          <w:i w:val="false"/>
          <w:iCs w:val="false"/>
          <w:color w:val="1A1A2E"/>
          <w:sz w:val="20"/>
          <w:szCs w:val="20"/>
        </w:rPr>
        <w:t xml:space="preserve">The candidate profile is not a resume. It is a live, multi-dimensional data object that continuously updates based on activity, assessments, skill performance, and employer feedback. It replaces the static PDF resume with a dynamic, intelligent professional identity.</w:t>
      </w:r>
    </w:p>
    <w:p>
      <w:r>
        <w:t xml:space="preserve"/>
      </w:r>
    </w:p>
    <w:p>
      <w:pPr>
        <w:pStyle w:val="Heading3"/>
        <w:spacing w:before="200" w:after="80"/>
      </w:pPr>
      <w:r>
        <w:rPr>
          <w:rFonts w:ascii="Arial" w:cs="Arial" w:eastAsia="Arial" w:hAnsi="Arial"/>
          <w:b/>
          <w:bCs/>
          <w:color w:val="1B3A6B"/>
          <w:sz w:val="24"/>
          <w:szCs w:val="24"/>
        </w:rPr>
        <w:t xml:space="preserve">1.2.1  Academic Profile Section</w:t>
      </w:r>
    </w:p>
    <w:p>
      <w:pPr>
        <w:pStyle w:val="ListParagraph"/>
        <w:numPr>
          <w:ilvl w:val="0"/>
          <w:numId w:val="2"/>
        </w:numPr>
        <w:spacing w:before="40" w:after="40"/>
      </w:pPr>
      <w:r>
        <w:rPr>
          <w:rFonts w:ascii="Arial" w:cs="Arial" w:eastAsia="Arial" w:hAnsi="Arial"/>
          <w:color w:val="1A1A2E"/>
          <w:sz w:val="20"/>
          <w:szCs w:val="20"/>
        </w:rPr>
        <w:t xml:space="preserve">Degree, branch, specialization, passing year</w:t>
      </w:r>
    </w:p>
    <w:p>
      <w:pPr>
        <w:pStyle w:val="ListParagraph"/>
        <w:numPr>
          <w:ilvl w:val="0"/>
          <w:numId w:val="2"/>
        </w:numPr>
        <w:spacing w:before="40" w:after="40"/>
      </w:pPr>
      <w:r>
        <w:rPr>
          <w:rFonts w:ascii="Arial" w:cs="Arial" w:eastAsia="Arial" w:hAnsi="Arial"/>
          <w:color w:val="1A1A2E"/>
          <w:sz w:val="20"/>
          <w:szCs w:val="20"/>
        </w:rPr>
        <w:t xml:space="preserve">CGPA / Percentage — verified against uploaded marksheets, not self-declared</w:t>
      </w:r>
    </w:p>
    <w:p>
      <w:pPr>
        <w:pStyle w:val="ListParagraph"/>
        <w:numPr>
          <w:ilvl w:val="0"/>
          <w:numId w:val="2"/>
        </w:numPr>
        <w:spacing w:before="40" w:after="40"/>
      </w:pPr>
      <w:r>
        <w:rPr>
          <w:rFonts w:ascii="Arial" w:cs="Arial" w:eastAsia="Arial" w:hAnsi="Arial"/>
          <w:color w:val="1A1A2E"/>
          <w:sz w:val="20"/>
          <w:szCs w:val="20"/>
        </w:rPr>
        <w:t xml:space="preserve">Subject-wise score breakdown (if uploaded)</w:t>
      </w:r>
    </w:p>
    <w:p>
      <w:pPr>
        <w:pStyle w:val="ListParagraph"/>
        <w:numPr>
          <w:ilvl w:val="0"/>
          <w:numId w:val="2"/>
        </w:numPr>
        <w:spacing w:before="40" w:after="40"/>
      </w:pPr>
      <w:r>
        <w:rPr>
          <w:rFonts w:ascii="Arial" w:cs="Arial" w:eastAsia="Arial" w:hAnsi="Arial"/>
          <w:color w:val="1A1A2E"/>
          <w:sz w:val="20"/>
          <w:szCs w:val="20"/>
        </w:rPr>
        <w:t xml:space="preserve">Arrears / backlogs — auto-detected from documents, cannot be hidden</w:t>
      </w:r>
    </w:p>
    <w:p>
      <w:pPr>
        <w:pStyle w:val="ListParagraph"/>
        <w:numPr>
          <w:ilvl w:val="0"/>
          <w:numId w:val="2"/>
        </w:numPr>
        <w:spacing w:before="40" w:after="40"/>
      </w:pPr>
      <w:r>
        <w:rPr>
          <w:rFonts w:ascii="Arial" w:cs="Arial" w:eastAsia="Arial" w:hAnsi="Arial"/>
          <w:color w:val="1A1A2E"/>
          <w:sz w:val="20"/>
          <w:szCs w:val="20"/>
        </w:rPr>
        <w:t xml:space="preserve">Academic achievement awards, scholarships, department ranks</w:t>
      </w:r>
    </w:p>
    <w:p>
      <w:pPr>
        <w:pStyle w:val="ListParagraph"/>
        <w:numPr>
          <w:ilvl w:val="0"/>
          <w:numId w:val="2"/>
        </w:numPr>
        <w:spacing w:before="40" w:after="40"/>
      </w:pPr>
      <w:r>
        <w:rPr>
          <w:rFonts w:ascii="Arial" w:cs="Arial" w:eastAsia="Arial" w:hAnsi="Arial"/>
          <w:color w:val="1A1A2E"/>
          <w:sz w:val="20"/>
          <w:szCs w:val="20"/>
        </w:rPr>
        <w:t xml:space="preserve">Research papers, publications, IEEE/conference submissions</w:t>
      </w:r>
    </w:p>
    <w:p>
      <w:r>
        <w:t xml:space="preserve"/>
      </w:r>
    </w:p>
    <w:p>
      <w:pPr>
        <w:pStyle w:val="Heading3"/>
        <w:spacing w:before="200" w:after="80"/>
      </w:pPr>
      <w:r>
        <w:rPr>
          <w:rFonts w:ascii="Arial" w:cs="Arial" w:eastAsia="Arial" w:hAnsi="Arial"/>
          <w:b/>
          <w:bCs/>
          <w:color w:val="1B3A6B"/>
          <w:sz w:val="24"/>
          <w:szCs w:val="24"/>
        </w:rPr>
        <w:t xml:space="preserve">1.2.2  Skills Profile Section</w:t>
      </w:r>
    </w:p>
    <w:p>
      <w:pPr>
        <w:spacing w:before="60" w:after="80"/>
        <w:jc w:val="left"/>
      </w:pPr>
      <w:r>
        <w:rPr>
          <w:rFonts w:ascii="Arial" w:cs="Arial" w:eastAsia="Arial" w:hAnsi="Arial"/>
          <w:b w:val="false"/>
          <w:bCs w:val="false"/>
          <w:i w:val="false"/>
          <w:iCs w:val="false"/>
          <w:color w:val="1A1A2E"/>
          <w:sz w:val="20"/>
          <w:szCs w:val="20"/>
        </w:rPr>
        <w:t xml:space="preserve">Skills are not self-tagged keywords. Every skill must be backed by one of the following evidence types:</w:t>
      </w:r>
    </w:p>
    <w:p>
      <w:pPr>
        <w:pStyle w:val="ListParagraph"/>
        <w:numPr>
          <w:ilvl w:val="0"/>
          <w:numId w:val="2"/>
        </w:numPr>
        <w:spacing w:before="40" w:after="40"/>
      </w:pPr>
      <w:r>
        <w:rPr>
          <w:rFonts w:ascii="Arial" w:cs="Arial" w:eastAsia="Arial" w:hAnsi="Arial"/>
          <w:color w:val="1A1A2E"/>
          <w:sz w:val="20"/>
          <w:szCs w:val="20"/>
        </w:rPr>
        <w:t xml:space="preserve">Assessment Score — from Ecoskiller's built-in skill tests</w:t>
      </w:r>
    </w:p>
    <w:p>
      <w:pPr>
        <w:pStyle w:val="ListParagraph"/>
        <w:numPr>
          <w:ilvl w:val="0"/>
          <w:numId w:val="2"/>
        </w:numPr>
        <w:spacing w:before="40" w:after="40"/>
      </w:pPr>
      <w:r>
        <w:rPr>
          <w:rFonts w:ascii="Arial" w:cs="Arial" w:eastAsia="Arial" w:hAnsi="Arial"/>
          <w:color w:val="1A1A2E"/>
          <w:sz w:val="20"/>
          <w:szCs w:val="20"/>
        </w:rPr>
        <w:t xml:space="preserve">Project Evidence — linked to a project that demonstrates the skill</w:t>
      </w:r>
    </w:p>
    <w:p>
      <w:pPr>
        <w:pStyle w:val="ListParagraph"/>
        <w:numPr>
          <w:ilvl w:val="0"/>
          <w:numId w:val="2"/>
        </w:numPr>
        <w:spacing w:before="40" w:after="40"/>
      </w:pPr>
      <w:r>
        <w:rPr>
          <w:rFonts w:ascii="Arial" w:cs="Arial" w:eastAsia="Arial" w:hAnsi="Arial"/>
          <w:color w:val="1A1A2E"/>
          <w:sz w:val="20"/>
          <w:szCs w:val="20"/>
        </w:rPr>
        <w:t xml:space="preserve">Certification — verified digital certificate (Coursera, NPTEL, etc.)</w:t>
      </w:r>
    </w:p>
    <w:p>
      <w:pPr>
        <w:pStyle w:val="ListParagraph"/>
        <w:numPr>
          <w:ilvl w:val="0"/>
          <w:numId w:val="2"/>
        </w:numPr>
        <w:spacing w:before="40" w:after="40"/>
      </w:pPr>
      <w:r>
        <w:rPr>
          <w:rFonts w:ascii="Arial" w:cs="Arial" w:eastAsia="Arial" w:hAnsi="Arial"/>
          <w:color w:val="1A1A2E"/>
          <w:sz w:val="20"/>
          <w:szCs w:val="20"/>
        </w:rPr>
        <w:t xml:space="preserve">Employer Endorsement — past employer or internship supervisor endorses</w:t>
      </w:r>
    </w:p>
    <w:p>
      <w:pPr>
        <w:pStyle w:val="ListParagraph"/>
        <w:numPr>
          <w:ilvl w:val="0"/>
          <w:numId w:val="2"/>
        </w:numPr>
        <w:spacing w:before="40" w:after="40"/>
      </w:pPr>
      <w:r>
        <w:rPr>
          <w:rFonts w:ascii="Arial" w:cs="Arial" w:eastAsia="Arial" w:hAnsi="Arial"/>
          <w:color w:val="1A1A2E"/>
          <w:sz w:val="20"/>
          <w:szCs w:val="20"/>
        </w:rPr>
        <w:t xml:space="preserve">Peer Validation — Dojo arena performance ranking for that skill</w:t>
      </w:r>
    </w:p>
    <w:p>
      <w:r>
        <w:t xml:space="preserve"/>
      </w:r>
    </w:p>
    <w:p>
      <w:pPr>
        <w:spacing w:before="60" w:after="80"/>
        <w:jc w:val="left"/>
      </w:pPr>
      <w:r>
        <w:rPr>
          <w:rFonts w:ascii="Arial" w:cs="Arial" w:eastAsia="Arial" w:hAnsi="Arial"/>
          <w:b w:val="false"/>
          <w:bCs w:val="false"/>
          <w:i w:val="false"/>
          <w:iCs w:val="false"/>
          <w:color w:val="1A1A2E"/>
          <w:sz w:val="20"/>
          <w:szCs w:val="20"/>
        </w:rPr>
        <w:t xml:space="preserve">Each skill has a Skill Depth Score (0–100) showing proficiency level, not just presence. Skill scores decay over time if not refreshed — a 2-year-old skill without reassessment shows a decay warning.</w:t>
      </w:r>
    </w:p>
    <w:p>
      <w:r>
        <w:t xml:space="preserve"/>
      </w:r>
    </w:p>
    <w:p>
      <w:pPr>
        <w:pStyle w:val="Heading3"/>
        <w:spacing w:before="200" w:after="80"/>
      </w:pPr>
      <w:r>
        <w:rPr>
          <w:rFonts w:ascii="Arial" w:cs="Arial" w:eastAsia="Arial" w:hAnsi="Arial"/>
          <w:b/>
          <w:bCs/>
          <w:color w:val="1B3A6B"/>
          <w:sz w:val="24"/>
          <w:szCs w:val="24"/>
        </w:rPr>
        <w:t xml:space="preserve">1.2.3  Intelligence Profile (Ecoskiller Intelligence Engine)</w:t>
      </w:r>
    </w:p>
    <w:p>
      <w:pPr>
        <w:spacing w:before="60" w:after="80"/>
        <w:jc w:val="left"/>
      </w:pPr>
      <w:r>
        <w:rPr>
          <w:rFonts w:ascii="Arial" w:cs="Arial" w:eastAsia="Arial" w:hAnsi="Arial"/>
          <w:b w:val="false"/>
          <w:bCs w:val="false"/>
          <w:i w:val="false"/>
          <w:iCs w:val="false"/>
          <w:color w:val="1A1A2E"/>
          <w:sz w:val="20"/>
          <w:szCs w:val="20"/>
        </w:rPr>
        <w:t xml:space="preserve">Based on Howard Gardner's Multiple Intelligences theory, the system detects each candidate's unique intelligence profile through behavioral tests and Dojo activities: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Intelligence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Measures</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Detection Method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Linguistic</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Measures verbal reasoning, writing fluency, debate skill, vocabulary depth</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Story writing + Speech tests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Logical-Mathematical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Problem-solving, coding, analytical thinking, data interpretation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Puzzle solving + coding challenges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Spatial</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Design thinking, visual reasoning, UI/UX aptitude, architecture sense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Room design + diagram tasks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Bodily-Kinesthetic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Physical coordination, craft skill, hands-on lab performance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Physical task logs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Interpersonal</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Leadership, teamwork, communication, negotiation, influence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GD scores + team project roles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Intrapersonal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Self-awareness, emotional regulation, goal-setting discipline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Self-assessment + behavior logs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Naturalistic</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Environmental awareness, agriculture, biology, sustainability thinking</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Nature image recall + quizzes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Musical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Rhythm, pattern recognition, creative expression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Arts-related Dojo exercises</w:t>
            </w:r>
          </w:p>
        </w:tc>
      </w:tr>
    </w:tbl>
    <w:p>
      <w:r>
        <w:t xml:space="preserve"/>
      </w:r>
    </w:p>
    <w:p>
      <w:pPr>
        <w:spacing w:before="60" w:after="80"/>
        <w:jc w:val="left"/>
      </w:pPr>
      <w:r>
        <w:rPr>
          <w:rFonts w:ascii="Arial" w:cs="Arial" w:eastAsia="Arial" w:hAnsi="Arial"/>
          <w:b w:val="false"/>
          <w:bCs w:val="false"/>
          <w:i w:val="false"/>
          <w:iCs w:val="false"/>
          <w:color w:val="1A1A2E"/>
          <w:sz w:val="20"/>
          <w:szCs w:val="20"/>
        </w:rPr>
        <w:t xml:space="preserve">The output is a permanent Intelligence Graph stored in the candidate profile. This powers career path recommendations and identifies non-obvious career fits — e.g., a student with high Interpersonal + Linguistic scores but low Logical scores may be unsuited to software development but highly suited to technical sales or product management.</w:t>
      </w:r>
    </w:p>
    <w:p>
      <w:r>
        <w:t xml:space="preserve"/>
      </w:r>
    </w:p>
    <w:p>
      <w:pPr>
        <w:pStyle w:val="Heading3"/>
        <w:spacing w:before="200" w:after="80"/>
      </w:pPr>
      <w:r>
        <w:rPr>
          <w:rFonts w:ascii="Arial" w:cs="Arial" w:eastAsia="Arial" w:hAnsi="Arial"/>
          <w:b/>
          <w:bCs/>
          <w:color w:val="1B3A6B"/>
          <w:sz w:val="24"/>
          <w:szCs w:val="24"/>
        </w:rPr>
        <w:t xml:space="preserve">1.2.4  Project &amp; Portfolio Section</w:t>
      </w:r>
    </w:p>
    <w:p>
      <w:pPr>
        <w:pStyle w:val="ListParagraph"/>
        <w:numPr>
          <w:ilvl w:val="0"/>
          <w:numId w:val="2"/>
        </w:numPr>
        <w:spacing w:before="40" w:after="40"/>
      </w:pPr>
      <w:r>
        <w:rPr>
          <w:rFonts w:ascii="Arial" w:cs="Arial" w:eastAsia="Arial" w:hAnsi="Arial"/>
          <w:color w:val="1A1A2E"/>
          <w:sz w:val="20"/>
          <w:szCs w:val="20"/>
        </w:rPr>
        <w:t xml:space="preserve">Unlimited project entries with title, tech stack, description, GitHub/live link</w:t>
      </w:r>
    </w:p>
    <w:p>
      <w:pPr>
        <w:pStyle w:val="ListParagraph"/>
        <w:numPr>
          <w:ilvl w:val="0"/>
          <w:numId w:val="2"/>
        </w:numPr>
        <w:spacing w:before="40" w:after="40"/>
      </w:pPr>
      <w:r>
        <w:rPr>
          <w:rFonts w:ascii="Arial" w:cs="Arial" w:eastAsia="Arial" w:hAnsi="Arial"/>
          <w:color w:val="1A1A2E"/>
          <w:sz w:val="20"/>
          <w:szCs w:val="20"/>
        </w:rPr>
        <w:t xml:space="preserve">AI scans linked GitHub repos for actual commit activity — detects plagiarized or template-only projects</w:t>
      </w:r>
    </w:p>
    <w:p>
      <w:pPr>
        <w:pStyle w:val="ListParagraph"/>
        <w:numPr>
          <w:ilvl w:val="0"/>
          <w:numId w:val="2"/>
        </w:numPr>
        <w:spacing w:before="40" w:after="40"/>
      </w:pPr>
      <w:r>
        <w:rPr>
          <w:rFonts w:ascii="Arial" w:cs="Arial" w:eastAsia="Arial" w:hAnsi="Arial"/>
          <w:color w:val="1A1A2E"/>
          <w:sz w:val="20"/>
          <w:szCs w:val="20"/>
        </w:rPr>
        <w:t xml:space="preserve">Projects tagged to skills — builds evidence chain for skill scores</w:t>
      </w:r>
    </w:p>
    <w:p>
      <w:pPr>
        <w:pStyle w:val="ListParagraph"/>
        <w:numPr>
          <w:ilvl w:val="0"/>
          <w:numId w:val="2"/>
        </w:numPr>
        <w:spacing w:before="40" w:after="40"/>
      </w:pPr>
      <w:r>
        <w:rPr>
          <w:rFonts w:ascii="Arial" w:cs="Arial" w:eastAsia="Arial" w:hAnsi="Arial"/>
          <w:color w:val="1A1A2E"/>
          <w:sz w:val="20"/>
          <w:szCs w:val="20"/>
        </w:rPr>
        <w:t xml:space="preserve">Employer can request project walkthrough directly from the portal</w:t>
      </w:r>
    </w:p>
    <w:p>
      <w:pPr>
        <w:pStyle w:val="ListParagraph"/>
        <w:numPr>
          <w:ilvl w:val="0"/>
          <w:numId w:val="2"/>
        </w:numPr>
        <w:spacing w:before="40" w:after="40"/>
      </w:pPr>
      <w:r>
        <w:rPr>
          <w:rFonts w:ascii="Arial" w:cs="Arial" w:eastAsia="Arial" w:hAnsi="Arial"/>
          <w:color w:val="1A1A2E"/>
          <w:sz w:val="20"/>
          <w:szCs w:val="20"/>
        </w:rPr>
        <w:t xml:space="preserve">Project impact score generated based on complexity, originality, and completion</w:t>
      </w:r>
    </w:p>
    <w:p>
      <w:r>
        <w:t xml:space="preserve"/>
      </w:r>
    </w:p>
    <w:p>
      <w:pPr>
        <w:pStyle w:val="Heading3"/>
        <w:spacing w:before="200" w:after="80"/>
      </w:pPr>
      <w:r>
        <w:rPr>
          <w:rFonts w:ascii="Arial" w:cs="Arial" w:eastAsia="Arial" w:hAnsi="Arial"/>
          <w:b/>
          <w:bCs/>
          <w:color w:val="1B3A6B"/>
          <w:sz w:val="24"/>
          <w:szCs w:val="24"/>
        </w:rPr>
        <w:t xml:space="preserve">1.2.5  Experience &amp; Internship Section</w:t>
      </w:r>
    </w:p>
    <w:p>
      <w:pPr>
        <w:pStyle w:val="ListParagraph"/>
        <w:numPr>
          <w:ilvl w:val="0"/>
          <w:numId w:val="2"/>
        </w:numPr>
        <w:spacing w:before="40" w:after="40"/>
      </w:pPr>
      <w:r>
        <w:rPr>
          <w:rFonts w:ascii="Arial" w:cs="Arial" w:eastAsia="Arial" w:hAnsi="Arial"/>
          <w:color w:val="1A1A2E"/>
          <w:sz w:val="20"/>
          <w:szCs w:val="20"/>
        </w:rPr>
        <w:t xml:space="preserve">Internship entries with company name, role, duration, and supervisor contact</w:t>
      </w:r>
    </w:p>
    <w:p>
      <w:pPr>
        <w:pStyle w:val="ListParagraph"/>
        <w:numPr>
          <w:ilvl w:val="0"/>
          <w:numId w:val="2"/>
        </w:numPr>
        <w:spacing w:before="40" w:after="40"/>
      </w:pPr>
      <w:r>
        <w:rPr>
          <w:rFonts w:ascii="Arial" w:cs="Arial" w:eastAsia="Arial" w:hAnsi="Arial"/>
          <w:color w:val="1A1A2E"/>
          <w:sz w:val="20"/>
          <w:szCs w:val="20"/>
        </w:rPr>
        <w:t xml:space="preserve">Company verification: system cross-checks company against registered employer database</w:t>
      </w:r>
    </w:p>
    <w:p>
      <w:pPr>
        <w:pStyle w:val="ListParagraph"/>
        <w:numPr>
          <w:ilvl w:val="0"/>
          <w:numId w:val="2"/>
        </w:numPr>
        <w:spacing w:before="40" w:after="40"/>
      </w:pPr>
      <w:r>
        <w:rPr>
          <w:rFonts w:ascii="Arial" w:cs="Arial" w:eastAsia="Arial" w:hAnsi="Arial"/>
          <w:color w:val="1A1A2E"/>
          <w:sz w:val="20"/>
          <w:szCs w:val="20"/>
        </w:rPr>
        <w:t xml:space="preserve">Offer letter upload required for formal internships</w:t>
      </w:r>
    </w:p>
    <w:p>
      <w:pPr>
        <w:pStyle w:val="ListParagraph"/>
        <w:numPr>
          <w:ilvl w:val="0"/>
          <w:numId w:val="2"/>
        </w:numPr>
        <w:spacing w:before="40" w:after="40"/>
      </w:pPr>
      <w:r>
        <w:rPr>
          <w:rFonts w:ascii="Arial" w:cs="Arial" w:eastAsia="Arial" w:hAnsi="Arial"/>
          <w:color w:val="1A1A2E"/>
          <w:sz w:val="20"/>
          <w:szCs w:val="20"/>
        </w:rPr>
        <w:t xml:space="preserve">Supervisor email confirmation sent — internship is marked 'Verified' only after response</w:t>
      </w:r>
    </w:p>
    <w:p>
      <w:pPr>
        <w:pStyle w:val="ListParagraph"/>
        <w:numPr>
          <w:ilvl w:val="0"/>
          <w:numId w:val="2"/>
        </w:numPr>
        <w:spacing w:before="40" w:after="40"/>
      </w:pPr>
      <w:r>
        <w:rPr>
          <w:rFonts w:ascii="Arial" w:cs="Arial" w:eastAsia="Arial" w:hAnsi="Arial"/>
          <w:color w:val="1A1A2E"/>
          <w:sz w:val="20"/>
          <w:szCs w:val="20"/>
        </w:rPr>
        <w:t xml:space="preserve">Unverified internships shown with a warning label to recruiters</w:t>
      </w:r>
    </w:p>
    <w:p>
      <w:r>
        <w:t xml:space="preserve"/>
      </w:r>
    </w:p>
    <w:p>
      <w:pPr>
        <w:pStyle w:val="Heading3"/>
        <w:spacing w:before="200" w:after="80"/>
      </w:pPr>
      <w:r>
        <w:rPr>
          <w:rFonts w:ascii="Arial" w:cs="Arial" w:eastAsia="Arial" w:hAnsi="Arial"/>
          <w:b/>
          <w:bCs/>
          <w:color w:val="1B3A6B"/>
          <w:sz w:val="24"/>
          <w:szCs w:val="24"/>
        </w:rPr>
        <w:t xml:space="preserve">1.2.6  Behavioral &amp; Communication Profile</w:t>
      </w:r>
    </w:p>
    <w:p>
      <w:pPr>
        <w:spacing w:before="60" w:after="80"/>
        <w:jc w:val="left"/>
      </w:pPr>
      <w:r>
        <w:rPr>
          <w:rFonts w:ascii="Arial" w:cs="Arial" w:eastAsia="Arial" w:hAnsi="Arial"/>
          <w:b w:val="false"/>
          <w:bCs w:val="false"/>
          <w:i w:val="false"/>
          <w:iCs w:val="false"/>
          <w:color w:val="1A1A2E"/>
          <w:sz w:val="20"/>
          <w:szCs w:val="20"/>
        </w:rPr>
        <w:t xml:space="preserve">This section is auto-generated from platform activity — it cannot be manually edited by the candidate:</w:t>
      </w:r>
    </w:p>
    <w:p>
      <w:pPr>
        <w:pStyle w:val="ListParagraph"/>
        <w:numPr>
          <w:ilvl w:val="0"/>
          <w:numId w:val="2"/>
        </w:numPr>
        <w:spacing w:before="40" w:after="40"/>
      </w:pPr>
      <w:r>
        <w:rPr>
          <w:rFonts w:ascii="Arial" w:cs="Arial" w:eastAsia="Arial" w:hAnsi="Arial"/>
          <w:color w:val="1A1A2E"/>
          <w:sz w:val="20"/>
          <w:szCs w:val="20"/>
        </w:rPr>
        <w:t xml:space="preserve">Group Discussion (GD) performance scores from automated voice GD rounds</w:t>
      </w:r>
    </w:p>
    <w:p>
      <w:pPr>
        <w:pStyle w:val="ListParagraph"/>
        <w:numPr>
          <w:ilvl w:val="0"/>
          <w:numId w:val="2"/>
        </w:numPr>
        <w:spacing w:before="40" w:after="40"/>
      </w:pPr>
      <w:r>
        <w:rPr>
          <w:rFonts w:ascii="Arial" w:cs="Arial" w:eastAsia="Arial" w:hAnsi="Arial"/>
          <w:color w:val="1A1A2E"/>
          <w:sz w:val="20"/>
          <w:szCs w:val="20"/>
        </w:rPr>
        <w:t xml:space="preserve">Communication Discipline Score — punctuality of joining sessions, completion rates</w:t>
      </w:r>
    </w:p>
    <w:p>
      <w:pPr>
        <w:pStyle w:val="ListParagraph"/>
        <w:numPr>
          <w:ilvl w:val="0"/>
          <w:numId w:val="2"/>
        </w:numPr>
        <w:spacing w:before="40" w:after="40"/>
      </w:pPr>
      <w:r>
        <w:rPr>
          <w:rFonts w:ascii="Arial" w:cs="Arial" w:eastAsia="Arial" w:hAnsi="Arial"/>
          <w:color w:val="1A1A2E"/>
          <w:sz w:val="20"/>
          <w:szCs w:val="20"/>
        </w:rPr>
        <w:t xml:space="preserve">Interrupt frequency in GD rounds (logged, not subjective)</w:t>
      </w:r>
    </w:p>
    <w:p>
      <w:pPr>
        <w:pStyle w:val="ListParagraph"/>
        <w:numPr>
          <w:ilvl w:val="0"/>
          <w:numId w:val="2"/>
        </w:numPr>
        <w:spacing w:before="40" w:after="40"/>
      </w:pPr>
      <w:r>
        <w:rPr>
          <w:rFonts w:ascii="Arial" w:cs="Arial" w:eastAsia="Arial" w:hAnsi="Arial"/>
          <w:color w:val="1A1A2E"/>
          <w:sz w:val="20"/>
          <w:szCs w:val="20"/>
        </w:rPr>
        <w:t xml:space="preserve">Profile completion consistency (does the candidate keep their profile updated?)</w:t>
      </w:r>
    </w:p>
    <w:p>
      <w:pPr>
        <w:pStyle w:val="ListParagraph"/>
        <w:numPr>
          <w:ilvl w:val="0"/>
          <w:numId w:val="2"/>
        </w:numPr>
        <w:spacing w:before="40" w:after="40"/>
      </w:pPr>
      <w:r>
        <w:rPr>
          <w:rFonts w:ascii="Arial" w:cs="Arial" w:eastAsia="Arial" w:hAnsi="Arial"/>
          <w:color w:val="1A1A2E"/>
          <w:sz w:val="20"/>
          <w:szCs w:val="20"/>
        </w:rPr>
        <w:t xml:space="preserve">Response time to recruiter messages (shows professional maturity)</w:t>
      </w:r>
    </w:p>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2</w:t>
            </w:r>
          </w:p>
          <w:p>
            <w:pPr>
              <w:jc w:val="left"/>
            </w:pPr>
            <w:r>
              <w:rPr>
                <w:rFonts w:ascii="Arial" w:cs="Arial" w:eastAsia="Arial" w:hAnsi="Arial"/>
                <w:i/>
                <w:iCs/>
                <w:color w:val="AACCEE"/>
                <w:sz w:val="19"/>
                <w:szCs w:val="19"/>
              </w:rPr>
              <w:t xml:space="preserve">Intelligent Job Discovery &amp; Search Engine</w:t>
            </w:r>
          </w:p>
        </w:tc>
      </w:tr>
    </w:tbl>
    <w:p>
      <w:r>
        <w:t xml:space="preserve"/>
      </w:r>
    </w:p>
    <w:p>
      <w:pPr>
        <w:pStyle w:val="Heading2"/>
        <w:spacing w:before="280" w:after="120"/>
      </w:pPr>
      <w:r>
        <w:rPr>
          <w:rFonts w:ascii="Arial" w:cs="Arial" w:eastAsia="Arial" w:hAnsi="Arial"/>
          <w:b/>
          <w:bCs/>
          <w:color w:val="2E86AB"/>
          <w:sz w:val="28"/>
          <w:szCs w:val="28"/>
        </w:rPr>
        <w:t xml:space="preserve">2.1  AI-Powered Job Feed</w:t>
      </w:r>
    </w:p>
    <w:p>
      <w:pPr>
        <w:spacing w:before="60" w:after="80"/>
        <w:jc w:val="left"/>
      </w:pPr>
      <w:r>
        <w:rPr>
          <w:rFonts w:ascii="Arial" w:cs="Arial" w:eastAsia="Arial" w:hAnsi="Arial"/>
          <w:b w:val="false"/>
          <w:bCs w:val="false"/>
          <w:i w:val="false"/>
          <w:iCs w:val="false"/>
          <w:color w:val="1A1A2E"/>
          <w:sz w:val="20"/>
          <w:szCs w:val="20"/>
        </w:rPr>
        <w:t xml:space="preserve">The default job feed is not a generic list sorted by 'latest'. It is a personalized, ranked feed generated by the Matching Engine that considers the candidate's complete profile, past behavior, and real-time market signals.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pPr>
              <w:spacing w:before="60" w:after="80"/>
            </w:pPr>
            <w:r>
              <w:rPr>
                <w:rFonts w:ascii="Arial" w:cs="Arial" w:eastAsia="Arial" w:hAnsi="Arial"/>
                <w:b/>
                <w:bCs/>
                <w:color w:val="1B3A6B"/>
                <w:sz w:val="22"/>
                <w:szCs w:val="22"/>
              </w:rPr>
              <w:t xml:space="preserve">◆  Feed Ranking Algorithm — Signals Used</w:t>
            </w:r>
          </w:p>
          <w:p>
            <w:pPr>
              <w:pStyle w:val="ListParagraph"/>
              <w:numPr>
                <w:ilvl w:val="0"/>
                <w:numId w:val="2"/>
              </w:numPr>
              <w:spacing w:before="30" w:after="30"/>
            </w:pPr>
            <w:r>
              <w:rPr>
                <w:rFonts w:ascii="Arial" w:cs="Arial" w:eastAsia="Arial" w:hAnsi="Arial"/>
                <w:color w:val="1A1A2E"/>
                <w:sz w:val="19"/>
                <w:szCs w:val="19"/>
              </w:rPr>
              <w:t xml:space="preserve">Skill match depth: Does the candidate actually have the required skills with evidence, not just keywords?</w:t>
            </w:r>
          </w:p>
          <w:p>
            <w:pPr>
              <w:pStyle w:val="ListParagraph"/>
              <w:numPr>
                <w:ilvl w:val="0"/>
                <w:numId w:val="2"/>
              </w:numPr>
              <w:spacing w:before="30" w:after="30"/>
            </w:pPr>
            <w:r>
              <w:rPr>
                <w:rFonts w:ascii="Arial" w:cs="Arial" w:eastAsia="Arial" w:hAnsi="Arial"/>
                <w:color w:val="1A1A2E"/>
                <w:sz w:val="19"/>
                <w:szCs w:val="19"/>
              </w:rPr>
              <w:t xml:space="preserve">Academic eligibility: CGPA cutoffs, degree type, branch, passing year — auto-filtered before display</w:t>
            </w:r>
          </w:p>
          <w:p>
            <w:pPr>
              <w:pStyle w:val="ListParagraph"/>
              <w:numPr>
                <w:ilvl w:val="0"/>
                <w:numId w:val="2"/>
              </w:numPr>
              <w:spacing w:before="30" w:after="30"/>
            </w:pPr>
            <w:r>
              <w:rPr>
                <w:rFonts w:ascii="Arial" w:cs="Arial" w:eastAsia="Arial" w:hAnsi="Arial"/>
                <w:color w:val="1A1A2E"/>
                <w:sz w:val="19"/>
                <w:szCs w:val="19"/>
              </w:rPr>
              <w:t xml:space="preserve">Intelligence alignment: Does the job role match the candidate's detected intelligence profile?</w:t>
            </w:r>
          </w:p>
          <w:p>
            <w:pPr>
              <w:pStyle w:val="ListParagraph"/>
              <w:numPr>
                <w:ilvl w:val="0"/>
                <w:numId w:val="2"/>
              </w:numPr>
              <w:spacing w:before="30" w:after="30"/>
            </w:pPr>
            <w:r>
              <w:rPr>
                <w:rFonts w:ascii="Arial" w:cs="Arial" w:eastAsia="Arial" w:hAnsi="Arial"/>
                <w:color w:val="1A1A2E"/>
                <w:sz w:val="19"/>
                <w:szCs w:val="19"/>
              </w:rPr>
              <w:t xml:space="preserve">Geographic preference: Candidate's stated location + willingness to relocate</w:t>
            </w:r>
          </w:p>
          <w:p>
            <w:pPr>
              <w:pStyle w:val="ListParagraph"/>
              <w:numPr>
                <w:ilvl w:val="0"/>
                <w:numId w:val="2"/>
              </w:numPr>
              <w:spacing w:before="30" w:after="30"/>
            </w:pPr>
            <w:r>
              <w:rPr>
                <w:rFonts w:ascii="Arial" w:cs="Arial" w:eastAsia="Arial" w:hAnsi="Arial"/>
                <w:color w:val="1A1A2E"/>
                <w:sz w:val="19"/>
                <w:szCs w:val="19"/>
              </w:rPr>
              <w:t xml:space="preserve">Salary band alignment: Job salary range vs. candidate's expected CTC</w:t>
            </w:r>
          </w:p>
          <w:p>
            <w:pPr>
              <w:pStyle w:val="ListParagraph"/>
              <w:numPr>
                <w:ilvl w:val="0"/>
                <w:numId w:val="2"/>
              </w:numPr>
              <w:spacing w:before="30" w:after="30"/>
            </w:pPr>
            <w:r>
              <w:rPr>
                <w:rFonts w:ascii="Arial" w:cs="Arial" w:eastAsia="Arial" w:hAnsi="Arial"/>
                <w:color w:val="1A1A2E"/>
                <w:sz w:val="19"/>
                <w:szCs w:val="19"/>
              </w:rPr>
              <w:t xml:space="preserve">Company trust score: SME reliability score, offer fulfillment history, recruiter responsiveness data</w:t>
            </w:r>
          </w:p>
          <w:p>
            <w:pPr>
              <w:pStyle w:val="ListParagraph"/>
              <w:numPr>
                <w:ilvl w:val="0"/>
                <w:numId w:val="2"/>
              </w:numPr>
              <w:spacing w:before="30" w:after="30"/>
            </w:pPr>
            <w:r>
              <w:rPr>
                <w:rFonts w:ascii="Arial" w:cs="Arial" w:eastAsia="Arial" w:hAnsi="Arial"/>
                <w:color w:val="1A1A2E"/>
                <w:sz w:val="19"/>
                <w:szCs w:val="19"/>
              </w:rPr>
              <w:t xml:space="preserve">Application success rate: How well has this candidate performed in similar roles before?</w:t>
            </w:r>
          </w:p>
          <w:p>
            <w:pPr>
              <w:pStyle w:val="ListParagraph"/>
              <w:numPr>
                <w:ilvl w:val="0"/>
                <w:numId w:val="2"/>
              </w:numPr>
              <w:spacing w:before="30" w:after="30"/>
            </w:pPr>
            <w:r>
              <w:rPr>
                <w:rFonts w:ascii="Arial" w:cs="Arial" w:eastAsia="Arial" w:hAnsi="Arial"/>
                <w:color w:val="1A1A2E"/>
                <w:sz w:val="19"/>
                <w:szCs w:val="19"/>
              </w:rPr>
              <w:t xml:space="preserve">Freshness factor: Newer jobs given slight weight unless older jobs are a significantly better match</w:t>
            </w:r>
          </w:p>
        </w:tc>
      </w:tr>
    </w:tbl>
    <w:p>
      <w:r>
        <w:t xml:space="preserve"/>
      </w:r>
    </w:p>
    <w:p>
      <w:pPr>
        <w:pStyle w:val="Heading2"/>
        <w:spacing w:before="280" w:after="120"/>
      </w:pPr>
      <w:r>
        <w:rPr>
          <w:rFonts w:ascii="Arial" w:cs="Arial" w:eastAsia="Arial" w:hAnsi="Arial"/>
          <w:b/>
          <w:bCs/>
          <w:color w:val="2E86AB"/>
          <w:sz w:val="28"/>
          <w:szCs w:val="28"/>
        </w:rPr>
        <w:t xml:space="preserve">2.2  Advanced Search &amp; Filters</w:t>
      </w:r>
    </w:p>
    <w:p>
      <w:pPr>
        <w:spacing w:before="60" w:after="80"/>
        <w:jc w:val="left"/>
      </w:pPr>
      <w:r>
        <w:rPr>
          <w:rFonts w:ascii="Arial" w:cs="Arial" w:eastAsia="Arial" w:hAnsi="Arial"/>
          <w:b w:val="false"/>
          <w:bCs w:val="false"/>
          <w:i w:val="false"/>
          <w:iCs w:val="false"/>
          <w:color w:val="1A1A2E"/>
          <w:sz w:val="20"/>
          <w:szCs w:val="20"/>
        </w:rPr>
        <w:t xml:space="preserve">Beyond the personalized feed, candidates can run structured job searches using a powerful filter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Filter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UI Control</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Location Filter</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City, state, region, or 'Remote Only' — with exact commute radius option</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Multi-select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Role Category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Engineering, Sales, Design, Finance, Operations, etc.</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Multi-select with search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Salary Band</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Min-Max CTC slider — only shows verified salary listings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Range slider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Company Type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Product company, service company, startup, SME, MNC, government PSU</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Multi-select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Company Trust Tier</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Tier 1 (fully verified) to Tier 3 (basic listed) — filters by reliability</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Single-select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Employment Type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Full-time, internship, contract, part-time, freelance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Multi-select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Skill Match %</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Show only jobs where candidate matches at least X% of required skills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Slider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GD Required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Filter jobs that include automated Voice GD round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Toggle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Offer History</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Filter companies with &lt;10% offer withdrawal rate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Toggle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Institute Approved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Show only companies that have been approved by candidate's institute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Toggle</w:t>
            </w:r>
          </w:p>
        </w:tc>
      </w:tr>
    </w:tbl>
    <w:p>
      <w:r>
        <w:t xml:space="preserve"/>
      </w:r>
    </w:p>
    <w:p>
      <w:pPr>
        <w:pStyle w:val="Heading2"/>
        <w:spacing w:before="280" w:after="120"/>
      </w:pPr>
      <w:r>
        <w:rPr>
          <w:rFonts w:ascii="Arial" w:cs="Arial" w:eastAsia="Arial" w:hAnsi="Arial"/>
          <w:b/>
          <w:bCs/>
          <w:color w:val="2E86AB"/>
          <w:sz w:val="28"/>
          <w:szCs w:val="28"/>
        </w:rPr>
        <w:t xml:space="preserve">2.3  Company Intelligence Cards</w:t>
      </w:r>
    </w:p>
    <w:p>
      <w:pPr>
        <w:spacing w:before="60" w:after="80"/>
        <w:jc w:val="left"/>
      </w:pPr>
      <w:r>
        <w:rPr>
          <w:rFonts w:ascii="Arial" w:cs="Arial" w:eastAsia="Arial" w:hAnsi="Arial"/>
          <w:b w:val="false"/>
          <w:bCs w:val="false"/>
          <w:i w:val="false"/>
          <w:iCs w:val="false"/>
          <w:color w:val="1A1A2E"/>
          <w:sz w:val="20"/>
          <w:szCs w:val="20"/>
        </w:rPr>
        <w:t xml:space="preserve">Every job listing is displayed with an enriched Company Intelligence Card that shows far more than company name and logo. Candidates can make informed decisions before applying:</w:t>
      </w:r>
    </w:p>
    <w:p>
      <w:r>
        <w:t xml:space="preserve"/>
      </w:r>
    </w:p>
    <w:p>
      <w:pPr>
        <w:pStyle w:val="ListParagraph"/>
        <w:numPr>
          <w:ilvl w:val="0"/>
          <w:numId w:val="2"/>
        </w:numPr>
        <w:spacing w:before="40" w:after="40"/>
      </w:pPr>
      <w:r>
        <w:rPr>
          <w:rFonts w:ascii="Arial" w:cs="Arial" w:eastAsia="Arial" w:hAnsi="Arial"/>
          <w:color w:val="1A1A2E"/>
          <w:sz w:val="20"/>
          <w:szCs w:val="20"/>
        </w:rPr>
        <w:t xml:space="preserve">Trust Score (0–100): Composite score from offer fulfillment rate, recruiter response time, salary accuracy, and post-joining retention data</w:t>
      </w:r>
    </w:p>
    <w:p>
      <w:pPr>
        <w:pStyle w:val="ListParagraph"/>
        <w:numPr>
          <w:ilvl w:val="0"/>
          <w:numId w:val="2"/>
        </w:numPr>
        <w:spacing w:before="40" w:after="40"/>
      </w:pPr>
      <w:r>
        <w:rPr>
          <w:rFonts w:ascii="Arial" w:cs="Arial" w:eastAsia="Arial" w:hAnsi="Arial"/>
          <w:color w:val="1A1A2E"/>
          <w:sz w:val="20"/>
          <w:szCs w:val="20"/>
        </w:rPr>
        <w:t xml:space="preserve">Offer Fulfillment Rate: What % of issued offers were actually honored in the last 2 years</w:t>
      </w:r>
    </w:p>
    <w:p>
      <w:pPr>
        <w:pStyle w:val="ListParagraph"/>
        <w:numPr>
          <w:ilvl w:val="0"/>
          <w:numId w:val="2"/>
        </w:numPr>
        <w:spacing w:before="40" w:after="40"/>
      </w:pPr>
      <w:r>
        <w:rPr>
          <w:rFonts w:ascii="Arial" w:cs="Arial" w:eastAsia="Arial" w:hAnsi="Arial"/>
          <w:color w:val="1A1A2E"/>
          <w:sz w:val="20"/>
          <w:szCs w:val="20"/>
        </w:rPr>
        <w:t xml:space="preserve">Average Hiring Time: From application to offer — so candidates can plan timelines</w:t>
      </w:r>
    </w:p>
    <w:p>
      <w:pPr>
        <w:pStyle w:val="ListParagraph"/>
        <w:numPr>
          <w:ilvl w:val="0"/>
          <w:numId w:val="2"/>
        </w:numPr>
        <w:spacing w:before="40" w:after="40"/>
      </w:pPr>
      <w:r>
        <w:rPr>
          <w:rFonts w:ascii="Arial" w:cs="Arial" w:eastAsia="Arial" w:hAnsi="Arial"/>
          <w:color w:val="1A1A2E"/>
          <w:sz w:val="20"/>
          <w:szCs w:val="20"/>
        </w:rPr>
        <w:t xml:space="preserve">Interview Process Transparency: Number of rounds, types (technical, HR, GD), typical duration</w:t>
      </w:r>
    </w:p>
    <w:p>
      <w:pPr>
        <w:pStyle w:val="ListParagraph"/>
        <w:numPr>
          <w:ilvl w:val="0"/>
          <w:numId w:val="2"/>
        </w:numPr>
        <w:spacing w:before="40" w:after="40"/>
      </w:pPr>
      <w:r>
        <w:rPr>
          <w:rFonts w:ascii="Arial" w:cs="Arial" w:eastAsia="Arial" w:hAnsi="Arial"/>
          <w:color w:val="1A1A2E"/>
          <w:sz w:val="20"/>
          <w:szCs w:val="20"/>
        </w:rPr>
        <w:t xml:space="preserve">Salary Accuracy Rating: How closely actual CTC matched advertised CTC (based on post-joining reports)</w:t>
      </w:r>
    </w:p>
    <w:p>
      <w:pPr>
        <w:pStyle w:val="ListParagraph"/>
        <w:numPr>
          <w:ilvl w:val="0"/>
          <w:numId w:val="2"/>
        </w:numPr>
        <w:spacing w:before="40" w:after="40"/>
      </w:pPr>
      <w:r>
        <w:rPr>
          <w:rFonts w:ascii="Arial" w:cs="Arial" w:eastAsia="Arial" w:hAnsi="Arial"/>
          <w:color w:val="1A1A2E"/>
          <w:sz w:val="20"/>
          <w:szCs w:val="20"/>
        </w:rPr>
        <w:t xml:space="preserve">Student Reviews: Anonymous, moderated reviews from placed candidates (shown with batch year, not names)</w:t>
      </w:r>
    </w:p>
    <w:p>
      <w:pPr>
        <w:pStyle w:val="ListParagraph"/>
        <w:numPr>
          <w:ilvl w:val="0"/>
          <w:numId w:val="2"/>
        </w:numPr>
        <w:spacing w:before="40" w:after="40"/>
      </w:pPr>
      <w:r>
        <w:rPr>
          <w:rFonts w:ascii="Arial" w:cs="Arial" w:eastAsia="Arial" w:hAnsi="Arial"/>
          <w:color w:val="1A1A2E"/>
          <w:sz w:val="20"/>
          <w:szCs w:val="20"/>
        </w:rPr>
        <w:t xml:space="preserve">Recruiter Contact Transparency: Is a named recruiter assigned, or is it a generic HR inbox?</w:t>
      </w:r>
    </w:p>
    <w:p>
      <w:pPr>
        <w:pStyle w:val="ListParagraph"/>
        <w:numPr>
          <w:ilvl w:val="0"/>
          <w:numId w:val="2"/>
        </w:numPr>
        <w:spacing w:before="40" w:after="40"/>
      </w:pPr>
      <w:r>
        <w:rPr>
          <w:rFonts w:ascii="Arial" w:cs="Arial" w:eastAsia="Arial" w:hAnsi="Arial"/>
          <w:color w:val="1A1A2E"/>
          <w:sz w:val="20"/>
          <w:szCs w:val="20"/>
        </w:rPr>
        <w:t xml:space="preserve">SME Risk Flag: If company is an SME with &lt;3 years of hiring history, a risk flag is shown with context</w:t>
      </w:r>
    </w:p>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3</w:t>
            </w:r>
          </w:p>
          <w:p>
            <w:pPr>
              <w:jc w:val="left"/>
            </w:pPr>
            <w:r>
              <w:rPr>
                <w:rFonts w:ascii="Arial" w:cs="Arial" w:eastAsia="Arial" w:hAnsi="Arial"/>
                <w:i/>
                <w:iCs/>
                <w:color w:val="AACCEE"/>
                <w:sz w:val="19"/>
                <w:szCs w:val="19"/>
              </w:rPr>
              <w:t xml:space="preserve">Application Engine &amp; Tracking System</w:t>
            </w:r>
          </w:p>
        </w:tc>
      </w:tr>
    </w:tbl>
    <w:p>
      <w:r>
        <w:t xml:space="preserve"/>
      </w:r>
    </w:p>
    <w:p>
      <w:pPr>
        <w:pStyle w:val="Heading2"/>
        <w:spacing w:before="280" w:after="120"/>
      </w:pPr>
      <w:r>
        <w:rPr>
          <w:rFonts w:ascii="Arial" w:cs="Arial" w:eastAsia="Arial" w:hAnsi="Arial"/>
          <w:b/>
          <w:bCs/>
          <w:color w:val="2E86AB"/>
          <w:sz w:val="28"/>
          <w:szCs w:val="28"/>
        </w:rPr>
        <w:t xml:space="preserve">3.1  Smart Application Flow</w:t>
      </w:r>
    </w:p>
    <w:p>
      <w:pPr>
        <w:spacing w:before="60" w:after="80"/>
        <w:jc w:val="left"/>
      </w:pPr>
      <w:r>
        <w:rPr>
          <w:rFonts w:ascii="Arial" w:cs="Arial" w:eastAsia="Arial" w:hAnsi="Arial"/>
          <w:b w:val="false"/>
          <w:bCs w:val="false"/>
          <w:i w:val="false"/>
          <w:iCs w:val="false"/>
          <w:color w:val="1A1A2E"/>
          <w:sz w:val="20"/>
          <w:szCs w:val="20"/>
        </w:rPr>
        <w:t xml:space="preserve">Applying for a job is not a single-click event. The system ensures that every application is intentional, complete, and tailored — reducing the 'spray and pray' behavior that wastes both candidate and recruiter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pPr>
              <w:spacing w:before="60" w:after="80"/>
            </w:pPr>
            <w:r>
              <w:rPr>
                <w:rFonts w:ascii="Arial" w:cs="Arial" w:eastAsia="Arial" w:hAnsi="Arial"/>
                <w:b/>
                <w:bCs/>
                <w:color w:val="1B3A6B"/>
                <w:sz w:val="22"/>
                <w:szCs w:val="22"/>
              </w:rPr>
              <w:t xml:space="preserve">◆  Pre-Application Eligibility Check (Auto-Enforced)</w:t>
            </w:r>
          </w:p>
          <w:p>
            <w:pPr>
              <w:pStyle w:val="ListParagraph"/>
              <w:numPr>
                <w:ilvl w:val="0"/>
                <w:numId w:val="2"/>
              </w:numPr>
              <w:spacing w:before="30" w:after="30"/>
            </w:pPr>
            <w:r>
              <w:rPr>
                <w:rFonts w:ascii="Arial" w:cs="Arial" w:eastAsia="Arial" w:hAnsi="Arial"/>
                <w:color w:val="1A1A2E"/>
                <w:sz w:val="19"/>
                <w:szCs w:val="19"/>
              </w:rPr>
              <w:t xml:space="preserve">CGPA gate: If employer sets CGPA cutoff of 7.0, candidates below this threshold see the job but cannot apply — the system shows the gap transparently rather than silently rejecting after application.</w:t>
            </w:r>
          </w:p>
          <w:p>
            <w:pPr>
              <w:pStyle w:val="ListParagraph"/>
              <w:numPr>
                <w:ilvl w:val="0"/>
                <w:numId w:val="2"/>
              </w:numPr>
              <w:spacing w:before="30" w:after="30"/>
            </w:pPr>
            <w:r>
              <w:rPr>
                <w:rFonts w:ascii="Arial" w:cs="Arial" w:eastAsia="Arial" w:hAnsi="Arial"/>
                <w:color w:val="1A1A2E"/>
                <w:sz w:val="19"/>
                <w:szCs w:val="19"/>
              </w:rPr>
              <w:t xml:space="preserve">Active backlog check: If candidate has active arrears, jobs with 'No active backlogs' requirements are auto-blocked for application.</w:t>
            </w:r>
          </w:p>
          <w:p>
            <w:pPr>
              <w:pStyle w:val="ListParagraph"/>
              <w:numPr>
                <w:ilvl w:val="0"/>
                <w:numId w:val="2"/>
              </w:numPr>
              <w:spacing w:before="30" w:after="30"/>
            </w:pPr>
            <w:r>
              <w:rPr>
                <w:rFonts w:ascii="Arial" w:cs="Arial" w:eastAsia="Arial" w:hAnsi="Arial"/>
                <w:color w:val="1A1A2E"/>
                <w:sz w:val="19"/>
                <w:szCs w:val="19"/>
              </w:rPr>
              <w:t xml:space="preserve">Skill gap display: Before applying, candidate sees a Skill Gap Report — which required skills they have evidence for and which they are missing.</w:t>
            </w:r>
          </w:p>
          <w:p>
            <w:pPr>
              <w:pStyle w:val="ListParagraph"/>
              <w:numPr>
                <w:ilvl w:val="0"/>
                <w:numId w:val="2"/>
              </w:numPr>
              <w:spacing w:before="30" w:after="30"/>
            </w:pPr>
            <w:r>
              <w:rPr>
                <w:rFonts w:ascii="Arial" w:cs="Arial" w:eastAsia="Arial" w:hAnsi="Arial"/>
                <w:color w:val="1A1A2E"/>
                <w:sz w:val="19"/>
                <w:szCs w:val="19"/>
              </w:rPr>
              <w:t xml:space="preserve">Profile completeness gate: Applications are blocked unless the profile is at least 70% complete. This ensures recruiters receive useful, complete profiles.</w:t>
            </w:r>
          </w:p>
          <w:p>
            <w:pPr>
              <w:pStyle w:val="ListParagraph"/>
              <w:numPr>
                <w:ilvl w:val="0"/>
                <w:numId w:val="2"/>
              </w:numPr>
              <w:spacing w:before="30" w:after="30"/>
            </w:pPr>
            <w:r>
              <w:rPr>
                <w:rFonts w:ascii="Arial" w:cs="Arial" w:eastAsia="Arial" w:hAnsi="Arial"/>
                <w:color w:val="1A1A2E"/>
                <w:sz w:val="19"/>
                <w:szCs w:val="19"/>
              </w:rPr>
              <w:t xml:space="preserve">Duplicate application prevention: Cannot apply to same company for the same role twice within 90 days.</w:t>
            </w:r>
          </w:p>
          <w:p>
            <w:pPr>
              <w:pStyle w:val="ListParagraph"/>
              <w:numPr>
                <w:ilvl w:val="0"/>
                <w:numId w:val="2"/>
              </w:numPr>
              <w:spacing w:before="30" w:after="30"/>
            </w:pPr>
            <w:r>
              <w:rPr>
                <w:rFonts w:ascii="Arial" w:cs="Arial" w:eastAsia="Arial" w:hAnsi="Arial"/>
                <w:color w:val="1A1A2E"/>
                <w:sz w:val="19"/>
                <w:szCs w:val="19"/>
              </w:rPr>
              <w:t xml:space="preserve">Institute blacklist check: If the candidate's institute has blacklisted a company, a warning is shown with the reason.</w:t>
            </w:r>
          </w:p>
        </w:tc>
      </w:tr>
    </w:tbl>
    <w:p>
      <w:r>
        <w:t xml:space="preserve"/>
      </w:r>
    </w:p>
    <w:p>
      <w:pPr>
        <w:pStyle w:val="Heading2"/>
        <w:spacing w:before="280" w:after="120"/>
      </w:pPr>
      <w:r>
        <w:rPr>
          <w:rFonts w:ascii="Arial" w:cs="Arial" w:eastAsia="Arial" w:hAnsi="Arial"/>
          <w:b/>
          <w:bCs/>
          <w:color w:val="2E86AB"/>
          <w:sz w:val="28"/>
          <w:szCs w:val="28"/>
        </w:rPr>
        <w:t xml:space="preserve">3.2  Tailored Application Package</w:t>
      </w:r>
    </w:p>
    <w:p>
      <w:pPr>
        <w:spacing w:before="60" w:after="80"/>
        <w:jc w:val="left"/>
      </w:pPr>
      <w:r>
        <w:rPr>
          <w:rFonts w:ascii="Arial" w:cs="Arial" w:eastAsia="Arial" w:hAnsi="Arial"/>
          <w:b w:val="false"/>
          <w:bCs w:val="false"/>
          <w:i w:val="false"/>
          <w:iCs w:val="false"/>
          <w:color w:val="1A1A2E"/>
          <w:sz w:val="20"/>
          <w:szCs w:val="20"/>
        </w:rPr>
        <w:t xml:space="preserve">Instead of sending a generic resume, the system auto-generates a tailored application package for each job:</w:t>
      </w:r>
    </w:p>
    <w:p>
      <w:r>
        <w:t xml:space="preserve"/>
      </w:r>
    </w:p>
    <w:p>
      <w:pPr>
        <w:pStyle w:val="ListParagraph"/>
        <w:numPr>
          <w:ilvl w:val="0"/>
          <w:numId w:val="2"/>
        </w:numPr>
        <w:spacing w:before="40" w:after="40"/>
      </w:pPr>
      <w:r>
        <w:rPr>
          <w:rFonts w:ascii="Arial" w:cs="Arial" w:eastAsia="Arial" w:hAnsi="Arial"/>
          <w:color w:val="1A1A2E"/>
          <w:sz w:val="20"/>
          <w:szCs w:val="20"/>
        </w:rPr>
        <w:t xml:space="preserve">Dynamic Resume Generation: Profile data is compiled into a clean, recruiter-optimized resume PDF — no manual formatting needed. The resume highlights skills most relevant to the specific job applied for.</w:t>
      </w:r>
    </w:p>
    <w:p>
      <w:pPr>
        <w:pStyle w:val="ListParagraph"/>
        <w:numPr>
          <w:ilvl w:val="0"/>
          <w:numId w:val="2"/>
        </w:numPr>
        <w:spacing w:before="40" w:after="40"/>
      </w:pPr>
      <w:r>
        <w:rPr>
          <w:rFonts w:ascii="Arial" w:cs="Arial" w:eastAsia="Arial" w:hAnsi="Arial"/>
          <w:color w:val="1A1A2E"/>
          <w:sz w:val="20"/>
          <w:szCs w:val="20"/>
        </w:rPr>
        <w:t xml:space="preserve">Role-Specific Skill Summary: A one-page summary that maps the candidate's verified skills to the exact job requirements, showing match percentage per requirement.</w:t>
      </w:r>
    </w:p>
    <w:p>
      <w:pPr>
        <w:pStyle w:val="ListParagraph"/>
        <w:numPr>
          <w:ilvl w:val="0"/>
          <w:numId w:val="2"/>
        </w:numPr>
        <w:spacing w:before="40" w:after="40"/>
      </w:pPr>
      <w:r>
        <w:rPr>
          <w:rFonts w:ascii="Arial" w:cs="Arial" w:eastAsia="Arial" w:hAnsi="Arial"/>
          <w:color w:val="1A1A2E"/>
          <w:sz w:val="20"/>
          <w:szCs w:val="20"/>
        </w:rPr>
        <w:t xml:space="preserve">Cover Note Builder: A structured, guided cover note (not a free-text letter) that prompts the candidate to answer: Why this company? What specific experience applies? What value do you bring?</w:t>
      </w:r>
    </w:p>
    <w:p>
      <w:pPr>
        <w:pStyle w:val="ListParagraph"/>
        <w:numPr>
          <w:ilvl w:val="0"/>
          <w:numId w:val="2"/>
        </w:numPr>
        <w:spacing w:before="40" w:after="40"/>
      </w:pPr>
      <w:r>
        <w:rPr>
          <w:rFonts w:ascii="Arial" w:cs="Arial" w:eastAsia="Arial" w:hAnsi="Arial"/>
          <w:color w:val="1A1A2E"/>
          <w:sz w:val="20"/>
          <w:szCs w:val="20"/>
        </w:rPr>
        <w:t xml:space="preserve">Portfolio Attachments: Candidate can select which projects to include. The system recommends the most relevant ones based on job requirements.</w:t>
      </w:r>
    </w:p>
    <w:p>
      <w:r>
        <w:t xml:space="preserve"/>
      </w:r>
    </w:p>
    <w:p>
      <w:pPr>
        <w:pStyle w:val="Heading2"/>
        <w:spacing w:before="280" w:after="120"/>
      </w:pPr>
      <w:r>
        <w:rPr>
          <w:rFonts w:ascii="Arial" w:cs="Arial" w:eastAsia="Arial" w:hAnsi="Arial"/>
          <w:b/>
          <w:bCs/>
          <w:color w:val="2E86AB"/>
          <w:sz w:val="28"/>
          <w:szCs w:val="28"/>
        </w:rPr>
        <w:t xml:space="preserve">3.3  Application Status Tracking</w:t>
      </w:r>
    </w:p>
    <w:p>
      <w:pPr>
        <w:spacing w:before="60" w:after="80"/>
        <w:jc w:val="left"/>
      </w:pPr>
      <w:r>
        <w:rPr>
          <w:rFonts w:ascii="Arial" w:cs="Arial" w:eastAsia="Arial" w:hAnsi="Arial"/>
          <w:b w:val="false"/>
          <w:bCs w:val="false"/>
          <w:i w:val="false"/>
          <w:iCs w:val="false"/>
          <w:color w:val="1A1A2E"/>
          <w:sz w:val="20"/>
          <w:szCs w:val="20"/>
        </w:rPr>
        <w:t xml:space="preserve">The Application Tracker is a real-time dashboard showing the status of every application. Candidates never need to wonder what happened to their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Application Status</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Applied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Application submitted, awaiting recruiter review</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Under Review</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Recruiter has opened the profile — timestamp shown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Shortlisted for GD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Candidate selected for Voice Group Discussion round — schedule shown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GD Completed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GD round done, score displayed, awaiting next step</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Technical Round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Scheduled for technical interview — date, time, mode shown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HR Round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Moved to HR round — recruiter name and contact shown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Offer Initiated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Recruiter has begun offer creation — timeline estimate given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Offer Received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Formal offer letter available for review and acceptance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Offer Accepted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Candidate accepted — onboarding process begins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Rejected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Application not progressed — reason category shown (not vague)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Ghosted Alert</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No response from recruiter for 14+ days — escalation option unlocked</w:t>
            </w:r>
          </w:p>
        </w:tc>
      </w:tr>
    </w:tbl>
    <w:p>
      <w:r>
        <w:t xml:space="preserve"/>
      </w:r>
    </w:p>
    <w:p>
      <w:pPr>
        <w:spacing w:before="60" w:after="80"/>
        <w:jc w:val="left"/>
      </w:pPr>
      <w:r>
        <w:rPr>
          <w:rFonts w:ascii="Arial" w:cs="Arial" w:eastAsia="Arial" w:hAnsi="Arial"/>
          <w:b w:val="false"/>
          <w:bCs w:val="false"/>
          <w:i w:val="false"/>
          <w:iCs w:val="false"/>
          <w:color w:val="1A1A2E"/>
          <w:sz w:val="20"/>
          <w:szCs w:val="20"/>
        </w:rPr>
        <w:t xml:space="preserve">Ghosting Protection: If a recruiter does not update the application status for 14+ days after shortlisting, the system auto-sends a reminder to the recruiter. After 21 days, the candidate is notified that the company is non-responsive, and the recruiter's ghosting incident is logged against the company's trust score.</w:t>
      </w:r>
    </w:p>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4</w:t>
            </w:r>
          </w:p>
          <w:p>
            <w:pPr>
              <w:jc w:val="left"/>
            </w:pPr>
            <w:r>
              <w:rPr>
                <w:rFonts w:ascii="Arial" w:cs="Arial" w:eastAsia="Arial" w:hAnsi="Arial"/>
                <w:i/>
                <w:iCs/>
                <w:color w:val="AACCEE"/>
                <w:sz w:val="19"/>
                <w:szCs w:val="19"/>
              </w:rPr>
              <w:t xml:space="preserve">Automated Voice Group Discussion (GD) System</w:t>
            </w:r>
          </w:p>
        </w:tc>
      </w:tr>
    </w:tbl>
    <w:p>
      <w:r>
        <w:t xml:space="preserve"/>
      </w:r>
    </w:p>
    <w:p>
      <w:pPr>
        <w:pStyle w:val="Heading2"/>
        <w:spacing w:before="280" w:after="120"/>
      </w:pPr>
      <w:r>
        <w:rPr>
          <w:rFonts w:ascii="Arial" w:cs="Arial" w:eastAsia="Arial" w:hAnsi="Arial"/>
          <w:b/>
          <w:bCs/>
          <w:color w:val="2E86AB"/>
          <w:sz w:val="28"/>
          <w:szCs w:val="28"/>
        </w:rPr>
        <w:t xml:space="preserve">4.1  What is the Automated Voice GD?</w:t>
      </w:r>
    </w:p>
    <w:p>
      <w:pPr>
        <w:spacing w:before="60" w:after="80"/>
        <w:jc w:val="left"/>
      </w:pPr>
      <w:r>
        <w:rPr>
          <w:rFonts w:ascii="Arial" w:cs="Arial" w:eastAsia="Arial" w:hAnsi="Arial"/>
          <w:b w:val="false"/>
          <w:bCs w:val="false"/>
          <w:i w:val="false"/>
          <w:iCs w:val="false"/>
          <w:color w:val="1A1A2E"/>
          <w:sz w:val="20"/>
          <w:szCs w:val="20"/>
        </w:rPr>
        <w:t xml:space="preserve">The Automated Voice GD is a fully recruiter-less, AI-less, bias-free group discussion system built on self-hosted Jitsi + WebRTC technology. It replaces the traditional GD — which is subjective, moderator-dependent, and prone to favoritism — with a deterministic, rule-governed protocol where every outcome is measurable and auditable.</w:t>
      </w:r>
    </w:p>
    <w:p>
      <w:r>
        <w:t xml:space="preserve"/>
      </w:r>
    </w:p>
    <w:p>
      <w:pPr>
        <w:spacing w:before="60" w:after="80"/>
        <w:jc w:val="left"/>
      </w:pPr>
      <w:r>
        <w:rPr>
          <w:rFonts w:ascii="Arial" w:cs="Arial" w:eastAsia="Arial" w:hAnsi="Arial"/>
          <w:b w:val="false"/>
          <w:bCs w:val="false"/>
          <w:i w:val="false"/>
          <w:iCs w:val="false"/>
          <w:color w:val="1A1A2E"/>
          <w:sz w:val="20"/>
          <w:szCs w:val="20"/>
        </w:rPr>
        <w:t xml:space="preserve">Core philosophy: Human judgment is removed. AI judgment is removed. Only rules, enforcement, and logs remain.</w:t>
      </w:r>
    </w:p>
    <w:p>
      <w:r>
        <w:t xml:space="preserve"/>
      </w:r>
    </w:p>
    <w:p>
      <w:pPr>
        <w:pStyle w:val="Heading2"/>
        <w:spacing w:before="280" w:after="120"/>
      </w:pPr>
      <w:r>
        <w:rPr>
          <w:rFonts w:ascii="Arial" w:cs="Arial" w:eastAsia="Arial" w:hAnsi="Arial"/>
          <w:b/>
          <w:bCs/>
          <w:color w:val="2E86AB"/>
          <w:sz w:val="28"/>
          <w:szCs w:val="28"/>
        </w:rPr>
        <w:t xml:space="preserve">4.2  Technology Architecture (Candidate Perspective)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Component</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Is</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Does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WebRTC</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Browser-native audio protocol — no app install required</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Captures and transmits microphone audio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Jitsi (Self-Hosted)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Open-source conferencing engine — no Zoom, no Google Meet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Routes audio between participants; free, no per-minute cost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Backend Orchestrator</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Node.js / Spring Boot + Redis state machine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Controls all rules: mute/unmute, timing, turn order, scoring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Session Logger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Immutable event log per GD session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Records every mic open/close, interrupt attempt, silence, exit</w:t>
            </w:r>
          </w:p>
        </w:tc>
      </w:tr>
    </w:tbl>
    <w:p>
      <w:r>
        <w:t xml:space="preserve"/>
      </w:r>
    </w:p>
    <w:p>
      <w:pPr>
        <w:pStyle w:val="Heading2"/>
        <w:spacing w:before="280" w:after="120"/>
      </w:pPr>
      <w:r>
        <w:rPr>
          <w:rFonts w:ascii="Arial" w:cs="Arial" w:eastAsia="Arial" w:hAnsi="Arial"/>
          <w:b/>
          <w:bCs/>
          <w:color w:val="2E86AB"/>
          <w:sz w:val="28"/>
          <w:szCs w:val="28"/>
        </w:rPr>
        <w:t xml:space="preserve">4.3  The GD Experience — Step by Step</w:t>
      </w:r>
    </w:p>
    <w:p>
      <w:r>
        <w:t xml:space="preserve"/>
      </w:r>
    </w:p>
    <w:p>
      <w:pPr>
        <w:pStyle w:val="Heading3"/>
        <w:spacing w:before="200" w:after="80"/>
      </w:pPr>
      <w:r>
        <w:rPr>
          <w:rFonts w:ascii="Arial" w:cs="Arial" w:eastAsia="Arial" w:hAnsi="Arial"/>
          <w:b/>
          <w:bCs/>
          <w:color w:val="1B3A6B"/>
          <w:sz w:val="24"/>
          <w:szCs w:val="24"/>
        </w:rPr>
        <w:t xml:space="preserve">4.3.1  Pre-GD Phase (10–20 Minutes Before)</w:t>
      </w:r>
    </w:p>
    <w:p>
      <w:pPr>
        <w:pStyle w:val="ListParagraph"/>
        <w:numPr>
          <w:ilvl w:val="0"/>
          <w:numId w:val="2"/>
        </w:numPr>
        <w:spacing w:before="40" w:after="40"/>
      </w:pPr>
      <w:r>
        <w:rPr>
          <w:rFonts w:ascii="Arial" w:cs="Arial" w:eastAsia="Arial" w:hAnsi="Arial"/>
          <w:color w:val="1A1A2E"/>
          <w:sz w:val="20"/>
          <w:szCs w:val="20"/>
        </w:rPr>
        <w:t xml:space="preserve">Topic is automatically assigned from a predefined database — no human chooses the topic</w:t>
      </w:r>
    </w:p>
    <w:p>
      <w:pPr>
        <w:pStyle w:val="ListParagraph"/>
        <w:numPr>
          <w:ilvl w:val="0"/>
          <w:numId w:val="2"/>
        </w:numPr>
        <w:spacing w:before="40" w:after="40"/>
      </w:pPr>
      <w:r>
        <w:rPr>
          <w:rFonts w:ascii="Arial" w:cs="Arial" w:eastAsia="Arial" w:hAnsi="Arial"/>
          <w:color w:val="1A1A2E"/>
          <w:sz w:val="20"/>
          <w:szCs w:val="20"/>
        </w:rPr>
        <w:t xml:space="preserve">Candidate receives topic 10–20 minutes before GD starts — preparation window is fixed</w:t>
      </w:r>
    </w:p>
    <w:p>
      <w:pPr>
        <w:pStyle w:val="ListParagraph"/>
        <w:numPr>
          <w:ilvl w:val="0"/>
          <w:numId w:val="2"/>
        </w:numPr>
        <w:spacing w:before="40" w:after="40"/>
      </w:pPr>
      <w:r>
        <w:rPr>
          <w:rFonts w:ascii="Arial" w:cs="Arial" w:eastAsia="Arial" w:hAnsi="Arial"/>
          <w:color w:val="1A1A2E"/>
          <w:sz w:val="20"/>
          <w:szCs w:val="20"/>
        </w:rPr>
        <w:t xml:space="preserve">Rules screen is displayed: speaking duration per round, what gets measured, what is not measured</w:t>
      </w:r>
    </w:p>
    <w:p>
      <w:pPr>
        <w:pStyle w:val="ListParagraph"/>
        <w:numPr>
          <w:ilvl w:val="0"/>
          <w:numId w:val="2"/>
        </w:numPr>
        <w:spacing w:before="40" w:after="40"/>
      </w:pPr>
      <w:r>
        <w:rPr>
          <w:rFonts w:ascii="Arial" w:cs="Arial" w:eastAsia="Arial" w:hAnsi="Arial"/>
          <w:color w:val="1A1A2E"/>
          <w:sz w:val="20"/>
          <w:szCs w:val="20"/>
        </w:rPr>
        <w:t xml:space="preserve">Join window opens exactly on schedule — late joiners beyond the window become spectators only</w:t>
      </w:r>
    </w:p>
    <w:p>
      <w:pPr>
        <w:pStyle w:val="ListParagraph"/>
        <w:numPr>
          <w:ilvl w:val="0"/>
          <w:numId w:val="2"/>
        </w:numPr>
        <w:spacing w:before="40" w:after="40"/>
      </w:pPr>
      <w:r>
        <w:rPr>
          <w:rFonts w:ascii="Arial" w:cs="Arial" w:eastAsia="Arial" w:hAnsi="Arial"/>
          <w:color w:val="1A1A2E"/>
          <w:sz w:val="20"/>
          <w:szCs w:val="20"/>
        </w:rPr>
        <w:t xml:space="preserve">Jitsi room is NOT loaded during preparation — prevents bandwidth waste</w:t>
      </w:r>
    </w:p>
    <w:p>
      <w:r>
        <w:t xml:space="preserve"/>
      </w:r>
    </w:p>
    <w:p>
      <w:pPr>
        <w:pStyle w:val="Heading3"/>
        <w:spacing w:before="200" w:after="80"/>
      </w:pPr>
      <w:r>
        <w:rPr>
          <w:rFonts w:ascii="Arial" w:cs="Arial" w:eastAsia="Arial" w:hAnsi="Arial"/>
          <w:b/>
          <w:bCs/>
          <w:color w:val="1B3A6B"/>
          <w:sz w:val="24"/>
          <w:szCs w:val="24"/>
        </w:rPr>
        <w:t xml:space="preserve">4.3.2  Entry &amp; Room Setup</w:t>
      </w:r>
    </w:p>
    <w:p>
      <w:pPr>
        <w:pStyle w:val="ListParagraph"/>
        <w:numPr>
          <w:ilvl w:val="0"/>
          <w:numId w:val="2"/>
        </w:numPr>
        <w:spacing w:before="40" w:after="40"/>
      </w:pPr>
      <w:r>
        <w:rPr>
          <w:rFonts w:ascii="Arial" w:cs="Arial" w:eastAsia="Arial" w:hAnsi="Arial"/>
          <w:color w:val="1A1A2E"/>
          <w:sz w:val="20"/>
          <w:szCs w:val="20"/>
        </w:rPr>
        <w:t xml:space="preserve">Room name is auto-generated (e.g., gd_banking_20260306_1234) — no manual links shared</w:t>
      </w:r>
    </w:p>
    <w:p>
      <w:pPr>
        <w:pStyle w:val="ListParagraph"/>
        <w:numPr>
          <w:ilvl w:val="0"/>
          <w:numId w:val="2"/>
        </w:numPr>
        <w:spacing w:before="40" w:after="40"/>
      </w:pPr>
      <w:r>
        <w:rPr>
          <w:rFonts w:ascii="Arial" w:cs="Arial" w:eastAsia="Arial" w:hAnsi="Arial"/>
          <w:color w:val="1A1A2E"/>
          <w:sz w:val="20"/>
          <w:szCs w:val="20"/>
        </w:rPr>
        <w:t xml:space="preserve">Video is disabled — voice only. Video creates bias; this system eliminates appearance-based judgment</w:t>
      </w:r>
    </w:p>
    <w:p>
      <w:pPr>
        <w:pStyle w:val="ListParagraph"/>
        <w:numPr>
          <w:ilvl w:val="0"/>
          <w:numId w:val="2"/>
        </w:numPr>
        <w:spacing w:before="40" w:after="40"/>
      </w:pPr>
      <w:r>
        <w:rPr>
          <w:rFonts w:ascii="Arial" w:cs="Arial" w:eastAsia="Arial" w:hAnsi="Arial"/>
          <w:color w:val="1A1A2E"/>
          <w:sz w:val="20"/>
          <w:szCs w:val="20"/>
        </w:rPr>
        <w:t xml:space="preserve">All participants join muted. No one can speak until the system grants the speaking token</w:t>
      </w:r>
    </w:p>
    <w:p>
      <w:pPr>
        <w:pStyle w:val="ListParagraph"/>
        <w:numPr>
          <w:ilvl w:val="0"/>
          <w:numId w:val="2"/>
        </w:numPr>
        <w:spacing w:before="40" w:after="40"/>
      </w:pPr>
      <w:r>
        <w:rPr>
          <w:rFonts w:ascii="Arial" w:cs="Arial" w:eastAsia="Arial" w:hAnsi="Arial"/>
          <w:color w:val="1A1A2E"/>
          <w:sz w:val="20"/>
          <w:szCs w:val="20"/>
        </w:rPr>
        <w:t xml:space="preserve">UI controls (mute button, etc.) are removed from the candidate interface — backend governs all mic access</w:t>
      </w:r>
    </w:p>
    <w:p>
      <w:r>
        <w:t xml:space="preserve"/>
      </w:r>
    </w:p>
    <w:p>
      <w:pPr>
        <w:pStyle w:val="Heading3"/>
        <w:spacing w:before="200" w:after="80"/>
      </w:pPr>
      <w:r>
        <w:rPr>
          <w:rFonts w:ascii="Arial" w:cs="Arial" w:eastAsia="Arial" w:hAnsi="Arial"/>
          <w:b/>
          <w:bCs/>
          <w:color w:val="1B3A6B"/>
          <w:sz w:val="24"/>
          <w:szCs w:val="24"/>
        </w:rPr>
        <w:t xml:space="preserve">4.3.3  Turn-Based Speaking Engine</w:t>
      </w:r>
    </w:p>
    <w:p>
      <w:pPr>
        <w:spacing w:before="60" w:after="80"/>
        <w:jc w:val="left"/>
      </w:pPr>
      <w:r>
        <w:rPr>
          <w:rFonts w:ascii="Arial" w:cs="Arial" w:eastAsia="Arial" w:hAnsi="Arial"/>
          <w:b w:val="false"/>
          <w:bCs w:val="false"/>
          <w:i w:val="false"/>
          <w:iCs w:val="false"/>
          <w:color w:val="1A1A2E"/>
          <w:sz w:val="20"/>
          <w:szCs w:val="20"/>
        </w:rPr>
        <w:t xml:space="preserve">This replaces the human moderator entirely. The algorithm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0F4F0" w:val="clear"/>
            <w:tcMar>
              <w:top w:type="dxa" w:w="120"/>
              <w:left w:type="dxa" w:w="200"/>
              <w:bottom w:type="dxa" w:w="120"/>
              <w:right w:type="dxa" w:w="200"/>
            </w:tcMar>
          </w:tcPr>
          <w:p>
            <w:r>
              <w:rPr>
                <w:rFonts w:ascii="Courier New" w:cs="Courier New" w:eastAsia="Courier New" w:hAnsi="Courier New"/>
                <w:b/>
                <w:bCs/>
                <w:color w:val="1B3A6B"/>
                <w:sz w:val="20"/>
                <w:szCs w:val="20"/>
              </w:rPr>
              <w:t xml:space="preserve">Speaking Order Algorithm</w:t>
            </w:r>
          </w:p>
          <w:p>
            <w:r>
              <w:rPr>
                <w:rFonts w:ascii="Courier New" w:cs="Courier New" w:eastAsia="Courier New" w:hAnsi="Courier New"/>
                <w:color w:val="1A1A2E"/>
                <w:sz w:val="18"/>
                <w:szCs w:val="18"/>
              </w:rPr>
              <w:t xml:space="preserve">participants = sort_by_join_time()</w:t>
            </w:r>
          </w:p>
          <w:p>
            <w:r>
              <w:rPr>
                <w:rFonts w:ascii="Courier New" w:cs="Courier New" w:eastAsia="Courier New" w:hAnsi="Courier New"/>
                <w:color w:val="1A1A2E"/>
                <w:sz w:val="18"/>
                <w:szCs w:val="18"/>
              </w:rPr>
              <w:t xml:space="preserve">for each participant:</w:t>
            </w:r>
          </w:p>
          <w:p>
            <w:r>
              <w:rPr>
                <w:rFonts w:ascii="Courier New" w:cs="Courier New" w:eastAsia="Courier New" w:hAnsi="Courier New"/>
                <w:color w:val="2E86AB"/>
                <w:sz w:val="18"/>
                <w:szCs w:val="18"/>
              </w:rPr>
              <w:t xml:space="preserve">    grant_speaking_token(duration = X seconds)</w:t>
            </w:r>
          </w:p>
          <w:p>
            <w:r>
              <w:rPr>
                <w:rFonts w:ascii="Courier New" w:cs="Courier New" w:eastAsia="Courier New" w:hAnsi="Courier New"/>
                <w:color w:val="27AE60"/>
                <w:sz w:val="18"/>
                <w:szCs w:val="18"/>
              </w:rPr>
              <w:t xml:space="preserve">    force_unmute(active_user)</w:t>
            </w:r>
          </w:p>
          <w:p>
            <w:r>
              <w:rPr>
                <w:rFonts w:ascii="Courier New" w:cs="Courier New" w:eastAsia="Courier New" w:hAnsi="Courier New"/>
                <w:color w:val="E74C3C"/>
                <w:sz w:val="18"/>
                <w:szCs w:val="18"/>
              </w:rPr>
              <w:t xml:space="preserve">    force_mute(all_others)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Round Type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Purpose</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Duration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Introduction Round</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Each candidate introduces themselves and states initial position</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60 seconds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Argument Round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Candidate presents main argument on the topic</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90 seconds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Rebuttal Round</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Response to another participant's point</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30 seconds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Open Discussion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All mics open — speaking time still tracked, interrupts logged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3 minutes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Conclusion Round</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Each candidate summarizes their stance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45 seconds</w:t>
            </w:r>
          </w:p>
        </w:tc>
      </w:tr>
    </w:tbl>
    <w:p>
      <w:r>
        <w:t xml:space="preserve"/>
      </w:r>
    </w:p>
    <w:p>
      <w:pPr>
        <w:pStyle w:val="Heading3"/>
        <w:spacing w:before="200" w:after="80"/>
      </w:pPr>
      <w:r>
        <w:rPr>
          <w:rFonts w:ascii="Arial" w:cs="Arial" w:eastAsia="Arial" w:hAnsi="Arial"/>
          <w:b/>
          <w:bCs/>
          <w:color w:val="1B3A6B"/>
          <w:sz w:val="24"/>
          <w:szCs w:val="24"/>
        </w:rPr>
        <w:t xml:space="preserve">4.3.4  What Gets Measured — The Scoring System</w:t>
      </w:r>
    </w:p>
    <w:p>
      <w:pPr>
        <w:spacing w:before="60" w:after="80"/>
        <w:jc w:val="left"/>
      </w:pPr>
      <w:r>
        <w:rPr>
          <w:rFonts w:ascii="Arial" w:cs="Arial" w:eastAsia="Arial" w:hAnsi="Arial"/>
          <w:b w:val="false"/>
          <w:bCs w:val="false"/>
          <w:i w:val="false"/>
          <w:iCs w:val="false"/>
          <w:color w:val="1A1A2E"/>
          <w:sz w:val="20"/>
          <w:szCs w:val="20"/>
        </w:rPr>
        <w:t xml:space="preserve">Scoring is purely mathematical — no personality assessment, no leadership labels, no confidence inference: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pPr>
              <w:spacing w:before="60" w:after="80"/>
            </w:pPr>
            <w:r>
              <w:rPr>
                <w:rFonts w:ascii="Arial" w:cs="Arial" w:eastAsia="Arial" w:hAnsi="Arial"/>
                <w:b/>
                <w:bCs/>
                <w:color w:val="1B3A6B"/>
                <w:sz w:val="22"/>
                <w:szCs w:val="22"/>
              </w:rPr>
              <w:t xml:space="preserve">◆  Rule-Based GD Scoring Formula</w:t>
            </w:r>
          </w:p>
          <w:p>
            <w:pPr>
              <w:pStyle w:val="ListParagraph"/>
              <w:numPr>
                <w:ilvl w:val="0"/>
                <w:numId w:val="2"/>
              </w:numPr>
              <w:spacing w:before="30" w:after="30"/>
            </w:pPr>
            <w:r>
              <w:rPr>
                <w:rFonts w:ascii="Arial" w:cs="Arial" w:eastAsia="Arial" w:hAnsi="Arial"/>
                <w:color w:val="1A1A2E"/>
                <w:sz w:val="19"/>
                <w:szCs w:val="19"/>
              </w:rPr>
              <w:t xml:space="preserve">Turns Completed Score: +10 points for completing all assigned speaking turns (measures commitment and reliability)</w:t>
            </w:r>
          </w:p>
          <w:p>
            <w:pPr>
              <w:pStyle w:val="ListParagraph"/>
              <w:numPr>
                <w:ilvl w:val="0"/>
                <w:numId w:val="2"/>
              </w:numPr>
              <w:spacing w:before="30" w:after="30"/>
            </w:pPr>
            <w:r>
              <w:rPr>
                <w:rFonts w:ascii="Arial" w:cs="Arial" w:eastAsia="Arial" w:hAnsi="Arial"/>
                <w:color w:val="1A1A2E"/>
                <w:sz w:val="19"/>
                <w:szCs w:val="19"/>
              </w:rPr>
              <w:t xml:space="preserve">Full-Time Usage Score: +10 points if candidate used at least 80% of their allotted time in each round (measures preparation and substance)</w:t>
            </w:r>
          </w:p>
          <w:p>
            <w:pPr>
              <w:pStyle w:val="ListParagraph"/>
              <w:numPr>
                <w:ilvl w:val="0"/>
                <w:numId w:val="2"/>
              </w:numPr>
              <w:spacing w:before="30" w:after="30"/>
            </w:pPr>
            <w:r>
              <w:rPr>
                <w:rFonts w:ascii="Arial" w:cs="Arial" w:eastAsia="Arial" w:hAnsi="Arial"/>
                <w:color w:val="1A1A2E"/>
                <w:sz w:val="19"/>
                <w:szCs w:val="19"/>
              </w:rPr>
              <w:t xml:space="preserve">Interrupt Penalty: -2 points for each attempted interruption of another speaker's token window (measures professional discipline and respect)</w:t>
            </w:r>
          </w:p>
          <w:p>
            <w:pPr>
              <w:pStyle w:val="ListParagraph"/>
              <w:numPr>
                <w:ilvl w:val="0"/>
                <w:numId w:val="2"/>
              </w:numPr>
              <w:spacing w:before="30" w:after="30"/>
            </w:pPr>
            <w:r>
              <w:rPr>
                <w:rFonts w:ascii="Arial" w:cs="Arial" w:eastAsia="Arial" w:hAnsi="Arial"/>
                <w:color w:val="1A1A2E"/>
                <w:sz w:val="19"/>
                <w:szCs w:val="19"/>
              </w:rPr>
              <w:t xml:space="preserve">Silence Penalty: -3 points for each turn where candidate remained silent when token was granted (measures engagement)</w:t>
            </w:r>
          </w:p>
          <w:p>
            <w:pPr>
              <w:pStyle w:val="ListParagraph"/>
              <w:numPr>
                <w:ilvl w:val="0"/>
                <w:numId w:val="2"/>
              </w:numPr>
              <w:spacing w:before="30" w:after="30"/>
            </w:pPr>
            <w:r>
              <w:rPr>
                <w:rFonts w:ascii="Arial" w:cs="Arial" w:eastAsia="Arial" w:hAnsi="Arial"/>
                <w:color w:val="1A1A2E"/>
                <w:sz w:val="19"/>
                <w:szCs w:val="19"/>
              </w:rPr>
              <w:t xml:space="preserve">Early Exit Penalty: -15 points + recorded as 'abandoned session' (permanent flag on candidate profile)</w:t>
            </w:r>
          </w:p>
          <w:p>
            <w:pPr>
              <w:pStyle w:val="ListParagraph"/>
              <w:numPr>
                <w:ilvl w:val="0"/>
                <w:numId w:val="2"/>
              </w:numPr>
              <w:spacing w:before="30" w:after="30"/>
            </w:pPr>
            <w:r>
              <w:rPr>
                <w:rFonts w:ascii="Arial" w:cs="Arial" w:eastAsia="Arial" w:hAnsi="Arial"/>
                <w:color w:val="1A1A2E"/>
                <w:sz w:val="19"/>
                <w:szCs w:val="19"/>
              </w:rPr>
              <w:t xml:space="preserve">Network Drop Handling: Token is automatically skipped; network drops are logged but not penalized unless excessive</w:t>
            </w:r>
          </w:p>
          <w:p>
            <w:pPr>
              <w:pStyle w:val="ListParagraph"/>
              <w:numPr>
                <w:ilvl w:val="0"/>
                <w:numId w:val="2"/>
              </w:numPr>
              <w:spacing w:before="30" w:after="30"/>
            </w:pPr>
            <w:r>
              <w:rPr>
                <w:rFonts w:ascii="Arial" w:cs="Arial" w:eastAsia="Arial" w:hAnsi="Arial"/>
                <w:color w:val="1A1A2E"/>
                <w:sz w:val="19"/>
                <w:szCs w:val="19"/>
              </w:rPr>
              <w:t xml:space="preserve">Open Discussion Dominance Penalty: In the open round, if one candidate speaks more than 50% of the total time, a dominance penalty applies</w:t>
            </w:r>
          </w:p>
        </w:tc>
      </w:tr>
    </w:tbl>
    <w:p>
      <w:r>
        <w:t xml:space="preserve"/>
      </w:r>
    </w:p>
    <w:p>
      <w:pPr>
        <w:spacing w:before="60" w:after="80"/>
        <w:jc w:val="left"/>
      </w:pPr>
      <w:r>
        <w:rPr>
          <w:rFonts w:ascii="Arial" w:cs="Arial" w:eastAsia="Arial" w:hAnsi="Arial"/>
          <w:b w:val="false"/>
          <w:bCs w:val="false"/>
          <w:i w:val="false"/>
          <w:iCs w:val="false"/>
          <w:color w:val="1A1A2E"/>
          <w:sz w:val="20"/>
          <w:szCs w:val="20"/>
        </w:rPr>
        <w:t xml:space="preserve">Key guarantee: Scores are 100% reproducible. The same behavioral inputs always produce the same score. This is auditable by both candidate and employer.</w:t>
      </w:r>
    </w:p>
    <w:p>
      <w:r>
        <w:t xml:space="preserve"/>
      </w:r>
    </w:p>
    <w:p>
      <w:pPr>
        <w:pStyle w:val="Heading3"/>
        <w:spacing w:before="200" w:after="80"/>
      </w:pPr>
      <w:r>
        <w:rPr>
          <w:rFonts w:ascii="Arial" w:cs="Arial" w:eastAsia="Arial" w:hAnsi="Arial"/>
          <w:b/>
          <w:bCs/>
          <w:color w:val="1B3A6B"/>
          <w:sz w:val="24"/>
          <w:szCs w:val="24"/>
        </w:rPr>
        <w:t xml:space="preserve">4.3.5  What Is NOT Measured (Privacy Protection)</w:t>
      </w:r>
    </w:p>
    <w:p>
      <w:pPr>
        <w:pStyle w:val="ListParagraph"/>
        <w:numPr>
          <w:ilvl w:val="0"/>
          <w:numId w:val="2"/>
        </w:numPr>
        <w:spacing w:before="40" w:after="40"/>
      </w:pPr>
      <w:r>
        <w:rPr>
          <w:rFonts w:ascii="Arial" w:cs="Arial" w:eastAsia="Arial" w:hAnsi="Arial"/>
          <w:color w:val="1A1A2E"/>
          <w:sz w:val="20"/>
          <w:szCs w:val="20"/>
        </w:rPr>
        <w:t xml:space="preserve">Voice recordings are NEVER stored — only mic open/close timestamps</w:t>
      </w:r>
    </w:p>
    <w:p>
      <w:pPr>
        <w:pStyle w:val="ListParagraph"/>
        <w:numPr>
          <w:ilvl w:val="0"/>
          <w:numId w:val="2"/>
        </w:numPr>
        <w:spacing w:before="40" w:after="40"/>
      </w:pPr>
      <w:r>
        <w:rPr>
          <w:rFonts w:ascii="Arial" w:cs="Arial" w:eastAsia="Arial" w:hAnsi="Arial"/>
          <w:color w:val="1A1A2E"/>
          <w:sz w:val="20"/>
          <w:szCs w:val="20"/>
        </w:rPr>
        <w:t xml:space="preserve">Speech content is not analyzed — no NLP, no sentiment analysis</w:t>
      </w:r>
    </w:p>
    <w:p>
      <w:pPr>
        <w:pStyle w:val="ListParagraph"/>
        <w:numPr>
          <w:ilvl w:val="0"/>
          <w:numId w:val="2"/>
        </w:numPr>
        <w:spacing w:before="40" w:after="40"/>
      </w:pPr>
      <w:r>
        <w:rPr>
          <w:rFonts w:ascii="Arial" w:cs="Arial" w:eastAsia="Arial" w:hAnsi="Arial"/>
          <w:color w:val="1A1A2E"/>
          <w:sz w:val="20"/>
          <w:szCs w:val="20"/>
        </w:rPr>
        <w:t xml:space="preserve">Accent, tone, emotion, fluency are not assessed</w:t>
      </w:r>
    </w:p>
    <w:p>
      <w:pPr>
        <w:pStyle w:val="ListParagraph"/>
        <w:numPr>
          <w:ilvl w:val="0"/>
          <w:numId w:val="2"/>
        </w:numPr>
        <w:spacing w:before="40" w:after="40"/>
      </w:pPr>
      <w:r>
        <w:rPr>
          <w:rFonts w:ascii="Arial" w:cs="Arial" w:eastAsia="Arial" w:hAnsi="Arial"/>
          <w:color w:val="1A1A2E"/>
          <w:sz w:val="20"/>
          <w:szCs w:val="20"/>
        </w:rPr>
        <w:t xml:space="preserve">Appearance — video is disabled entirely</w:t>
      </w:r>
    </w:p>
    <w:p>
      <w:pPr>
        <w:pStyle w:val="ListParagraph"/>
        <w:numPr>
          <w:ilvl w:val="0"/>
          <w:numId w:val="2"/>
        </w:numPr>
        <w:spacing w:before="40" w:after="40"/>
      </w:pPr>
      <w:r>
        <w:rPr>
          <w:rFonts w:ascii="Arial" w:cs="Arial" w:eastAsia="Arial" w:hAnsi="Arial"/>
          <w:color w:val="1A1A2E"/>
          <w:sz w:val="20"/>
          <w:szCs w:val="20"/>
        </w:rPr>
        <w:t xml:space="preserve">Gender, age, regional identity — structurally impossible to detect without video/audio analysis</w:t>
      </w:r>
    </w:p>
    <w:p>
      <w:r>
        <w:t xml:space="preserve"/>
      </w:r>
    </w:p>
    <w:p>
      <w:pPr>
        <w:pStyle w:val="Heading2"/>
        <w:spacing w:before="280" w:after="120"/>
      </w:pPr>
      <w:r>
        <w:rPr>
          <w:rFonts w:ascii="Arial" w:cs="Arial" w:eastAsia="Arial" w:hAnsi="Arial"/>
          <w:b/>
          <w:bCs/>
          <w:color w:val="2E86AB"/>
          <w:sz w:val="28"/>
          <w:szCs w:val="28"/>
        </w:rPr>
        <w:t xml:space="preserve">4.4  After the GD — Score Report</w:t>
      </w:r>
    </w:p>
    <w:p>
      <w:pPr>
        <w:pStyle w:val="ListParagraph"/>
        <w:numPr>
          <w:ilvl w:val="0"/>
          <w:numId w:val="2"/>
        </w:numPr>
        <w:spacing w:before="40" w:after="40"/>
      </w:pPr>
      <w:r>
        <w:rPr>
          <w:rFonts w:ascii="Arial" w:cs="Arial" w:eastAsia="Arial" w:hAnsi="Arial"/>
          <w:color w:val="1A1A2E"/>
          <w:sz w:val="20"/>
          <w:szCs w:val="20"/>
        </w:rPr>
        <w:t xml:space="preserve">Score report is available to the candidate within minutes of session end</w:t>
      </w:r>
    </w:p>
    <w:p>
      <w:pPr>
        <w:pStyle w:val="ListParagraph"/>
        <w:numPr>
          <w:ilvl w:val="0"/>
          <w:numId w:val="2"/>
        </w:numPr>
        <w:spacing w:before="40" w:after="40"/>
      </w:pPr>
      <w:r>
        <w:rPr>
          <w:rFonts w:ascii="Arial" w:cs="Arial" w:eastAsia="Arial" w:hAnsi="Arial"/>
          <w:color w:val="1A1A2E"/>
          <w:sz w:val="20"/>
          <w:szCs w:val="20"/>
        </w:rPr>
        <w:t xml:space="preserve">Breakdown by round: which rounds did well, which had penalties</w:t>
      </w:r>
    </w:p>
    <w:p>
      <w:pPr>
        <w:pStyle w:val="ListParagraph"/>
        <w:numPr>
          <w:ilvl w:val="0"/>
          <w:numId w:val="2"/>
        </w:numPr>
        <w:spacing w:before="40" w:after="40"/>
      </w:pPr>
      <w:r>
        <w:rPr>
          <w:rFonts w:ascii="Arial" w:cs="Arial" w:eastAsia="Arial" w:hAnsi="Arial"/>
          <w:color w:val="1A1A2E"/>
          <w:sz w:val="20"/>
          <w:szCs w:val="20"/>
        </w:rPr>
        <w:t xml:space="preserve">Comparison (anonymized): How did this candidate rank vs. other participants in the same session</w:t>
      </w:r>
    </w:p>
    <w:p>
      <w:pPr>
        <w:pStyle w:val="ListParagraph"/>
        <w:numPr>
          <w:ilvl w:val="0"/>
          <w:numId w:val="2"/>
        </w:numPr>
        <w:spacing w:before="40" w:after="40"/>
      </w:pPr>
      <w:r>
        <w:rPr>
          <w:rFonts w:ascii="Arial" w:cs="Arial" w:eastAsia="Arial" w:hAnsi="Arial"/>
          <w:color w:val="1A1A2E"/>
          <w:sz w:val="20"/>
          <w:szCs w:val="20"/>
        </w:rPr>
        <w:t xml:space="preserve">Improvement suggestions: Rule-based tips (e.g., 'You skipped 2 rebuttal turns — use all available time in next session')</w:t>
      </w:r>
    </w:p>
    <w:p>
      <w:pPr>
        <w:pStyle w:val="ListParagraph"/>
        <w:numPr>
          <w:ilvl w:val="0"/>
          <w:numId w:val="2"/>
        </w:numPr>
        <w:spacing w:before="40" w:after="40"/>
      </w:pPr>
      <w:r>
        <w:rPr>
          <w:rFonts w:ascii="Arial" w:cs="Arial" w:eastAsia="Arial" w:hAnsi="Arial"/>
          <w:color w:val="1A1A2E"/>
          <w:sz w:val="20"/>
          <w:szCs w:val="20"/>
        </w:rPr>
        <w:t xml:space="preserve">GD score is added to the candidate's permanent behavioral profile</w:t>
      </w:r>
    </w:p>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5</w:t>
            </w:r>
          </w:p>
          <w:p>
            <w:pPr>
              <w:jc w:val="left"/>
            </w:pPr>
            <w:r>
              <w:rPr>
                <w:rFonts w:ascii="Arial" w:cs="Arial" w:eastAsia="Arial" w:hAnsi="Arial"/>
                <w:i/>
                <w:iCs/>
                <w:color w:val="AACCEE"/>
                <w:sz w:val="19"/>
                <w:szCs w:val="19"/>
              </w:rPr>
              <w:t xml:space="preserve">Offer Letter System &amp; Placement Safety</w:t>
            </w:r>
          </w:p>
        </w:tc>
      </w:tr>
    </w:tbl>
    <w:p>
      <w:r>
        <w:t xml:space="preserve"/>
      </w:r>
    </w:p>
    <w:p>
      <w:pPr>
        <w:pStyle w:val="Heading2"/>
        <w:spacing w:before="280" w:after="120"/>
      </w:pPr>
      <w:r>
        <w:rPr>
          <w:rFonts w:ascii="Arial" w:cs="Arial" w:eastAsia="Arial" w:hAnsi="Arial"/>
          <w:b/>
          <w:bCs/>
          <w:color w:val="2E86AB"/>
          <w:sz w:val="28"/>
          <w:szCs w:val="28"/>
        </w:rPr>
        <w:t xml:space="preserve">5.1  Immutable Offer Letter System</w:t>
      </w:r>
    </w:p>
    <w:p>
      <w:pPr>
        <w:spacing w:before="60" w:after="80"/>
        <w:jc w:val="left"/>
      </w:pPr>
      <w:r>
        <w:rPr>
          <w:rFonts w:ascii="Arial" w:cs="Arial" w:eastAsia="Arial" w:hAnsi="Arial"/>
          <w:b w:val="false"/>
          <w:bCs w:val="false"/>
          <w:i w:val="false"/>
          <w:iCs w:val="false"/>
          <w:color w:val="1A1A2E"/>
          <w:sz w:val="20"/>
          <w:szCs w:val="20"/>
        </w:rPr>
        <w:t xml:space="preserve">Offer letter fraud — where salary is changed after acceptance, joining dates are moved repeatedly, or offers are withdrawn without notice — is one of the most common and harmful issues in campus placement. The platform eliminates this through offer immutability and complete audit trails.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pPr>
              <w:spacing w:before="60" w:after="80"/>
            </w:pPr>
            <w:r>
              <w:rPr>
                <w:rFonts w:ascii="Arial" w:cs="Arial" w:eastAsia="Arial" w:hAnsi="Arial"/>
                <w:b/>
                <w:bCs/>
                <w:color w:val="1B3A6B"/>
                <w:sz w:val="22"/>
                <w:szCs w:val="22"/>
              </w:rPr>
              <w:t xml:space="preserve">◆  How the Offer Lock System Works</w:t>
            </w:r>
          </w:p>
          <w:p>
            <w:pPr>
              <w:pStyle w:val="ListParagraph"/>
              <w:numPr>
                <w:ilvl w:val="0"/>
                <w:numId w:val="2"/>
              </w:numPr>
              <w:spacing w:before="30" w:after="30"/>
            </w:pPr>
            <w:r>
              <w:rPr>
                <w:rFonts w:ascii="Arial" w:cs="Arial" w:eastAsia="Arial" w:hAnsi="Arial"/>
                <w:color w:val="1A1A2E"/>
                <w:sz w:val="19"/>
                <w:szCs w:val="19"/>
              </w:rPr>
              <w:t xml:space="preserve">Offer Creation: Recruiter creates the offer inside the portal. Salary structure (base, HRA, variable, CTC breakdown), joining date, role, location, and terms are all entered.</w:t>
            </w:r>
          </w:p>
          <w:p>
            <w:pPr>
              <w:pStyle w:val="ListParagraph"/>
              <w:numPr>
                <w:ilvl w:val="0"/>
                <w:numId w:val="2"/>
              </w:numPr>
              <w:spacing w:before="30" w:after="30"/>
            </w:pPr>
            <w:r>
              <w:rPr>
                <w:rFonts w:ascii="Arial" w:cs="Arial" w:eastAsia="Arial" w:hAnsi="Arial"/>
                <w:color w:val="1A1A2E"/>
                <w:sz w:val="19"/>
                <w:szCs w:val="19"/>
              </w:rPr>
              <w:t xml:space="preserve">Institute Review Window: Before the candidate even sees the offer, the TPO (institute placement officer) has a 24-hour review window to flag any anomalies against the pre-agreed placement terms.</w:t>
            </w:r>
          </w:p>
          <w:p>
            <w:pPr>
              <w:pStyle w:val="ListParagraph"/>
              <w:numPr>
                <w:ilvl w:val="0"/>
                <w:numId w:val="2"/>
              </w:numPr>
              <w:spacing w:before="30" w:after="30"/>
            </w:pPr>
            <w:r>
              <w:rPr>
                <w:rFonts w:ascii="Arial" w:cs="Arial" w:eastAsia="Arial" w:hAnsi="Arial"/>
                <w:color w:val="1A1A2E"/>
                <w:sz w:val="19"/>
                <w:szCs w:val="19"/>
              </w:rPr>
              <w:t xml:space="preserve">Candidate Acceptance: Candidate reviews the offer in a structured comparison view — current offer vs. what was promised during the drive. Any discrepancy is highlighted automatically.</w:t>
            </w:r>
          </w:p>
          <w:p>
            <w:pPr>
              <w:pStyle w:val="ListParagraph"/>
              <w:numPr>
                <w:ilvl w:val="0"/>
                <w:numId w:val="2"/>
              </w:numPr>
              <w:spacing w:before="30" w:after="30"/>
            </w:pPr>
            <w:r>
              <w:rPr>
                <w:rFonts w:ascii="Arial" w:cs="Arial" w:eastAsia="Arial" w:hAnsi="Arial"/>
                <w:color w:val="1A1A2E"/>
                <w:sz w:val="19"/>
                <w:szCs w:val="19"/>
              </w:rPr>
              <w:t xml:space="preserve">Offer Lock: Once the candidate accepts, the offer is cryptographically locked. Neither the candidate nor the recruiter can modify any field. The locked version is the legal record.</w:t>
            </w:r>
          </w:p>
          <w:p>
            <w:pPr>
              <w:pStyle w:val="ListParagraph"/>
              <w:numPr>
                <w:ilvl w:val="0"/>
                <w:numId w:val="2"/>
              </w:numPr>
              <w:spacing w:before="30" w:after="30"/>
            </w:pPr>
            <w:r>
              <w:rPr>
                <w:rFonts w:ascii="Arial" w:cs="Arial" w:eastAsia="Arial" w:hAnsi="Arial"/>
                <w:color w:val="1A1A2E"/>
                <w:sz w:val="19"/>
                <w:szCs w:val="19"/>
              </w:rPr>
              <w:t xml:space="preserve">Audit Trail: Every view, edit attempt, revision, and status change is time-stamped and logged. This log is accessible to the institute and the candidate at any time.</w:t>
            </w:r>
          </w:p>
          <w:p>
            <w:pPr>
              <w:pStyle w:val="ListParagraph"/>
              <w:numPr>
                <w:ilvl w:val="0"/>
                <w:numId w:val="2"/>
              </w:numPr>
              <w:spacing w:before="30" w:after="30"/>
            </w:pPr>
            <w:r>
              <w:rPr>
                <w:rFonts w:ascii="Arial" w:cs="Arial" w:eastAsia="Arial" w:hAnsi="Arial"/>
                <w:color w:val="1A1A2E"/>
                <w:sz w:val="19"/>
                <w:szCs w:val="19"/>
              </w:rPr>
              <w:t xml:space="preserve">Offer Withdrawal Tracking: If a company withdraws an offer post-acceptance, it is logged as an offer breach. The company's trust score is permanently affected. The candidate's rejection is reversed and their profile is made visible to other recruiters with a 'displaced candidate' priority flag.</w:t>
            </w:r>
          </w:p>
        </w:tc>
      </w:tr>
    </w:tbl>
    <w:p>
      <w:r>
        <w:t xml:space="preserve"/>
      </w:r>
    </w:p>
    <w:p>
      <w:pPr>
        <w:pStyle w:val="Heading2"/>
        <w:spacing w:before="280" w:after="120"/>
      </w:pPr>
      <w:r>
        <w:rPr>
          <w:rFonts w:ascii="Arial" w:cs="Arial" w:eastAsia="Arial" w:hAnsi="Arial"/>
          <w:b/>
          <w:bCs/>
          <w:color w:val="2E86AB"/>
          <w:sz w:val="28"/>
          <w:szCs w:val="28"/>
        </w:rPr>
        <w:t xml:space="preserve">5.2  Salary Truth Validation</w:t>
      </w:r>
    </w:p>
    <w:p>
      <w:pPr>
        <w:spacing w:before="60" w:after="80"/>
        <w:jc w:val="left"/>
      </w:pPr>
      <w:r>
        <w:rPr>
          <w:rFonts w:ascii="Arial" w:cs="Arial" w:eastAsia="Arial" w:hAnsi="Arial"/>
          <w:b w:val="false"/>
          <w:bCs w:val="false"/>
          <w:i w:val="false"/>
          <w:iCs w:val="false"/>
          <w:color w:val="1A1A2E"/>
          <w:sz w:val="20"/>
          <w:szCs w:val="20"/>
        </w:rPr>
        <w:t xml:space="preserve">Many SMEs advertise attractive CTC figures that include inflated variable components, phantom allowances, or conditions not disclosed upfront. The platform's salary validation system addresses this:</w:t>
      </w:r>
    </w:p>
    <w:p>
      <w:r>
        <w:t xml:space="preserve"/>
      </w:r>
    </w:p>
    <w:p>
      <w:pPr>
        <w:pStyle w:val="ListParagraph"/>
        <w:numPr>
          <w:ilvl w:val="0"/>
          <w:numId w:val="2"/>
        </w:numPr>
        <w:spacing w:before="40" w:after="40"/>
      </w:pPr>
      <w:r>
        <w:rPr>
          <w:rFonts w:ascii="Arial" w:cs="Arial" w:eastAsia="Arial" w:hAnsi="Arial"/>
          <w:color w:val="1A1A2E"/>
          <w:sz w:val="20"/>
          <w:szCs w:val="20"/>
        </w:rPr>
        <w:t xml:space="preserve">Salary Band Verification: All posted salaries are cross-referenced against market data for the role, location, and company type. Salaries that are statistical outliers (too high or too low) require justification before publishing.</w:t>
      </w:r>
    </w:p>
    <w:p>
      <w:pPr>
        <w:pStyle w:val="ListParagraph"/>
        <w:numPr>
          <w:ilvl w:val="0"/>
          <w:numId w:val="2"/>
        </w:numPr>
        <w:spacing w:before="40" w:after="40"/>
      </w:pPr>
      <w:r>
        <w:rPr>
          <w:rFonts w:ascii="Arial" w:cs="Arial" w:eastAsia="Arial" w:hAnsi="Arial"/>
          <w:color w:val="1A1A2E"/>
          <w:sz w:val="20"/>
          <w:szCs w:val="20"/>
        </w:rPr>
        <w:t xml:space="preserve">CTC Breakdown Requirement: Companies must provide a full breakdown — base salary, HRA, variable pay, joining bonus, ESOPs, deductions. A single CTC number is not accepted.</w:t>
      </w:r>
    </w:p>
    <w:p>
      <w:pPr>
        <w:pStyle w:val="ListParagraph"/>
        <w:numPr>
          <w:ilvl w:val="0"/>
          <w:numId w:val="2"/>
        </w:numPr>
        <w:spacing w:before="40" w:after="40"/>
      </w:pPr>
      <w:r>
        <w:rPr>
          <w:rFonts w:ascii="Arial" w:cs="Arial" w:eastAsia="Arial" w:hAnsi="Arial"/>
          <w:color w:val="1A1A2E"/>
          <w:sz w:val="20"/>
          <w:szCs w:val="20"/>
        </w:rPr>
        <w:t xml:space="preserve">Take-Home Calculator: Candidate can view the estimated monthly take-home after all deductions — EPF, professional tax, income tax — giving realistic financial planning data.</w:t>
      </w:r>
    </w:p>
    <w:p>
      <w:pPr>
        <w:pStyle w:val="ListParagraph"/>
        <w:numPr>
          <w:ilvl w:val="0"/>
          <w:numId w:val="2"/>
        </w:numPr>
        <w:spacing w:before="40" w:after="40"/>
      </w:pPr>
      <w:r>
        <w:rPr>
          <w:rFonts w:ascii="Arial" w:cs="Arial" w:eastAsia="Arial" w:hAnsi="Arial"/>
          <w:color w:val="1A1A2E"/>
          <w:sz w:val="20"/>
          <w:szCs w:val="20"/>
        </w:rPr>
        <w:t xml:space="preserve">Post-Joining Salary Confirmation: At the 30-day mark after joining, the system sends a confidential survey. If the actual salary differs from the offered CTC, it is logged and affects the company's salary accuracy score.</w:t>
      </w:r>
    </w:p>
    <w:p>
      <w:r>
        <w:t xml:space="preserve"/>
      </w:r>
    </w:p>
    <w:p>
      <w:pPr>
        <w:pStyle w:val="Heading2"/>
        <w:spacing w:before="280" w:after="120"/>
      </w:pPr>
      <w:r>
        <w:rPr>
          <w:rFonts w:ascii="Arial" w:cs="Arial" w:eastAsia="Arial" w:hAnsi="Arial"/>
          <w:b/>
          <w:bCs/>
          <w:color w:val="2E86AB"/>
          <w:sz w:val="28"/>
          <w:szCs w:val="28"/>
        </w:rPr>
        <w:t xml:space="preserve">5.3  SME Trust Score — Candidate View</w:t>
      </w:r>
    </w:p>
    <w:p>
      <w:pPr>
        <w:spacing w:before="60" w:after="80"/>
        <w:jc w:val="left"/>
      </w:pPr>
      <w:r>
        <w:rPr>
          <w:rFonts w:ascii="Arial" w:cs="Arial" w:eastAsia="Arial" w:hAnsi="Arial"/>
          <w:b w:val="false"/>
          <w:bCs w:val="false"/>
          <w:i w:val="false"/>
          <w:iCs w:val="false"/>
          <w:color w:val="1A1A2E"/>
          <w:sz w:val="20"/>
          <w:szCs w:val="20"/>
        </w:rPr>
        <w:t xml:space="preserve">For SME job listings, additional trust information is displayed to help candidates make informed decisions about the risk level of accepting an SME offer: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Trust Signal</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 for the Candidate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Offer Fulfillment Rate</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Percentage of issued offers that were actually honored — shown as a percentage with trend (improving or declining)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Average Retention at 90 Days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What percentage of placed candidates stayed beyond 90 days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Salary Match Accuracy</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How closely the actual paid salary matched the advertised CTC</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Recruiter Response Score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Average response time from this company's recruiter team</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Business Stability Indicators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Years of operation, funding stage (if available), recent team growth/shrinkage signals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Hire History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Number of campus hires in past 2 years — a company with no hiring history is flagged</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Institute Feedback</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Aggregated feedback from TPOs across institutes that have placed with this company</w:t>
            </w:r>
          </w:p>
        </w:tc>
      </w:tr>
    </w:tbl>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6</w:t>
            </w:r>
          </w:p>
          <w:p>
            <w:pPr>
              <w:jc w:val="left"/>
            </w:pPr>
            <w:r>
              <w:rPr>
                <w:rFonts w:ascii="Arial" w:cs="Arial" w:eastAsia="Arial" w:hAnsi="Arial"/>
                <w:i/>
                <w:iCs/>
                <w:color w:val="AACCEE"/>
                <w:sz w:val="19"/>
                <w:szCs w:val="19"/>
              </w:rPr>
              <w:t xml:space="preserve">Post-Placement Tracking &amp; Career Continuity</w:t>
            </w:r>
          </w:p>
        </w:tc>
      </w:tr>
    </w:tbl>
    <w:p>
      <w:r>
        <w:t xml:space="preserve"/>
      </w:r>
    </w:p>
    <w:p>
      <w:pPr>
        <w:pStyle w:val="Heading2"/>
        <w:spacing w:before="280" w:after="120"/>
      </w:pPr>
      <w:r>
        <w:rPr>
          <w:rFonts w:ascii="Arial" w:cs="Arial" w:eastAsia="Arial" w:hAnsi="Arial"/>
          <w:b/>
          <w:bCs/>
          <w:color w:val="2E86AB"/>
          <w:sz w:val="28"/>
          <w:szCs w:val="28"/>
        </w:rPr>
        <w:t xml:space="preserve">6.1  30-60-90 Day Post-Joining Tracker</w:t>
      </w:r>
    </w:p>
    <w:p>
      <w:pPr>
        <w:spacing w:before="60" w:after="80"/>
        <w:jc w:val="left"/>
      </w:pPr>
      <w:r>
        <w:rPr>
          <w:rFonts w:ascii="Arial" w:cs="Arial" w:eastAsia="Arial" w:hAnsi="Arial"/>
          <w:b w:val="false"/>
          <w:bCs w:val="false"/>
          <w:i w:val="false"/>
          <w:iCs w:val="false"/>
          <w:color w:val="1A1A2E"/>
          <w:sz w:val="20"/>
          <w:szCs w:val="20"/>
        </w:rPr>
        <w:t xml:space="preserve">Placement does not end when the offer is accepted. The platform continues to track the quality of the placement experience to protect future candidates and maintain accountability.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Check-in Point</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Captures</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Day 30 Survey</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Quick 5-question survey sent confidentially to the placed candidate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Did you join? Is the role as described? Is salary as offered?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Day 60 Survey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Deeper 10-question survey on work environment and growth</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Job satisfaction, manager quality, actual responsibilities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Day 90 Survey</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Full placement quality review</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Would you recommend this company to other students? Overall rating.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Early Exit Report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Triggered if candidate leaves before 90 days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Structured reason categories — not open text to prevent emotional bias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Retention Alert</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Sent to institute TPO if &gt;3 candidates from the same batch leave the same company within 90 days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Enables institute to investigate pattern and blacklist if needed</w:t>
            </w:r>
          </w:p>
        </w:tc>
      </w:tr>
    </w:tbl>
    <w:p>
      <w:r>
        <w:t xml:space="preserve"/>
      </w:r>
    </w:p>
    <w:p>
      <w:pPr>
        <w:pStyle w:val="Heading2"/>
        <w:spacing w:before="280" w:after="120"/>
      </w:pPr>
      <w:r>
        <w:rPr>
          <w:rFonts w:ascii="Arial" w:cs="Arial" w:eastAsia="Arial" w:hAnsi="Arial"/>
          <w:b/>
          <w:bCs/>
          <w:color w:val="2E86AB"/>
          <w:sz w:val="28"/>
          <w:szCs w:val="28"/>
        </w:rPr>
        <w:t xml:space="preserve">6.2  Career Path Progression Tracking</w:t>
      </w:r>
    </w:p>
    <w:p>
      <w:pPr>
        <w:spacing w:before="60" w:after="80"/>
        <w:jc w:val="left"/>
      </w:pPr>
      <w:r>
        <w:rPr>
          <w:rFonts w:ascii="Arial" w:cs="Arial" w:eastAsia="Arial" w:hAnsi="Arial"/>
          <w:b w:val="false"/>
          <w:bCs w:val="false"/>
          <w:i w:val="false"/>
          <w:iCs w:val="false"/>
          <w:color w:val="1A1A2E"/>
          <w:sz w:val="20"/>
          <w:szCs w:val="20"/>
        </w:rPr>
        <w:t xml:space="preserve">For candidates who remain engaged with the platform post-placement, the career tracking module offers continuous career intelligence:</w:t>
      </w:r>
    </w:p>
    <w:p>
      <w:r>
        <w:t xml:space="preserve"/>
      </w:r>
    </w:p>
    <w:p>
      <w:pPr>
        <w:pStyle w:val="ListParagraph"/>
        <w:numPr>
          <w:ilvl w:val="0"/>
          <w:numId w:val="2"/>
        </w:numPr>
        <w:spacing w:before="40" w:after="40"/>
      </w:pPr>
      <w:r>
        <w:rPr>
          <w:rFonts w:ascii="Arial" w:cs="Arial" w:eastAsia="Arial" w:hAnsi="Arial"/>
          <w:color w:val="1A1A2E"/>
          <w:sz w:val="20"/>
          <w:szCs w:val="20"/>
        </w:rPr>
        <w:t xml:space="preserve">Role Progression Log: Promotions, role changes, salary increments are logged when the candidate updates their profile</w:t>
      </w:r>
    </w:p>
    <w:p>
      <w:pPr>
        <w:pStyle w:val="ListParagraph"/>
        <w:numPr>
          <w:ilvl w:val="0"/>
          <w:numId w:val="2"/>
        </w:numPr>
        <w:spacing w:before="40" w:after="40"/>
      </w:pPr>
      <w:r>
        <w:rPr>
          <w:rFonts w:ascii="Arial" w:cs="Arial" w:eastAsia="Arial" w:hAnsi="Arial"/>
          <w:color w:val="1A1A2E"/>
          <w:sz w:val="20"/>
          <w:szCs w:val="20"/>
        </w:rPr>
        <w:t xml:space="preserve">Skill Gap Alerts: As the job market evolves, the system alerts the candidate when new skills are becoming requirements for their target career path</w:t>
      </w:r>
    </w:p>
    <w:p>
      <w:pPr>
        <w:pStyle w:val="ListParagraph"/>
        <w:numPr>
          <w:ilvl w:val="0"/>
          <w:numId w:val="2"/>
        </w:numPr>
        <w:spacing w:before="40" w:after="40"/>
      </w:pPr>
      <w:r>
        <w:rPr>
          <w:rFonts w:ascii="Arial" w:cs="Arial" w:eastAsia="Arial" w:hAnsi="Arial"/>
          <w:color w:val="1A1A2E"/>
          <w:sz w:val="20"/>
          <w:szCs w:val="20"/>
        </w:rPr>
        <w:t xml:space="preserve">Upskilling Recommendations: Tied to Ecoskiller's skill modules — if a candidate wants to move from junior developer to tech lead in 2 years, a structured learning path is generated</w:t>
      </w:r>
    </w:p>
    <w:p>
      <w:pPr>
        <w:pStyle w:val="ListParagraph"/>
        <w:numPr>
          <w:ilvl w:val="0"/>
          <w:numId w:val="2"/>
        </w:numPr>
        <w:spacing w:before="40" w:after="40"/>
      </w:pPr>
      <w:r>
        <w:rPr>
          <w:rFonts w:ascii="Arial" w:cs="Arial" w:eastAsia="Arial" w:hAnsi="Arial"/>
          <w:color w:val="1A1A2E"/>
          <w:sz w:val="20"/>
          <w:szCs w:val="20"/>
        </w:rPr>
        <w:t xml:space="preserve">Alumni Network Integration: Connects placed candidates to seniors from the same institute who took similar career paths — for mentoring and guidance</w:t>
      </w:r>
    </w:p>
    <w:p>
      <w:pPr>
        <w:pStyle w:val="ListParagraph"/>
        <w:numPr>
          <w:ilvl w:val="0"/>
          <w:numId w:val="2"/>
        </w:numPr>
        <w:spacing w:before="40" w:after="40"/>
      </w:pPr>
      <w:r>
        <w:rPr>
          <w:rFonts w:ascii="Arial" w:cs="Arial" w:eastAsia="Arial" w:hAnsi="Arial"/>
          <w:color w:val="1A1A2E"/>
          <w:sz w:val="20"/>
          <w:szCs w:val="20"/>
        </w:rPr>
        <w:t xml:space="preserve">Re-entry Support: If a candidate is displaced (laid off or offer withdrawn), the profile is immediately activated for recruiter search with a priority flag</w:t>
      </w:r>
    </w:p>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7</w:t>
            </w:r>
          </w:p>
          <w:p>
            <w:pPr>
              <w:jc w:val="left"/>
            </w:pPr>
            <w:r>
              <w:rPr>
                <w:rFonts w:ascii="Arial" w:cs="Arial" w:eastAsia="Arial" w:hAnsi="Arial"/>
                <w:i/>
                <w:iCs/>
                <w:color w:val="AACCEE"/>
                <w:sz w:val="19"/>
                <w:szCs w:val="19"/>
              </w:rPr>
              <w:t xml:space="preserve">Gamification, Dojo Arena &amp; Skill Development</w:t>
            </w:r>
          </w:p>
        </w:tc>
      </w:tr>
    </w:tbl>
    <w:p>
      <w:r>
        <w:t xml:space="preserve"/>
      </w:r>
    </w:p>
    <w:p>
      <w:pPr>
        <w:pStyle w:val="Heading2"/>
        <w:spacing w:before="280" w:after="120"/>
      </w:pPr>
      <w:r>
        <w:rPr>
          <w:rFonts w:ascii="Arial" w:cs="Arial" w:eastAsia="Arial" w:hAnsi="Arial"/>
          <w:b/>
          <w:bCs/>
          <w:color w:val="2E86AB"/>
          <w:sz w:val="28"/>
          <w:szCs w:val="28"/>
        </w:rPr>
        <w:t xml:space="preserve">7.1  Dojo Arena — Competitive Skill Training</w:t>
      </w:r>
    </w:p>
    <w:p>
      <w:pPr>
        <w:spacing w:before="60" w:after="80"/>
        <w:jc w:val="left"/>
      </w:pPr>
      <w:r>
        <w:rPr>
          <w:rFonts w:ascii="Arial" w:cs="Arial" w:eastAsia="Arial" w:hAnsi="Arial"/>
          <w:b w:val="false"/>
          <w:bCs w:val="false"/>
          <w:i w:val="false"/>
          <w:iCs w:val="false"/>
          <w:color w:val="1A1A2E"/>
          <w:sz w:val="20"/>
          <w:szCs w:val="20"/>
        </w:rPr>
        <w:t xml:space="preserve">Dojo is a live, WebRTC-powered competitive arena where candidates practice and demonstrate skills through real challenges, not theoretical tests. The Dojo is the skill evidence engine — its outcomes directly feed the candidate's skills profile and recruiter-visible score.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pPr>
              <w:spacing w:before="60" w:after="80"/>
            </w:pPr>
            <w:r>
              <w:rPr>
                <w:rFonts w:ascii="Arial" w:cs="Arial" w:eastAsia="Arial" w:hAnsi="Arial"/>
                <w:b/>
                <w:bCs/>
                <w:color w:val="1B3A6B"/>
                <w:sz w:val="22"/>
                <w:szCs w:val="22"/>
              </w:rPr>
              <w:t xml:space="preserve">◆  Dojo Core Engines</w:t>
            </w:r>
          </w:p>
          <w:p>
            <w:pPr>
              <w:pStyle w:val="ListParagraph"/>
              <w:numPr>
                <w:ilvl w:val="0"/>
                <w:numId w:val="2"/>
              </w:numPr>
              <w:spacing w:before="30" w:after="30"/>
            </w:pPr>
            <w:r>
              <w:rPr>
                <w:rFonts w:ascii="Arial" w:cs="Arial" w:eastAsia="Arial" w:hAnsi="Arial"/>
                <w:color w:val="1A1A2E"/>
                <w:sz w:val="19"/>
                <w:szCs w:val="19"/>
              </w:rPr>
              <w:t xml:space="preserve">Match Engine: Pairs two candidates for a 1v1 skill challenge (e.g., live coding battle, debate, case study). Match outcomes are rated and recorded.</w:t>
            </w:r>
          </w:p>
          <w:p>
            <w:pPr>
              <w:pStyle w:val="ListParagraph"/>
              <w:numPr>
                <w:ilvl w:val="0"/>
                <w:numId w:val="2"/>
              </w:numPr>
              <w:spacing w:before="30" w:after="30"/>
            </w:pPr>
            <w:r>
              <w:rPr>
                <w:rFonts w:ascii="Arial" w:cs="Arial" w:eastAsia="Arial" w:hAnsi="Arial"/>
                <w:color w:val="1A1A2E"/>
                <w:sz w:val="19"/>
                <w:szCs w:val="19"/>
              </w:rPr>
              <w:t xml:space="preserve">Scenario Engine: Presents real-world workplace scenarios — candidate must respond. Used for soft skill, managerial, and communication assessment.</w:t>
            </w:r>
          </w:p>
          <w:p>
            <w:pPr>
              <w:pStyle w:val="ListParagraph"/>
              <w:numPr>
                <w:ilvl w:val="0"/>
                <w:numId w:val="2"/>
              </w:numPr>
              <w:spacing w:before="30" w:after="30"/>
            </w:pPr>
            <w:r>
              <w:rPr>
                <w:rFonts w:ascii="Arial" w:cs="Arial" w:eastAsia="Arial" w:hAnsi="Arial"/>
                <w:color w:val="1A1A2E"/>
                <w:sz w:val="19"/>
                <w:szCs w:val="19"/>
              </w:rPr>
              <w:t xml:space="preserve">Belt Engine: Candidates earn progression belts (similar to martial arts belts) as they accumulate match wins and verified skill depth. White Belt → Yellow → Green → Blue → Black Belt per skill domain.</w:t>
            </w:r>
          </w:p>
          <w:p>
            <w:pPr>
              <w:pStyle w:val="ListParagraph"/>
              <w:numPr>
                <w:ilvl w:val="0"/>
                <w:numId w:val="2"/>
              </w:numPr>
              <w:spacing w:before="30" w:after="30"/>
            </w:pPr>
            <w:r>
              <w:rPr>
                <w:rFonts w:ascii="Arial" w:cs="Arial" w:eastAsia="Arial" w:hAnsi="Arial"/>
                <w:color w:val="1A1A2E"/>
                <w:sz w:val="19"/>
                <w:szCs w:val="19"/>
              </w:rPr>
              <w:t xml:space="preserve">Tournament Engine: Periodic skill tournaments — top performers are featured in recruiter-visible leaderboards. Winning a tournament is high-signal evidence for that skill.</w:t>
            </w:r>
          </w:p>
          <w:p>
            <w:pPr>
              <w:pStyle w:val="ListParagraph"/>
              <w:numPr>
                <w:ilvl w:val="0"/>
                <w:numId w:val="2"/>
              </w:numPr>
              <w:spacing w:before="30" w:after="30"/>
            </w:pPr>
            <w:r>
              <w:rPr>
                <w:rFonts w:ascii="Arial" w:cs="Arial" w:eastAsia="Arial" w:hAnsi="Arial"/>
                <w:color w:val="1A1A2E"/>
                <w:sz w:val="19"/>
                <w:szCs w:val="19"/>
              </w:rPr>
              <w:t xml:space="preserve">Replay Engine: Every Dojo session is replayable (text/log format, not video). Candidates can review their performance; recruiters can review candidate performance.</w:t>
            </w:r>
          </w:p>
          <w:p>
            <w:pPr>
              <w:pStyle w:val="ListParagraph"/>
              <w:numPr>
                <w:ilvl w:val="0"/>
                <w:numId w:val="2"/>
              </w:numPr>
              <w:spacing w:before="30" w:after="30"/>
            </w:pPr>
            <w:r>
              <w:rPr>
                <w:rFonts w:ascii="Arial" w:cs="Arial" w:eastAsia="Arial" w:hAnsi="Arial"/>
                <w:color w:val="1A1A2E"/>
                <w:sz w:val="19"/>
                <w:szCs w:val="19"/>
              </w:rPr>
              <w:t xml:space="preserve">Mentor Control Engine: Mentors and subject-matter experts can observe live Dojo sessions, assign challenges, and provide structured feedback that becomes part of the candidate's development log.</w:t>
            </w:r>
          </w:p>
          <w:p>
            <w:pPr>
              <w:pStyle w:val="ListParagraph"/>
              <w:numPr>
                <w:ilvl w:val="0"/>
                <w:numId w:val="2"/>
              </w:numPr>
              <w:spacing w:before="30" w:after="30"/>
            </w:pPr>
            <w:r>
              <w:rPr>
                <w:rFonts w:ascii="Arial" w:cs="Arial" w:eastAsia="Arial" w:hAnsi="Arial"/>
                <w:color w:val="1A1A2E"/>
                <w:sz w:val="19"/>
                <w:szCs w:val="19"/>
              </w:rPr>
              <w:t xml:space="preserve">Rating Engine: ELO-based rating system ensures that wins against strong opponents are weighted more than wins against weak ones — prevents gaming the system.</w:t>
            </w:r>
          </w:p>
          <w:p>
            <w:pPr>
              <w:pStyle w:val="ListParagraph"/>
              <w:numPr>
                <w:ilvl w:val="0"/>
                <w:numId w:val="2"/>
              </w:numPr>
              <w:spacing w:before="30" w:after="30"/>
            </w:pPr>
            <w:r>
              <w:rPr>
                <w:rFonts w:ascii="Arial" w:cs="Arial" w:eastAsia="Arial" w:hAnsi="Arial"/>
                <w:color w:val="1A1A2E"/>
                <w:sz w:val="19"/>
                <w:szCs w:val="19"/>
              </w:rPr>
              <w:t xml:space="preserve">Analytics Engine: Per-candidate analytics on improvement trends, strongest skill categories, weakest areas, and recommended next challenges.</w:t>
            </w:r>
          </w:p>
        </w:tc>
      </w:tr>
    </w:tbl>
    <w:p>
      <w:r>
        <w:t xml:space="preserve"/>
      </w:r>
    </w:p>
    <w:p>
      <w:pPr>
        <w:pStyle w:val="Heading2"/>
        <w:spacing w:before="280" w:after="120"/>
      </w:pPr>
      <w:r>
        <w:rPr>
          <w:rFonts w:ascii="Arial" w:cs="Arial" w:eastAsia="Arial" w:hAnsi="Arial"/>
          <w:b/>
          <w:bCs/>
          <w:color w:val="2E86AB"/>
          <w:sz w:val="28"/>
          <w:szCs w:val="28"/>
        </w:rPr>
        <w:t xml:space="preserve">7.2  Gamification Mechanics (100+ Elements)</w:t>
      </w:r>
    </w:p>
    <w:p>
      <w:pPr>
        <w:spacing w:before="60" w:after="80"/>
        <w:jc w:val="left"/>
      </w:pPr>
      <w:r>
        <w:rPr>
          <w:rFonts w:ascii="Arial" w:cs="Arial" w:eastAsia="Arial" w:hAnsi="Arial"/>
          <w:b w:val="false"/>
          <w:bCs w:val="false"/>
          <w:i w:val="false"/>
          <w:iCs w:val="false"/>
          <w:color w:val="1A1A2E"/>
          <w:sz w:val="20"/>
          <w:szCs w:val="20"/>
        </w:rPr>
        <w:t xml:space="preserve">The platform uses over 100 gamification mechanics to keep candidates engaged in continuous skill development. Key mechanics include: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Mechanic</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XP Points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Earned for every meaningful action: assessments, GD participation, project uploads, applications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Core progression currency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Skill Badges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Visual proof of verified skill achievement — displayed on profile, visible to recruiters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Social proof + recruiter signal</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Placement Streaks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Consecutive days of profile activity, application follow-up, or skill practice</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Engagement habit formation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Leaderboards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Institute-level, city-level, and national rankings per skill domain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Competitive motivation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Challenge Coins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Special rewards for completing difficult assessments or Dojo tournaments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High-value achievement markers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Level Progression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Overall candidate level (Fresher → Explorer → Achiever → Champion → Legend)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Visible career stage indicator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Daily Missions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Short, achievable tasks that reward consistent engagement</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Daily habit formation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Referral Rewards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XP for inviting peers who successfully complete verification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Community growth</w:t>
            </w:r>
          </w:p>
        </w:tc>
      </w:tr>
    </w:tbl>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8</w:t>
            </w:r>
          </w:p>
          <w:p>
            <w:pPr>
              <w:jc w:val="left"/>
            </w:pPr>
            <w:r>
              <w:rPr>
                <w:rFonts w:ascii="Arial" w:cs="Arial" w:eastAsia="Arial" w:hAnsi="Arial"/>
                <w:i/>
                <w:iCs/>
                <w:color w:val="AACCEE"/>
                <w:sz w:val="19"/>
                <w:szCs w:val="19"/>
              </w:rPr>
              <w:t xml:space="preserve">Candidate Dashboard, Notifications &amp; Communication</w:t>
            </w:r>
          </w:p>
        </w:tc>
      </w:tr>
    </w:tbl>
    <w:p>
      <w:r>
        <w:t xml:space="preserve"/>
      </w:r>
    </w:p>
    <w:p>
      <w:pPr>
        <w:pStyle w:val="Heading2"/>
        <w:spacing w:before="280" w:after="120"/>
      </w:pPr>
      <w:r>
        <w:rPr>
          <w:rFonts w:ascii="Arial" w:cs="Arial" w:eastAsia="Arial" w:hAnsi="Arial"/>
          <w:b/>
          <w:bCs/>
          <w:color w:val="2E86AB"/>
          <w:sz w:val="28"/>
          <w:szCs w:val="28"/>
        </w:rPr>
        <w:t xml:space="preserve">8.1  The Candidate Dashboard</w:t>
      </w:r>
    </w:p>
    <w:p>
      <w:pPr>
        <w:spacing w:before="60" w:after="80"/>
        <w:jc w:val="left"/>
      </w:pPr>
      <w:r>
        <w:rPr>
          <w:rFonts w:ascii="Arial" w:cs="Arial" w:eastAsia="Arial" w:hAnsi="Arial"/>
          <w:b w:val="false"/>
          <w:bCs w:val="false"/>
          <w:i w:val="false"/>
          <w:iCs w:val="false"/>
          <w:color w:val="1A1A2E"/>
          <w:sz w:val="20"/>
          <w:szCs w:val="20"/>
        </w:rPr>
        <w:t xml:space="preserve">The dashboard is the mission control screen for a candidate's job search. It is designed to surface the most critical information at a glance without requiring navigation:</w:t>
      </w:r>
    </w:p>
    <w:p>
      <w:r>
        <w:t xml:space="preserve"/>
      </w:r>
    </w:p>
    <w:p>
      <w:pPr>
        <w:pStyle w:val="ListParagraph"/>
        <w:numPr>
          <w:ilvl w:val="0"/>
          <w:numId w:val="2"/>
        </w:numPr>
        <w:spacing w:before="40" w:after="40"/>
      </w:pPr>
      <w:r>
        <w:rPr>
          <w:rFonts w:ascii="Arial" w:cs="Arial" w:eastAsia="Arial" w:hAnsi="Arial"/>
          <w:color w:val="1A1A2E"/>
          <w:sz w:val="20"/>
          <w:szCs w:val="20"/>
        </w:rPr>
        <w:t xml:space="preserve">Placement Readiness Score (0–100): A composite score across profile completeness, skill depth, GD performance, and academic eligibility. This score is shown to recruiters during search.</w:t>
      </w:r>
    </w:p>
    <w:p>
      <w:pPr>
        <w:pStyle w:val="ListParagraph"/>
        <w:numPr>
          <w:ilvl w:val="0"/>
          <w:numId w:val="2"/>
        </w:numPr>
        <w:spacing w:before="40" w:after="40"/>
      </w:pPr>
      <w:r>
        <w:rPr>
          <w:rFonts w:ascii="Arial" w:cs="Arial" w:eastAsia="Arial" w:hAnsi="Arial"/>
          <w:color w:val="1A1A2E"/>
          <w:sz w:val="20"/>
          <w:szCs w:val="20"/>
        </w:rPr>
        <w:t xml:space="preserve">Active Application Pipeline: Visual pipeline view of all applications by status — how many are in review, shortlisted, in interview, or waiting for offers.</w:t>
      </w:r>
    </w:p>
    <w:p>
      <w:pPr>
        <w:pStyle w:val="ListParagraph"/>
        <w:numPr>
          <w:ilvl w:val="0"/>
          <w:numId w:val="2"/>
        </w:numPr>
        <w:spacing w:before="40" w:after="40"/>
      </w:pPr>
      <w:r>
        <w:rPr>
          <w:rFonts w:ascii="Arial" w:cs="Arial" w:eastAsia="Arial" w:hAnsi="Arial"/>
          <w:color w:val="1A1A2E"/>
          <w:sz w:val="20"/>
          <w:szCs w:val="20"/>
        </w:rPr>
        <w:t xml:space="preserve">Upcoming GD Sessions: Scheduled GD rounds with join countdown timer, topic preview, and preparation tips.</w:t>
      </w:r>
    </w:p>
    <w:p>
      <w:pPr>
        <w:pStyle w:val="ListParagraph"/>
        <w:numPr>
          <w:ilvl w:val="0"/>
          <w:numId w:val="2"/>
        </w:numPr>
        <w:spacing w:before="40" w:after="40"/>
      </w:pPr>
      <w:r>
        <w:rPr>
          <w:rFonts w:ascii="Arial" w:cs="Arial" w:eastAsia="Arial" w:hAnsi="Arial"/>
          <w:color w:val="1A1A2E"/>
          <w:sz w:val="20"/>
          <w:szCs w:val="20"/>
        </w:rPr>
        <w:t xml:space="preserve">Skill Gap Summary: Top 3 skill gaps against the jobs the candidate has applied for or is interested in — with direct links to relevant Dojo exercises or assessments.</w:t>
      </w:r>
    </w:p>
    <w:p>
      <w:pPr>
        <w:pStyle w:val="ListParagraph"/>
        <w:numPr>
          <w:ilvl w:val="0"/>
          <w:numId w:val="2"/>
        </w:numPr>
        <w:spacing w:before="40" w:after="40"/>
      </w:pPr>
      <w:r>
        <w:rPr>
          <w:rFonts w:ascii="Arial" w:cs="Arial" w:eastAsia="Arial" w:hAnsi="Arial"/>
          <w:color w:val="1A1A2E"/>
          <w:sz w:val="20"/>
          <w:szCs w:val="20"/>
        </w:rPr>
        <w:t xml:space="preserve">Company Trust Alerts: If a company the candidate has applied to has shown recent negative signals (offer withdrawals, recruiter ghosting), the candidate is proactively notified.</w:t>
      </w:r>
    </w:p>
    <w:p>
      <w:pPr>
        <w:pStyle w:val="ListParagraph"/>
        <w:numPr>
          <w:ilvl w:val="0"/>
          <w:numId w:val="2"/>
        </w:numPr>
        <w:spacing w:before="40" w:after="40"/>
      </w:pPr>
      <w:r>
        <w:rPr>
          <w:rFonts w:ascii="Arial" w:cs="Arial" w:eastAsia="Arial" w:hAnsi="Arial"/>
          <w:color w:val="1A1A2E"/>
          <w:sz w:val="20"/>
          <w:szCs w:val="20"/>
        </w:rPr>
        <w:t xml:space="preserve">Profile Visibility Stats: How many recruiters have viewed the profile this week, from which industries, and what search queries triggered the view.</w:t>
      </w:r>
    </w:p>
    <w:p>
      <w:pPr>
        <w:pStyle w:val="ListParagraph"/>
        <w:numPr>
          <w:ilvl w:val="0"/>
          <w:numId w:val="2"/>
        </w:numPr>
        <w:spacing w:before="40" w:after="40"/>
      </w:pPr>
      <w:r>
        <w:rPr>
          <w:rFonts w:ascii="Arial" w:cs="Arial" w:eastAsia="Arial" w:hAnsi="Arial"/>
          <w:color w:val="1A1A2E"/>
          <w:sz w:val="20"/>
          <w:szCs w:val="20"/>
        </w:rPr>
        <w:t xml:space="preserve">AI Career Suggestion: One personalized career insight per day — based on market trends, the candidate's intelligence profile, and their skill growth trajectory.</w:t>
      </w:r>
    </w:p>
    <w:p>
      <w:r>
        <w:t xml:space="preserve"/>
      </w:r>
    </w:p>
    <w:p>
      <w:pPr>
        <w:pStyle w:val="Heading2"/>
        <w:spacing w:before="280" w:after="120"/>
      </w:pPr>
      <w:r>
        <w:rPr>
          <w:rFonts w:ascii="Arial" w:cs="Arial" w:eastAsia="Arial" w:hAnsi="Arial"/>
          <w:b/>
          <w:bCs/>
          <w:color w:val="2E86AB"/>
          <w:sz w:val="28"/>
          <w:szCs w:val="28"/>
        </w:rPr>
        <w:t xml:space="preserve">8.2  Notification System</w:t>
      </w:r>
    </w:p>
    <w:p>
      <w:pPr>
        <w:spacing w:before="60" w:after="80"/>
        <w:jc w:val="left"/>
      </w:pPr>
      <w:r>
        <w:rPr>
          <w:rFonts w:ascii="Arial" w:cs="Arial" w:eastAsia="Arial" w:hAnsi="Arial"/>
          <w:b w:val="false"/>
          <w:bCs w:val="false"/>
          <w:i w:val="false"/>
          <w:iCs w:val="false"/>
          <w:color w:val="1A1A2E"/>
          <w:sz w:val="20"/>
          <w:szCs w:val="20"/>
        </w:rPr>
        <w:t xml:space="preserve">Notifications are contextual, actionable, and categorized — not a flood of generic alerts: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Notification Type</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Recruiter Viewed Profile</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Name of company, role they were sourcing for, time stamp — immediate alert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Application Shortlisted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Company name, role, next step details, deadline if applicable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GD Session Reminder</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24 hours, 2 hours, 30 minutes before session — with countdown and topic recap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Offer Letter Received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Immediate push notification + email — offer details summary shown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Offer Expiry Warning</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48-hour and 24-hour warnings before offer expires — with decision prompts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Salary Discrepancy Detected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If recruiter attempts to modify salary post-acceptance — immediate alert + lock confirmation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Ghosting Alert</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Recruiter has not responded for 14 days — option to send escalation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Skill Badge Earned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New skill evidence validated — badge added to profile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Company Trust Change</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 company you applied to has had a trust score change (up or down)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Campus Drive Announced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Institute's TPO has approved a new campus drive — exclusive early-apply window</w:t>
            </w:r>
          </w:p>
        </w:tc>
      </w:tr>
    </w:tbl>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9</w:t>
            </w:r>
          </w:p>
          <w:p>
            <w:pPr>
              <w:jc w:val="left"/>
            </w:pPr>
            <w:r>
              <w:rPr>
                <w:rFonts w:ascii="Arial" w:cs="Arial" w:eastAsia="Arial" w:hAnsi="Arial"/>
                <w:i/>
                <w:iCs/>
                <w:color w:val="AACCEE"/>
                <w:sz w:val="19"/>
                <w:szCs w:val="19"/>
              </w:rPr>
              <w:t xml:space="preserve">Candidate Privacy, Compliance &amp; Data Rights</w:t>
            </w:r>
          </w:p>
        </w:tc>
      </w:tr>
    </w:tbl>
    <w:p>
      <w:r>
        <w:t xml:space="preserve"/>
      </w:r>
    </w:p>
    <w:p>
      <w:pPr>
        <w:pStyle w:val="Heading2"/>
        <w:spacing w:before="280" w:after="120"/>
      </w:pPr>
      <w:r>
        <w:rPr>
          <w:rFonts w:ascii="Arial" w:cs="Arial" w:eastAsia="Arial" w:hAnsi="Arial"/>
          <w:b/>
          <w:bCs/>
          <w:color w:val="2E86AB"/>
          <w:sz w:val="28"/>
          <w:szCs w:val="28"/>
        </w:rPr>
        <w:t xml:space="preserve">9.1  Data Rights &amp; Controls</w:t>
      </w:r>
    </w:p>
    <w:p>
      <w:pPr>
        <w:spacing w:before="60" w:after="80"/>
        <w:jc w:val="left"/>
      </w:pPr>
      <w:r>
        <w:rPr>
          <w:rFonts w:ascii="Arial" w:cs="Arial" w:eastAsia="Arial" w:hAnsi="Arial"/>
          <w:b w:val="false"/>
          <w:bCs w:val="false"/>
          <w:i w:val="false"/>
          <w:iCs w:val="false"/>
          <w:color w:val="1A1A2E"/>
          <w:sz w:val="20"/>
          <w:szCs w:val="20"/>
        </w:rPr>
        <w:t xml:space="preserve">Candidates retain complete ownership and control over their data. The platform operates on a consent-first, transparency-always model:</w:t>
      </w:r>
    </w:p>
    <w:p>
      <w:r>
        <w:t xml:space="preserve"/>
      </w:r>
    </w:p>
    <w:p>
      <w:pPr>
        <w:pStyle w:val="ListParagraph"/>
        <w:numPr>
          <w:ilvl w:val="0"/>
          <w:numId w:val="2"/>
        </w:numPr>
        <w:spacing w:before="40" w:after="40"/>
      </w:pPr>
      <w:r>
        <w:rPr>
          <w:rFonts w:ascii="Arial" w:cs="Arial" w:eastAsia="Arial" w:hAnsi="Arial"/>
          <w:color w:val="1A1A2E"/>
          <w:sz w:val="20"/>
          <w:szCs w:val="20"/>
        </w:rPr>
        <w:t xml:space="preserve">Profile Visibility Toggle: Candidate can set profile to 'Active' (fully visible to all recruiters), 'Limited' (visible only to campus drives from their institute), 'Passive' (visible only to recruiters who have their job saved), or 'Hidden' (invisible).</w:t>
      </w:r>
    </w:p>
    <w:p>
      <w:pPr>
        <w:pStyle w:val="ListParagraph"/>
        <w:numPr>
          <w:ilvl w:val="0"/>
          <w:numId w:val="2"/>
        </w:numPr>
        <w:spacing w:before="40" w:after="40"/>
      </w:pPr>
      <w:r>
        <w:rPr>
          <w:rFonts w:ascii="Arial" w:cs="Arial" w:eastAsia="Arial" w:hAnsi="Arial"/>
          <w:color w:val="1A1A2E"/>
          <w:sz w:val="20"/>
          <w:szCs w:val="20"/>
        </w:rPr>
        <w:t xml:space="preserve">Application Withdrawal: Applications can be withdrawn at any point before an offer is issued. Withdrawal is immediate and removes the application from recruiter view.</w:t>
      </w:r>
    </w:p>
    <w:p>
      <w:pPr>
        <w:pStyle w:val="ListParagraph"/>
        <w:numPr>
          <w:ilvl w:val="0"/>
          <w:numId w:val="2"/>
        </w:numPr>
        <w:spacing w:before="40" w:after="40"/>
      </w:pPr>
      <w:r>
        <w:rPr>
          <w:rFonts w:ascii="Arial" w:cs="Arial" w:eastAsia="Arial" w:hAnsi="Arial"/>
          <w:color w:val="1A1A2E"/>
          <w:sz w:val="20"/>
          <w:szCs w:val="20"/>
        </w:rPr>
        <w:t xml:space="preserve">Data Export: Full data export available at any time — all profile data, applications, GD scores, offer history, and activity logs in JSON/PDF format.</w:t>
      </w:r>
    </w:p>
    <w:p>
      <w:pPr>
        <w:pStyle w:val="ListParagraph"/>
        <w:numPr>
          <w:ilvl w:val="0"/>
          <w:numId w:val="2"/>
        </w:numPr>
        <w:spacing w:before="40" w:after="40"/>
      </w:pPr>
      <w:r>
        <w:rPr>
          <w:rFonts w:ascii="Arial" w:cs="Arial" w:eastAsia="Arial" w:hAnsi="Arial"/>
          <w:color w:val="1A1A2E"/>
          <w:sz w:val="20"/>
          <w:szCs w:val="20"/>
        </w:rPr>
        <w:t xml:space="preserve">Account Deletion: Full account deletion request processed within 30 days. Anonymized, aggregate data (company trust scores, GD outcome statistics) may be retained as these are not personally identifiable.</w:t>
      </w:r>
    </w:p>
    <w:p>
      <w:pPr>
        <w:pStyle w:val="ListParagraph"/>
        <w:numPr>
          <w:ilvl w:val="0"/>
          <w:numId w:val="2"/>
        </w:numPr>
        <w:spacing w:before="40" w:after="40"/>
      </w:pPr>
      <w:r>
        <w:rPr>
          <w:rFonts w:ascii="Arial" w:cs="Arial" w:eastAsia="Arial" w:hAnsi="Arial"/>
          <w:color w:val="1A1A2E"/>
          <w:sz w:val="20"/>
          <w:szCs w:val="20"/>
        </w:rPr>
        <w:t xml:space="preserve">Consent Audit: Candidate can view a full log of every recruiter who viewed their profile, when, and what search triggered it.</w:t>
      </w:r>
    </w:p>
    <w:p>
      <w:r>
        <w:t xml:space="preserve"/>
      </w:r>
    </w:p>
    <w:p>
      <w:pPr>
        <w:pStyle w:val="Heading2"/>
        <w:spacing w:before="280" w:after="120"/>
      </w:pPr>
      <w:r>
        <w:rPr>
          <w:rFonts w:ascii="Arial" w:cs="Arial" w:eastAsia="Arial" w:hAnsi="Arial"/>
          <w:b/>
          <w:bCs/>
          <w:color w:val="2E86AB"/>
          <w:sz w:val="28"/>
          <w:szCs w:val="28"/>
        </w:rPr>
        <w:t xml:space="preserve">9.2  Compliance Protections</w:t>
      </w:r>
    </w:p>
    <w:p>
      <w:pPr>
        <w:spacing w:before="60" w:after="80"/>
        <w:jc w:val="left"/>
      </w:pPr>
      <w:r>
        <w:rPr>
          <w:rFonts w:ascii="Arial" w:cs="Arial" w:eastAsia="Arial" w:hAnsi="Arial"/>
          <w:b w:val="false"/>
          <w:bCs w:val="false"/>
          <w:i w:val="false"/>
          <w:iCs w:val="false"/>
          <w:color w:val="1A1A2E"/>
          <w:sz w:val="20"/>
          <w:szCs w:val="20"/>
        </w:rPr>
        <w:t xml:space="preserve">The platform enforces compliance that protects candidates from discriminatory, exploitative, or fraudulent hiring practices:</w:t>
      </w:r>
    </w:p>
    <w:p>
      <w:r>
        <w:t xml:space="preserve"/>
      </w:r>
    </w:p>
    <w:p>
      <w:pPr>
        <w:pStyle w:val="ListParagraph"/>
        <w:numPr>
          <w:ilvl w:val="0"/>
          <w:numId w:val="2"/>
        </w:numPr>
        <w:spacing w:before="40" w:after="40"/>
      </w:pPr>
      <w:r>
        <w:rPr>
          <w:rFonts w:ascii="Arial" w:cs="Arial" w:eastAsia="Arial" w:hAnsi="Arial"/>
          <w:color w:val="1A1A2E"/>
          <w:sz w:val="20"/>
          <w:szCs w:val="20"/>
        </w:rPr>
        <w:t xml:space="preserve">No Discriminatory Filters: Recruiters cannot filter candidates by gender, religion, caste, marital status, or physical appearance. These fields do not exist in the system.</w:t>
      </w:r>
    </w:p>
    <w:p>
      <w:pPr>
        <w:pStyle w:val="ListParagraph"/>
        <w:numPr>
          <w:ilvl w:val="0"/>
          <w:numId w:val="2"/>
        </w:numPr>
        <w:spacing w:before="40" w:after="40"/>
      </w:pPr>
      <w:r>
        <w:rPr>
          <w:rFonts w:ascii="Arial" w:cs="Arial" w:eastAsia="Arial" w:hAnsi="Arial"/>
          <w:color w:val="1A1A2E"/>
          <w:sz w:val="20"/>
          <w:szCs w:val="20"/>
        </w:rPr>
        <w:t xml:space="preserve">Offer Letter Legality Check: Offer letters are auto-scanned for clauses that violate labor laws — e.g., notice periods exceeding 90 days for freshers, unlawful bond periods without compensation.</w:t>
      </w:r>
    </w:p>
    <w:p>
      <w:pPr>
        <w:pStyle w:val="ListParagraph"/>
        <w:numPr>
          <w:ilvl w:val="0"/>
          <w:numId w:val="2"/>
        </w:numPr>
        <w:spacing w:before="40" w:after="40"/>
      </w:pPr>
      <w:r>
        <w:rPr>
          <w:rFonts w:ascii="Arial" w:cs="Arial" w:eastAsia="Arial" w:hAnsi="Arial"/>
          <w:color w:val="1A1A2E"/>
          <w:sz w:val="20"/>
          <w:szCs w:val="20"/>
        </w:rPr>
        <w:t xml:space="preserve">Salary Below Minimum Wage Alert: Jobs with CTC below statutory minimum wage for the relevant state are auto-flagged and require compliance verification before publishing.</w:t>
      </w:r>
    </w:p>
    <w:p>
      <w:pPr>
        <w:pStyle w:val="ListParagraph"/>
        <w:numPr>
          <w:ilvl w:val="0"/>
          <w:numId w:val="2"/>
        </w:numPr>
        <w:spacing w:before="40" w:after="40"/>
      </w:pPr>
      <w:r>
        <w:rPr>
          <w:rFonts w:ascii="Arial" w:cs="Arial" w:eastAsia="Arial" w:hAnsi="Arial"/>
          <w:color w:val="1A1A2E"/>
          <w:sz w:val="20"/>
          <w:szCs w:val="20"/>
        </w:rPr>
        <w:t xml:space="preserve">Blacklisted Company Protection: Companies on government blacklists or institute-reported fraud lists are blocked from posting jobs or contacting candidates.</w:t>
      </w:r>
    </w:p>
    <w:p>
      <w:r>
        <w:t xml:space="preserve"/>
      </w:r>
    </w:p>
    <w:p>
      <w:pPr>
        <w:pBdr>
          <w:bottom w:val="single" w:color="2E86AB" w:sz="4"/>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SECTION 10</w:t>
            </w:r>
          </w:p>
          <w:p>
            <w:pPr>
              <w:jc w:val="left"/>
            </w:pPr>
            <w:r>
              <w:rPr>
                <w:rFonts w:ascii="Arial" w:cs="Arial" w:eastAsia="Arial" w:hAnsi="Arial"/>
                <w:i/>
                <w:iCs/>
                <w:color w:val="AACCEE"/>
                <w:sz w:val="19"/>
                <w:szCs w:val="19"/>
              </w:rPr>
              <w:t xml:space="preserve">Feature Summary — Complete Candidate Module Reference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Feature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Core Benefit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Smart Registration &amp; KYC</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5-step identity + institute verification with AI document check</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Eliminates fake profiles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Multi-Dimensional Profile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Academic + Skills + Intelligence + Projects + Experience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Replaces static PDF resume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Intelligence Engine (EIE)</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8-type Gardner intelligence mapping via behavioral tests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Surfaces non-obvious career fits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AI Job Feed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Personalized ranking using 8 signals including company trust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Reduces irrelevant applications by 60%+</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Advanced Search Filters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10+ filter types including Company Trust Tier and Salary Truth</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Candidate-controlled job discovery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Company Intelligence Cards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Trust score, offer history, salary accuracy, student reviews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Informed apply decisions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Eligibility Pre-Check</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Auto-blocks ineligible applications before submission</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Saves time for candidate and recruiter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Tailored Application Package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Dynamic resume + role-specific skill match + guided cover note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Higher quality applications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Application Status Tracker</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Real-time 11-stage pipeline with ghosting protection</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Zero application mystery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Automated Voice GD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Recruiter-less, bias-free, rule-governed speaking evaluation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Fair assessment regardless of background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Immutable Offer Letters</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Cryptographic lock + audit trail + institute review</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Eliminates offer fraud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Salary Truth Validation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CTC breakdown + market cross-check + post-joining confirmation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 false salary claims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SME Trust Scoring</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6-signal composite trust rating for SME employers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Candidate awareness of SME risk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30-60-90 Day Tracker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Post-placement quality surveys + early exit detection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Placement quality accountability</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Dojo Arena</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8-engine competitive skill training + ELO rating</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Evidence-backed skill demonstration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100+ Gamification Mechanics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XP, badges, belts, leaderboards, tournaments, daily missions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Continuous engagement + development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Candidate Dashboard</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Placement Readiness Score + active pipeline + skill gaps + alerts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Mission control for job search</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Smart Notifications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10+ contextual alert types — no generic spam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Right info at right time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Data Rights &amp; Privacy</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Visibility controls + export + consent audit + deletion rights</w:t>
            </w:r>
          </w:p>
        </w:tc>
        <w:tc>
          <w:tcPr>
            <w:tcW w:type="dxa" w:w="2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GDPR-aligned candidate control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Compliance Protection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Anti-discrimination filters + offer legality check + blacklist enforcement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Safe, fair hiring environment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11D" w:sz="1"/>
              <w:left w:val="single" w:color="F4A11D" w:sz="1"/>
              <w:bottom w:val="single" w:color="F4A11D" w:sz="1"/>
              <w:right w:val="single" w:color="F4A11D" w:sz="1"/>
            </w:tcBorders>
            <w:shd w:fill="FFFBF0" w:val="clear"/>
            <w:tcMar>
              <w:top w:type="dxa" w:w="200"/>
              <w:left w:type="dxa" w:w="300"/>
              <w:bottom w:type="dxa" w:w="200"/>
              <w:right w:type="dxa" w:w="300"/>
            </w:tcMar>
          </w:tcPr>
          <w:p>
            <w:pPr>
              <w:jc w:val="center"/>
            </w:pPr>
            <w:r>
              <w:rPr>
                <w:rFonts w:ascii="Arial" w:cs="Arial" w:eastAsia="Arial" w:hAnsi="Arial"/>
                <w:b/>
                <w:bCs/>
                <w:color w:val="F4A11D"/>
                <w:sz w:val="24"/>
                <w:szCs w:val="24"/>
              </w:rPr>
              <w:t xml:space="preserve">Design Principle</w:t>
            </w:r>
          </w:p>
          <w:p>
            <w:r>
              <w:t xml:space="preserve"/>
            </w:r>
          </w:p>
          <w:p>
            <w:pPr>
              <w:jc w:val="center"/>
            </w:pPr>
            <w:r>
              <w:rPr>
                <w:rFonts w:ascii="Arial" w:cs="Arial" w:eastAsia="Arial" w:hAnsi="Arial"/>
                <w:i/>
                <w:iCs/>
                <w:color w:val="1A1A2E"/>
                <w:sz w:val="20"/>
                <w:szCs w:val="20"/>
              </w:rPr>
              <w:t xml:space="preserve">Every feature in this platform is designed with one constraint: it must protect the candidate while building trust with the employer. No feature exists for platform aesthetics alone — every element solves a documented, real problem experienced by students, institutes, or recruiters in campus hiring today.</w:t>
            </w:r>
          </w:p>
        </w:tc>
      </w:tr>
    </w:tbl>
    <w:p>
      <w:r>
        <w:t xml:space="preserve"/>
      </w:r>
    </w:p>
    <w:p>
      <w:pPr>
        <w:jc w:val="center"/>
      </w:pPr>
      <w:r>
        <w:rPr>
          <w:rFonts w:ascii="Arial" w:cs="Arial" w:eastAsia="Arial" w:hAnsi="Arial"/>
          <w:i/>
          <w:iCs/>
          <w:color w:val="555577"/>
          <w:sz w:val="18"/>
          <w:szCs w:val="18"/>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60"/>
      <w:jc w:val="center"/>
    </w:pPr>
    <w:r>
      <w:rPr>
        <w:rFonts w:ascii="Arial" w:cs="Arial" w:eastAsia="Arial" w:hAnsi="Arial"/>
        <w:color w:val="555577"/>
        <w:sz w:val="16"/>
        <w:szCs w:val="16"/>
      </w:rPr>
      <w:t xml:space="preserve">Page </w:t>
    </w:r>
    <w:r>
      <w:rPr>
        <w:rFonts w:ascii="Arial" w:cs="Arial" w:eastAsia="Arial" w:hAnsi="Arial"/>
        <w:color w:val="555577"/>
        <w:sz w:val="16"/>
        <w:szCs w:val="16"/>
      </w:rPr>
      <w:fldChar w:fldCharType="begin"/>
      <w:instrText xml:space="preserve">PAGE</w:instrText>
      <w:fldChar w:fldCharType="separate"/>
      <w:fldChar w:fldCharType="end"/>
    </w:r>
    <w:r>
      <w:rPr>
        <w:rFonts w:ascii="Arial" w:cs="Arial" w:eastAsia="Arial" w:hAnsi="Arial"/>
        <w:color w:val="555577"/>
        <w:sz w:val="16"/>
        <w:szCs w:val="16"/>
      </w:rPr>
      <w:t xml:space="preserve">  |  Ecoskiller Job Portal — Candidate Module  |  Internal Document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1B3A6B"/>
              <w:sz w:val="22"/>
              <w:szCs w:val="22"/>
            </w:rPr>
            <w:t xml:space="preserve">ECOSKILLER JOB PORTAL</w:t>
          </w:r>
          <w:r>
            <w:rPr>
              <w:rFonts w:ascii="Arial" w:cs="Arial" w:eastAsia="Arial" w:hAnsi="Arial"/>
              <w:color w:val="555577"/>
              <w:sz w:val="18"/>
              <w:szCs w:val="18"/>
            </w:rPr>
            <w:t xml:space="preserve">  —  Candidate Feature Reference</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555577"/>
              <w:sz w:val="16"/>
              <w:szCs w:val="16"/>
            </w:rPr>
            <w:t xml:space="preserve">CONFIDENTIAL  |  v1.0  |  2026</w:t>
          </w:r>
        </w:p>
      </w:tc>
    </w:tr>
  </w:tbl>
  <w:p>
    <w:pPr>
      <w:pBdr>
        <w:bottom w:val="single" w:color="2E86AB" w:sz="8"/>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2026-03-10T07:09:30.143Z</dcterms:created>
  <dcterms:modified xsi:type="dcterms:W3CDTF">2026-03-10T07:09:30.144Z</dcterms:modified>
</cp:coreProperties>
</file>

<file path=docProps/custom.xml><?xml version="1.0" encoding="utf-8"?>
<Properties xmlns="http://schemas.openxmlformats.org/officeDocument/2006/custom-properties" xmlns:vt="http://schemas.openxmlformats.org/officeDocument/2006/docPropsVTypes"/>
</file>