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pPr>
      <w:r>
        <w:rPr>
          <w:rFonts w:ascii="Arial" w:cs="Arial" w:eastAsia="Arial" w:hAnsi="Arial"/>
          <w:color w:val="1C2331"/>
          <w:sz w:val="22"/>
          <w:szCs w:val="22"/>
        </w:rPr>
        <w:t xml:space="preserve"/>
      </w:r>
    </w:p>
    <w:p>
      <w:pPr>
        <w:spacing w:before="0" w:after="40"/>
        <w:jc w:val="center"/>
      </w:pPr>
      <w:r>
        <w:rPr>
          <w:rFonts w:ascii="Arial" w:cs="Arial" w:eastAsia="Arial" w:hAnsi="Arial"/>
          <w:b/>
          <w:bCs/>
          <w:color w:val="0D2B55"/>
          <w:sz w:val="80"/>
          <w:szCs w:val="80"/>
        </w:rPr>
        <w:t xml:space="preserve">ECOSKILLER</w:t>
      </w:r>
    </w:p>
    <w:p>
      <w:pPr>
        <w:spacing w:before="0" w:after="80"/>
        <w:jc w:val="center"/>
      </w:pPr>
      <w:r>
        <w:rPr>
          <w:rFonts w:ascii="Arial" w:cs="Arial" w:eastAsia="Arial" w:hAnsi="Arial"/>
          <w:b/>
          <w:bCs/>
          <w:color w:val="0B6E6E"/>
          <w:sz w:val="52"/>
          <w:szCs w:val="52"/>
        </w:rPr>
        <w:t xml:space="preserve">SKILL COMPETENCY SYSTEM</w:t>
      </w:r>
    </w:p>
    <w:p>
      <w:pPr>
        <w:pBdr>
          <w:bottom w:val="single" w:color="0D2B55" w:sz="12" w:space="8"/>
        </w:pBdr>
        <w:spacing w:before="0" w:after="200"/>
        <w:jc w:val="center"/>
      </w:pPr>
      <w:r>
        <w:rPr>
          <w:rFonts w:ascii="Arial" w:cs="Arial" w:eastAsia="Arial" w:hAnsi="Arial"/>
          <w:i/>
          <w:iCs/>
          <w:color w:val="2E3F52"/>
          <w:sz w:val="30"/>
          <w:szCs w:val="30"/>
        </w:rPr>
        <w:t xml:space="preserve">For Candidate — In-Depth Feature Reference</w:t>
      </w:r>
    </w:p>
    <w:p>
      <w:pPr>
        <w:spacing w:before="12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Skill Taxonomy</w:t>
            </w:r>
          </w:p>
        </w:tc>
        <w:tc>
          <w:tcPr>
            <w:tcW w:type="dxa" w:w="1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Skill Passport</w:t>
            </w:r>
          </w:p>
        </w:tc>
        <w:tc>
          <w:tcPr>
            <w:tcW w:type="dxa" w:w="1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Belt Progression</w:t>
            </w:r>
          </w:p>
        </w:tc>
        <w:tc>
          <w:tcPr>
            <w:tcW w:type="dxa" w:w="1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ELO Ranking</w:t>
            </w:r>
          </w:p>
        </w:tc>
        <w:tc>
          <w:tcPr>
            <w:tcW w:type="dxa" w:w="1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XP Engine</w:t>
            </w:r>
          </w:p>
        </w:tc>
        <w:tc>
          <w:tcPr>
            <w:tcW w:type="dxa" w:w="1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AI Coaching</w:t>
            </w:r>
          </w:p>
        </w:tc>
      </w:tr>
      <w:tr>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C2331"/>
                <w:sz w:val="20"/>
                <w:szCs w:val="20"/>
              </w:rPr>
              <w:t xml:space="preserve">16 Skill Families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C2331"/>
                <w:sz w:val="20"/>
                <w:szCs w:val="20"/>
              </w:rPr>
              <w:t xml:space="preserve">Immutable Records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C2331"/>
                <w:sz w:val="20"/>
                <w:szCs w:val="20"/>
              </w:rPr>
              <w:t xml:space="preserve">8 Belt Levels</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C2331"/>
                <w:sz w:val="20"/>
                <w:szCs w:val="20"/>
              </w:rPr>
              <w:t xml:space="preserve">Competitive Rating</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C2331"/>
                <w:sz w:val="20"/>
                <w:szCs w:val="20"/>
              </w:rPr>
              <w:t xml:space="preserve">Inflation-Resistant</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C2331"/>
                <w:sz w:val="20"/>
                <w:szCs w:val="20"/>
              </w:rPr>
              <w:t xml:space="preserve">7-Layer Feedback</w:t>
            </w:r>
          </w:p>
        </w:tc>
      </w:tr>
    </w:tbl>
    <w:p>
      <w:pPr>
        <w:spacing w:before="300" w:after="0"/>
      </w:pPr>
      <w:r>
        <w:rPr>
          <w:rFonts w:ascii="Arial" w:cs="Arial" w:eastAsia="Arial" w:hAnsi="Arial"/>
          <w:color w:val="1C2331"/>
          <w:sz w:val="22"/>
          <w:szCs w:val="22"/>
        </w:rPr>
        <w:t xml:space="preserve"/>
      </w:r>
    </w:p>
    <w:p>
      <w:pPr>
        <w:jc w:val="center"/>
      </w:pPr>
      <w:r>
        <w:rPr>
          <w:rFonts w:ascii="Arial" w:cs="Arial" w:eastAsia="Arial" w:hAnsi="Arial"/>
          <w:color w:val="777777"/>
          <w:sz w:val="20"/>
          <w:szCs w:val="20"/>
        </w:rPr>
        <w:t xml:space="preserve">Unified Job + Skill + Project + Education Ecosystem  |  Version 1.0  |  March 2026</w:t>
      </w:r>
    </w:p>
    <w:p>
      <w:pPr>
        <w:spacing w:before="40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1. Skill Competency System — Overview</w:t>
      </w:r>
    </w:p>
    <w:p>
      <w:pPr>
        <w:spacing w:before="60" w:after="80"/>
      </w:pPr>
      <w:r>
        <w:rPr>
          <w:rFonts w:ascii="Arial" w:cs="Arial" w:eastAsia="Arial" w:hAnsi="Arial"/>
          <w:color w:val="1C2331"/>
          <w:sz w:val="22"/>
          <w:szCs w:val="22"/>
        </w:rPr>
        <w:t xml:space="preserve">EcoSkiller's Skill Competency System (SCS) is the intelligence backbone of the platform's candidate experience. It is not a simple skill list or self-declaration tool — it is a multi-layered, evidence-based, AI-governed framework that measures, tracks, validates, and grows every candidate's skill profile from initial enrollment through to career mastery. The SCS combines a locked skill taxonomy, verifiable skill passport, belt-based progression, competitive ELO ranking, XP economy, AI-powered coaching, and real-time market benchmarking into a single unified system.</w:t>
      </w:r>
    </w:p>
    <w:p>
      <w:pPr>
        <w:spacing w:before="80" w:after="0"/>
      </w:pPr>
      <w:r>
        <w:rPr>
          <w:rFonts w:ascii="Arial" w:cs="Arial" w:eastAsia="Arial" w:hAnsi="Arial"/>
          <w:color w:val="1C2331"/>
          <w:sz w:val="22"/>
          <w:szCs w:val="22"/>
        </w:rPr>
        <w:t xml:space="preserve"/>
      </w:r>
    </w:p>
    <w:p>
      <w:pPr>
        <w:spacing w:before="60" w:after="80"/>
      </w:pPr>
      <w:r>
        <w:rPr>
          <w:rFonts w:ascii="Arial" w:cs="Arial" w:eastAsia="Arial" w:hAnsi="Arial"/>
          <w:color w:val="1C2331"/>
          <w:sz w:val="22"/>
          <w:szCs w:val="22"/>
        </w:rPr>
        <w:t xml:space="preserve">Every assessment, GD session, project completion, tournament result, and course certificate writes verified data into the candidate's permanent skill record. Skills are never self-declared without evidence — they are computed from behavioral proof, scored by deterministic algorithms, validated by mentors and AI agents, and locked in an immutable audit trail. This means a candidate's skill profile is something employers can trust at the same level of confidence as a certified transcript.</w:t>
      </w:r>
    </w:p>
    <w:p>
      <w:pPr>
        <w:spacing w:before="10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1.1 Architecture Position</w:t>
      </w:r>
    </w:p>
    <w:p>
      <w:pPr>
        <w:spacing w:before="60" w:after="80"/>
      </w:pPr>
      <w:r>
        <w:rPr>
          <w:rFonts w:ascii="Arial" w:cs="Arial" w:eastAsia="Arial" w:hAnsi="Arial"/>
          <w:color w:val="1C2331"/>
          <w:sz w:val="22"/>
          <w:szCs w:val="22"/>
        </w:rPr>
        <w:t xml:space="preserve">The Skill Competency System spans Lane C (Core Services — Skill Service) and Lane F (Intelligence — Matching, Ranking, AI Explainability) of EcoSkiller's parallel execution architecture. It is a dependency gate consumer from Lane A (Identity) and Lane B (Database) and a producer of the ai_ready and api_contract_ready signals that allow all downstream features to function.</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34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Components</w:t>
            </w:r>
          </w:p>
        </w:tc>
        <w:tc>
          <w:tcPr>
            <w:tcW w:type="dxa" w:w="34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Produces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Foundation</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Taxonomy, Skill Registry, Skill Vector Model</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Structured skill classification for all matching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Assessment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GD Scoring, Tournament Engine, Project Reviews, Dojo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Evidence-based skill proof records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Certification</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Belt Engine, Confidence Model, Certificate Generator</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Verifiable, immutable credentials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Intelligence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ELO Ranking, XP Engine, AI Coaching, Market Benchmark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Competitive position + improvement roadmap</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Passport</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Passport, Obsolescence Predictor, Passport Sharing</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Permanent portable career record</w:t>
            </w:r>
          </w:p>
        </w:tc>
      </w:tr>
    </w:tbl>
    <w:p>
      <w:pPr>
        <w:spacing w:before="16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1.2 Core Design Principles</w:t>
      </w:r>
    </w:p>
    <w:p>
      <w:pPr>
        <w:pStyle w:val="ListParagraph"/>
        <w:numPr>
          <w:ilvl w:val="0"/>
          <w:numId w:val="2"/>
        </w:numPr>
        <w:spacing w:before="40" w:after="55"/>
      </w:pPr>
      <w:r>
        <w:rPr>
          <w:rFonts w:ascii="Arial" w:cs="Arial" w:eastAsia="Arial" w:hAnsi="Arial"/>
          <w:color w:val="1C2331"/>
          <w:sz w:val="22"/>
          <w:szCs w:val="22"/>
        </w:rPr>
        <w:t xml:space="preserve">Evidence-first: No skill is added to a candidate's profile without verifiable behavioral proof</w:t>
      </w:r>
    </w:p>
    <w:p>
      <w:pPr>
        <w:pStyle w:val="ListParagraph"/>
        <w:numPr>
          <w:ilvl w:val="0"/>
          <w:numId w:val="2"/>
        </w:numPr>
        <w:spacing w:before="40" w:after="55"/>
      </w:pPr>
      <w:r>
        <w:rPr>
          <w:rFonts w:ascii="Arial" w:cs="Arial" w:eastAsia="Arial" w:hAnsi="Arial"/>
          <w:color w:val="1C2331"/>
          <w:sz w:val="22"/>
          <w:szCs w:val="22"/>
        </w:rPr>
        <w:t xml:space="preserve">Determinism: Identical performance input always produces identical skill output — no black-box surprises</w:t>
      </w:r>
    </w:p>
    <w:p>
      <w:pPr>
        <w:pStyle w:val="ListParagraph"/>
        <w:numPr>
          <w:ilvl w:val="0"/>
          <w:numId w:val="2"/>
        </w:numPr>
        <w:spacing w:before="40" w:after="55"/>
      </w:pPr>
      <w:r>
        <w:rPr>
          <w:rFonts w:ascii="Arial" w:cs="Arial" w:eastAsia="Arial" w:hAnsi="Arial"/>
          <w:color w:val="1C2331"/>
          <w:sz w:val="22"/>
          <w:szCs w:val="22"/>
        </w:rPr>
        <w:t xml:space="preserve">Immutability: Once a verified skill record is written, it cannot be deleted, only superseded by newer evidence</w:t>
      </w:r>
    </w:p>
    <w:p>
      <w:pPr>
        <w:pStyle w:val="ListParagraph"/>
        <w:numPr>
          <w:ilvl w:val="0"/>
          <w:numId w:val="2"/>
        </w:numPr>
        <w:spacing w:before="40" w:after="55"/>
      </w:pPr>
      <w:r>
        <w:rPr>
          <w:rFonts w:ascii="Arial" w:cs="Arial" w:eastAsia="Arial" w:hAnsi="Arial"/>
          <w:color w:val="1C2331"/>
          <w:sz w:val="22"/>
          <w:szCs w:val="22"/>
        </w:rPr>
        <w:t xml:space="preserve">Transparency: Every score, rating, and progression decision is explainable and auditable</w:t>
      </w:r>
    </w:p>
    <w:p>
      <w:pPr>
        <w:pStyle w:val="ListParagraph"/>
        <w:numPr>
          <w:ilvl w:val="0"/>
          <w:numId w:val="2"/>
        </w:numPr>
        <w:spacing w:before="40" w:after="55"/>
      </w:pPr>
      <w:r>
        <w:rPr>
          <w:rFonts w:ascii="Arial" w:cs="Arial" w:eastAsia="Arial" w:hAnsi="Arial"/>
          <w:color w:val="1C2331"/>
          <w:sz w:val="22"/>
          <w:szCs w:val="22"/>
        </w:rPr>
        <w:t xml:space="preserve">Anti-inflation: XP economy is governed by anti-farming rules to prevent gaming the system</w:t>
      </w:r>
    </w:p>
    <w:p>
      <w:pPr>
        <w:pStyle w:val="ListParagraph"/>
        <w:numPr>
          <w:ilvl w:val="0"/>
          <w:numId w:val="2"/>
        </w:numPr>
        <w:spacing w:before="40" w:after="55"/>
      </w:pPr>
      <w:r>
        <w:rPr>
          <w:rFonts w:ascii="Arial" w:cs="Arial" w:eastAsia="Arial" w:hAnsi="Arial"/>
          <w:color w:val="1C2331"/>
          <w:sz w:val="22"/>
          <w:szCs w:val="22"/>
        </w:rPr>
        <w:t xml:space="preserve">Human-AI partnership: AI generates assessments and recommendations; human mentors retain override authority with mandatory audit trail</w:t>
      </w:r>
    </w:p>
    <w:p>
      <w:pPr>
        <w:pStyle w:val="ListParagraph"/>
        <w:numPr>
          <w:ilvl w:val="0"/>
          <w:numId w:val="2"/>
        </w:numPr>
        <w:spacing w:before="40" w:after="55"/>
      </w:pPr>
      <w:r>
        <w:rPr>
          <w:rFonts w:ascii="Arial" w:cs="Arial" w:eastAsia="Arial" w:hAnsi="Arial"/>
          <w:color w:val="1C2331"/>
          <w:sz w:val="22"/>
          <w:szCs w:val="22"/>
        </w:rPr>
        <w:t xml:space="preserve">Market alignment: All skill levels are benchmarked against real industry demand and salary data</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2. Skill Taxonomy — The Classification Foundation</w:t>
      </w:r>
    </w:p>
    <w:p>
      <w:pPr>
        <w:spacing w:before="60" w:after="80"/>
      </w:pPr>
      <w:r>
        <w:rPr>
          <w:rFonts w:ascii="Arial" w:cs="Arial" w:eastAsia="Arial" w:hAnsi="Arial"/>
          <w:color w:val="1C2331"/>
          <w:sz w:val="22"/>
          <w:szCs w:val="22"/>
        </w:rPr>
        <w:t xml:space="preserve">The Skill Taxonomy is the locked, immutable classification framework that organizes every skill on the EcoSkiller platform into a structured hierarchy. It is the fundamental vocabulary that makes skill comparison, job matching, curriculum design, and market benchmarking possible. The taxonomy is versioned and governed — it can be extended (add-only) but never mutated without a governance board version bump.</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2.1 Taxonomy Architecture — 16 Core Competency Families</w:t>
      </w:r>
    </w:p>
    <w:p>
      <w:pPr>
        <w:spacing w:before="60" w:after="80"/>
      </w:pPr>
      <w:r>
        <w:rPr>
          <w:rFonts w:ascii="Arial" w:cs="Arial" w:eastAsia="Arial" w:hAnsi="Arial"/>
          <w:color w:val="1C2331"/>
          <w:sz w:val="22"/>
          <w:szCs w:val="22"/>
        </w:rPr>
        <w:t xml:space="preserve">The Skill Extraction Classifier Agent (SEC) classifies all candidate skills against 16 locked competency families. These families cover the full range of modern professional skills:</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Competency Family</w:t>
            </w:r>
          </w:p>
        </w:tc>
        <w:tc>
          <w:tcPr>
            <w:tcW w:type="dxa" w:w="46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Sub-Domains</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 Technical Skills</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Software Engineering, Data Science &amp; Analytics, Cloud &amp; Infrastructure, Cybersecurity, Hardware &amp; IoT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 Product &amp;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Product Management, User Experience Design, Visual Design, Systems Design</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 Business &amp; Operations</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Strategy, Finance, Operations, Supply Chain, Business Analysis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 Communication Skills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Verbal Communication, Written Communication, Presentation, Negotiation</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5. Leadership &amp; Management</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Team Leadership, Project Management, Stakeholder Management, Decision Making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6. Creative &amp; Arts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Visual Arts, Performing Arts, Music &amp; Audio, Creative Writing, Media</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7. Science &amp; Research</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Research Methods, Laboratory Skills, Academic Writing, Data Analysis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8. Education &amp; Training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Curriculum Design, Coaching, Mentoring, Assessment Design</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9. Healthcare &amp; Wellness</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Clinical Skills, Patient Care, Mental Health, Nutrition &amp; Fitness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 Legal &amp; Compliance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Contract Law, Regulatory Compliance, Risk Management, Corporate Governance</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11. Marketing &amp; Sales</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Digital Marketing, Brand Management, Sales Strategy, CRM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12. Engineering &amp; Trades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Mechanical, Civil, Electrical, Chemical, Manufacturing</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13. Social &amp; Community</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Community Development, Public Policy, Social Work, Non-Profit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14. Languages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Programming Languages, Human Languages, Translation &amp; Localization</w:t>
            </w:r>
          </w:p>
        </w:tc>
      </w:tr>
      <w:tr>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15. Entrepreneurship</w:t>
            </w:r>
          </w:p>
        </w:tc>
        <w:tc>
          <w:tcPr>
            <w:tcW w:type="dxa" w:w="4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Startup Building, Venture Capital, Innovation, Business Development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16. Domain Isolation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Arts ≠ Science ≠ Commerce ≠ Technology — No cross-domain conflation</w:t>
            </w:r>
          </w:p>
        </w:tc>
      </w:tr>
    </w:tbl>
    <w:p>
      <w:pPr>
        <w:spacing w:before="10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2.2 Taxonomy Levels Within Each Family</w:t>
      </w:r>
    </w:p>
    <w:p>
      <w:pPr>
        <w:spacing w:before="60" w:after="80"/>
      </w:pPr>
      <w:r>
        <w:rPr>
          <w:rFonts w:ascii="Arial" w:cs="Arial" w:eastAsia="Arial" w:hAnsi="Arial"/>
          <w:color w:val="1C2331"/>
          <w:sz w:val="22"/>
          <w:szCs w:val="22"/>
        </w:rPr>
        <w:t xml:space="preserve">Within each competency family, skills are organized in a three-level hierarchy:</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Level 1 — Family: The broad competency domain (e.g., Technical Skills)</w:t>
      </w:r>
    </w:p>
    <w:p>
      <w:pPr>
        <w:pStyle w:val="ListParagraph"/>
        <w:numPr>
          <w:ilvl w:val="0"/>
          <w:numId w:val="3"/>
        </w:numPr>
        <w:spacing w:before="30" w:after="40"/>
      </w:pPr>
      <w:r>
        <w:rPr>
          <w:rFonts w:ascii="Arial" w:cs="Arial" w:eastAsia="Arial" w:hAnsi="Arial"/>
          <w:color w:val="444444"/>
          <w:sz w:val="20"/>
          <w:szCs w:val="20"/>
        </w:rPr>
        <w:t xml:space="preserve">Defines the overall category and governs which sub-domains belong</w:t>
      </w:r>
    </w:p>
    <w:p>
      <w:pPr>
        <w:pStyle w:val="ListParagraph"/>
        <w:numPr>
          <w:ilvl w:val="0"/>
          <w:numId w:val="3"/>
        </w:numPr>
        <w:spacing w:before="30" w:after="40"/>
      </w:pPr>
      <w:r>
        <w:rPr>
          <w:rFonts w:ascii="Arial" w:cs="Arial" w:eastAsia="Arial" w:hAnsi="Arial"/>
          <w:color w:val="444444"/>
          <w:sz w:val="20"/>
          <w:szCs w:val="20"/>
        </w:rPr>
        <w:t xml:space="preserve">Used for high-level matching, department-level analytics, and job category alignment</w:t>
      </w:r>
    </w:p>
    <w:p>
      <w:pPr>
        <w:pStyle w:val="ListParagraph"/>
        <w:numPr>
          <w:ilvl w:val="0"/>
          <w:numId w:val="2"/>
        </w:numPr>
        <w:spacing w:before="40" w:after="55"/>
      </w:pPr>
      <w:r>
        <w:rPr>
          <w:rFonts w:ascii="Arial" w:cs="Arial" w:eastAsia="Arial" w:hAnsi="Arial"/>
          <w:color w:val="1C2331"/>
          <w:sz w:val="22"/>
          <w:szCs w:val="22"/>
        </w:rPr>
        <w:t xml:space="preserve">Level 2 — Domain: A specific skill area within the family (e.g., Data Science &amp; Analytics)</w:t>
      </w:r>
    </w:p>
    <w:p>
      <w:pPr>
        <w:pStyle w:val="ListParagraph"/>
        <w:numPr>
          <w:ilvl w:val="0"/>
          <w:numId w:val="3"/>
        </w:numPr>
        <w:spacing w:before="30" w:after="40"/>
      </w:pPr>
      <w:r>
        <w:rPr>
          <w:rFonts w:ascii="Arial" w:cs="Arial" w:eastAsia="Arial" w:hAnsi="Arial"/>
          <w:color w:val="444444"/>
          <w:sz w:val="20"/>
          <w:szCs w:val="20"/>
        </w:rPr>
        <w:t xml:space="preserve">Maps directly to job roles and industry requirements</w:t>
      </w:r>
    </w:p>
    <w:p>
      <w:pPr>
        <w:pStyle w:val="ListParagraph"/>
        <w:numPr>
          <w:ilvl w:val="0"/>
          <w:numId w:val="3"/>
        </w:numPr>
        <w:spacing w:before="30" w:after="40"/>
      </w:pPr>
      <w:r>
        <w:rPr>
          <w:rFonts w:ascii="Arial" w:cs="Arial" w:eastAsia="Arial" w:hAnsi="Arial"/>
          <w:color w:val="444444"/>
          <w:sz w:val="20"/>
          <w:szCs w:val="20"/>
        </w:rPr>
        <w:t xml:space="preserve">Used for recruiter matching filters and curriculum gap analysis</w:t>
      </w:r>
    </w:p>
    <w:p>
      <w:pPr>
        <w:pStyle w:val="ListParagraph"/>
        <w:numPr>
          <w:ilvl w:val="0"/>
          <w:numId w:val="2"/>
        </w:numPr>
        <w:spacing w:before="40" w:after="55"/>
      </w:pPr>
      <w:r>
        <w:rPr>
          <w:rFonts w:ascii="Arial" w:cs="Arial" w:eastAsia="Arial" w:hAnsi="Arial"/>
          <w:color w:val="1C2331"/>
          <w:sz w:val="22"/>
          <w:szCs w:val="22"/>
        </w:rPr>
        <w:t xml:space="preserve">Level 3 — Skill Node: The precise, measurable skill unit (e.g., Python for Data Analysis, Statistical Modeling, SQL Query Optimization)</w:t>
      </w:r>
    </w:p>
    <w:p>
      <w:pPr>
        <w:pStyle w:val="ListParagraph"/>
        <w:numPr>
          <w:ilvl w:val="0"/>
          <w:numId w:val="3"/>
        </w:numPr>
        <w:spacing w:before="30" w:after="40"/>
      </w:pPr>
      <w:r>
        <w:rPr>
          <w:rFonts w:ascii="Arial" w:cs="Arial" w:eastAsia="Arial" w:hAnsi="Arial"/>
          <w:color w:val="444444"/>
          <w:sz w:val="20"/>
          <w:szCs w:val="20"/>
        </w:rPr>
        <w:t xml:space="preserve">Each skill node has a unique skill_id in the registry</w:t>
      </w:r>
    </w:p>
    <w:p>
      <w:pPr>
        <w:pStyle w:val="ListParagraph"/>
        <w:numPr>
          <w:ilvl w:val="0"/>
          <w:numId w:val="3"/>
        </w:numPr>
        <w:spacing w:before="30" w:after="40"/>
      </w:pPr>
      <w:r>
        <w:rPr>
          <w:rFonts w:ascii="Arial" w:cs="Arial" w:eastAsia="Arial" w:hAnsi="Arial"/>
          <w:color w:val="444444"/>
          <w:sz w:val="20"/>
          <w:szCs w:val="20"/>
        </w:rPr>
        <w:t xml:space="preserve">Carries a proficiency scale: Novice → Beginner → Intermediate → Advanced → Expert → Master</w:t>
      </w:r>
    </w:p>
    <w:p>
      <w:pPr>
        <w:pStyle w:val="ListParagraph"/>
        <w:numPr>
          <w:ilvl w:val="0"/>
          <w:numId w:val="3"/>
        </w:numPr>
        <w:spacing w:before="30" w:after="40"/>
      </w:pPr>
      <w:r>
        <w:rPr>
          <w:rFonts w:ascii="Arial" w:cs="Arial" w:eastAsia="Arial" w:hAnsi="Arial"/>
          <w:color w:val="444444"/>
          <w:sz w:val="20"/>
          <w:szCs w:val="20"/>
        </w:rPr>
        <w:t xml:space="preserve">Connected to prerequisite skill nodes (dependency graph)</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2.3 Structured Skill Extraction — How Taxonomy Is Applied</w:t>
      </w:r>
    </w:p>
    <w:p>
      <w:pPr>
        <w:spacing w:before="60" w:after="80"/>
      </w:pPr>
      <w:r>
        <w:rPr>
          <w:rFonts w:ascii="Arial" w:cs="Arial" w:eastAsia="Arial" w:hAnsi="Arial"/>
          <w:color w:val="1C2331"/>
          <w:sz w:val="22"/>
          <w:szCs w:val="22"/>
        </w:rPr>
        <w:t xml:space="preserve">The Skill Extraction Classifier Agent (SEC) automatically parses candidate evidence — resumes, course completions, project outcomes, GD performance transcripts, and tournament results — and maps extracted evidence to taxonomy nodes. This is not keyword matching; it is a multi-modal classification model trained on behavioral evidence patterns.</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2B55" w:sz="1"/>
              <w:left w:val="single" w:color="0D2B55" w:sz="20"/>
              <w:bottom w:val="single" w:color="0D2B55" w:sz="1"/>
              <w:right w:val="single" w:color="0D2B55" w:sz="1"/>
            </w:tcBorders>
            <w:shd w:fill="D4E0EF" w:val="clear"/>
            <w:tcMar>
              <w:top w:type="dxa" w:w="120"/>
              <w:left w:type="dxa" w:w="220"/>
              <w:bottom w:type="dxa" w:w="120"/>
              <w:right w:type="dxa" w:w="200"/>
            </w:tcMar>
          </w:tcPr>
          <w:p>
            <w:pPr>
              <w:spacing w:before="0" w:after="60"/>
            </w:pPr>
            <w:r>
              <w:rPr>
                <w:rFonts w:ascii="Arial" w:cs="Arial" w:eastAsia="Arial" w:hAnsi="Arial"/>
                <w:b/>
                <w:bCs/>
                <w:color w:val="0D2B55"/>
                <w:sz w:val="24"/>
                <w:szCs w:val="24"/>
              </w:rPr>
              <w:t xml:space="preserve">SEC Extraction Process</w:t>
            </w:r>
          </w:p>
          <w:p>
            <w:pPr>
              <w:pStyle w:val="ListParagraph"/>
              <w:numPr>
                <w:ilvl w:val="0"/>
                <w:numId w:val="2"/>
              </w:numPr>
              <w:spacing w:before="30" w:after="40"/>
            </w:pPr>
            <w:r>
              <w:rPr>
                <w:rFonts w:ascii="Arial" w:cs="Arial" w:eastAsia="Arial" w:hAnsi="Arial"/>
                <w:color w:val="1C2331"/>
                <w:sz w:val="21"/>
                <w:szCs w:val="21"/>
              </w:rPr>
              <w:t xml:space="preserve">Resume parsing: SEC reads uploaded resumes and extracts skills, mapping each to taxonomy node with a confidence score (0.0–1.0)</w:t>
            </w:r>
          </w:p>
          <w:p>
            <w:pPr>
              <w:pStyle w:val="ListParagraph"/>
              <w:numPr>
                <w:ilvl w:val="0"/>
                <w:numId w:val="2"/>
              </w:numPr>
              <w:spacing w:before="30" w:after="40"/>
            </w:pPr>
            <w:r>
              <w:rPr>
                <w:rFonts w:ascii="Arial" w:cs="Arial" w:eastAsia="Arial" w:hAnsi="Arial"/>
                <w:color w:val="1C2331"/>
                <w:sz w:val="21"/>
                <w:szCs w:val="21"/>
              </w:rPr>
              <w:t xml:space="preserve">Course completion: Each LMS course maps to specific skill nodes; completion at passing score activates those nodes in the candidate's vector</w:t>
            </w:r>
          </w:p>
          <w:p>
            <w:pPr>
              <w:pStyle w:val="ListParagraph"/>
              <w:numPr>
                <w:ilvl w:val="0"/>
                <w:numId w:val="2"/>
              </w:numPr>
              <w:spacing w:before="30" w:after="40"/>
            </w:pPr>
            <w:r>
              <w:rPr>
                <w:rFonts w:ascii="Arial" w:cs="Arial" w:eastAsia="Arial" w:hAnsi="Arial"/>
                <w:color w:val="1C2331"/>
                <w:sz w:val="21"/>
                <w:szCs w:val="21"/>
              </w:rPr>
              <w:t xml:space="preserve">Project evidence: Project deliverables and mentor reviews are analyzed for demonstrated skills beyond what the candidate explicitly listed</w:t>
            </w:r>
          </w:p>
          <w:p>
            <w:pPr>
              <w:pStyle w:val="ListParagraph"/>
              <w:numPr>
                <w:ilvl w:val="0"/>
                <w:numId w:val="2"/>
              </w:numPr>
              <w:spacing w:before="30" w:after="40"/>
            </w:pPr>
            <w:r>
              <w:rPr>
                <w:rFonts w:ascii="Arial" w:cs="Arial" w:eastAsia="Arial" w:hAnsi="Arial"/>
                <w:color w:val="1C2331"/>
                <w:sz w:val="21"/>
                <w:szCs w:val="21"/>
              </w:rPr>
              <w:t xml:space="preserve">GD/Dojo sessions: Speaking patterns, argument quality, and participation metrics map to communication and leadership skill nodes</w:t>
            </w:r>
          </w:p>
          <w:p>
            <w:pPr>
              <w:pStyle w:val="ListParagraph"/>
              <w:numPr>
                <w:ilvl w:val="0"/>
                <w:numId w:val="2"/>
              </w:numPr>
              <w:spacing w:before="30" w:after="40"/>
            </w:pPr>
            <w:r>
              <w:rPr>
                <w:rFonts w:ascii="Arial" w:cs="Arial" w:eastAsia="Arial" w:hAnsi="Arial"/>
                <w:color w:val="1C2331"/>
                <w:sz w:val="21"/>
                <w:szCs w:val="21"/>
              </w:rPr>
              <w:t xml:space="preserve">Tournament results: Competition outcomes contribute to competitive proficiency ratings for technical skill nodes</w:t>
            </w:r>
          </w:p>
          <w:p>
            <w:pPr>
              <w:pStyle w:val="ListParagraph"/>
              <w:numPr>
                <w:ilvl w:val="0"/>
                <w:numId w:val="2"/>
              </w:numPr>
              <w:spacing w:before="30" w:after="40"/>
            </w:pPr>
            <w:r>
              <w:rPr>
                <w:rFonts w:ascii="Arial" w:cs="Arial" w:eastAsia="Arial" w:hAnsi="Arial"/>
                <w:color w:val="1C2331"/>
                <w:sz w:val="21"/>
                <w:szCs w:val="21"/>
              </w:rPr>
              <w:t xml:space="preserve">Falsification detection: SEC actively detects and flags skill claims that are inconsistent with behavioral evidence</w:t>
            </w:r>
          </w:p>
        </w:tc>
      </w:tr>
    </w:tbl>
    <w:p>
      <w:pPr>
        <w:spacing w:before="10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2.4 Skill Vector Model</w:t>
      </w:r>
    </w:p>
    <w:p>
      <w:pPr>
        <w:spacing w:before="60" w:after="80"/>
      </w:pPr>
      <w:r>
        <w:rPr>
          <w:rFonts w:ascii="Arial" w:cs="Arial" w:eastAsia="Arial" w:hAnsi="Arial"/>
          <w:color w:val="1C2331"/>
          <w:sz w:val="22"/>
          <w:szCs w:val="22"/>
        </w:rPr>
        <w:t xml:space="preserve">Every candidate profile generates a multi-dimensional Skill Vector — a mathematical representation of all of the candidate's skill nodes, their proficiency levels, confidence scores, and verification sources. The Skill Vector is the primary input used by the job matching engine, recruiter search, tournament seeding, and project marketplace matching.</w:t>
      </w:r>
    </w:p>
    <w:p>
      <w:pPr>
        <w:spacing w:before="60" w:after="0"/>
      </w:pPr>
      <w:r>
        <w:rPr>
          <w:rFonts w:ascii="Arial" w:cs="Arial" w:eastAsia="Arial" w:hAnsi="Arial"/>
          <w:color w:val="1C2331"/>
          <w:sz w:val="22"/>
          <w:szCs w:val="22"/>
        </w:rPr>
        <w:t xml:space="preserve"/>
      </w:r>
    </w:p>
    <w:p>
      <w:pPr>
        <w:spacing w:before="60" w:after="80"/>
      </w:pPr>
      <w:r>
        <w:rPr>
          <w:rFonts w:ascii="Arial" w:cs="Arial" w:eastAsia="Arial" w:hAnsi="Arial"/>
          <w:b/>
          <w:bCs/>
          <w:color w:val="0D2B55"/>
          <w:sz w:val="22"/>
          <w:szCs w:val="22"/>
        </w:rPr>
        <w:t xml:space="preserve">Skill Vector Components: </w:t>
      </w:r>
      <w:r>
        <w:rPr>
          <w:rFonts w:ascii="Arial" w:cs="Arial" w:eastAsia="Arial" w:hAnsi="Arial"/>
          <w:color w:val="1C2331"/>
          <w:sz w:val="22"/>
          <w:szCs w:val="22"/>
        </w:rPr>
        <w:t xml:space="preserve">skill_id, proficiency_level (1–6), confidence_score (0.0–1.0), verification_sources [ ], last_active_at, xp_accumulated, belt_level, evidence_count</w:t>
      </w:r>
    </w:p>
    <w:p>
      <w:pPr>
        <w:spacing w:before="60" w:after="80"/>
      </w:pPr>
      <w:r>
        <w:rPr>
          <w:rFonts w:ascii="Arial" w:cs="Arial" w:eastAsia="Arial" w:hAnsi="Arial"/>
          <w:b/>
          <w:bCs/>
          <w:color w:val="0D2B55"/>
          <w:sz w:val="22"/>
          <w:szCs w:val="22"/>
        </w:rPr>
        <w:t xml:space="preserve">Update Triggers: </w:t>
      </w:r>
      <w:r>
        <w:rPr>
          <w:rFonts w:ascii="Arial" w:cs="Arial" w:eastAsia="Arial" w:hAnsi="Arial"/>
          <w:color w:val="1C2331"/>
          <w:sz w:val="22"/>
          <w:szCs w:val="22"/>
        </w:rPr>
        <w:t xml:space="preserve">Any new course completion, project approval, GD score, tournament result, or mentor endorsement triggers a vector recomputation</w:t>
      </w:r>
    </w:p>
    <w:p>
      <w:pPr>
        <w:spacing w:before="60" w:after="80"/>
      </w:pPr>
      <w:r>
        <w:rPr>
          <w:rFonts w:ascii="Arial" w:cs="Arial" w:eastAsia="Arial" w:hAnsi="Arial"/>
          <w:b/>
          <w:bCs/>
          <w:color w:val="0D2B55"/>
          <w:sz w:val="22"/>
          <w:szCs w:val="22"/>
        </w:rPr>
        <w:t xml:space="preserve">Domain Isolation: </w:t>
      </w:r>
      <w:r>
        <w:rPr>
          <w:rFonts w:ascii="Arial" w:cs="Arial" w:eastAsia="Arial" w:hAnsi="Arial"/>
          <w:color w:val="1C2331"/>
          <w:sz w:val="22"/>
          <w:szCs w:val="22"/>
        </w:rPr>
        <w:t xml:space="preserve">Skills from Arts domain cannot pollute Science domain scoring — each domain's vector is computed independently and stored separately</w:t>
      </w:r>
    </w:p>
    <w:p>
      <w:pPr>
        <w:spacing w:before="60" w:after="80"/>
      </w:pPr>
      <w:r>
        <w:rPr>
          <w:rFonts w:ascii="Arial" w:cs="Arial" w:eastAsia="Arial" w:hAnsi="Arial"/>
          <w:b/>
          <w:bCs/>
          <w:color w:val="0D2B55"/>
          <w:sz w:val="22"/>
          <w:szCs w:val="22"/>
        </w:rPr>
        <w:t xml:space="preserve">Prerequisite Graph: </w:t>
      </w:r>
      <w:r>
        <w:rPr>
          <w:rFonts w:ascii="Arial" w:cs="Arial" w:eastAsia="Arial" w:hAnsi="Arial"/>
          <w:color w:val="1C2331"/>
          <w:sz w:val="22"/>
          <w:szCs w:val="22"/>
        </w:rPr>
        <w:t xml:space="preserve">The vector respects the skill prerequisite graph — a candidate cannot reach Expert level in Advanced Python without first demonstrating Intermediate Python competence</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3. Skill Assessment Engine — How Competency Is Measured</w:t>
      </w:r>
    </w:p>
    <w:p>
      <w:pPr>
        <w:spacing w:before="60" w:after="80"/>
      </w:pPr>
      <w:r>
        <w:rPr>
          <w:rFonts w:ascii="Arial" w:cs="Arial" w:eastAsia="Arial" w:hAnsi="Arial"/>
          <w:color w:val="1C2331"/>
          <w:sz w:val="22"/>
          <w:szCs w:val="22"/>
        </w:rPr>
        <w:t xml:space="preserve">Skills are not self-declared on EcoSkiller — they are assessed through multiple, independent evidence channels. Each channel generates a different type of proof that is combined into the candidate's holistic competency profile. The Assessment Engine governs how each channel works, what it measures, and how its output is scored, verified, and stored.</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3.1 GD (Group Discussion) Assessment — Communication Competency</w:t>
      </w:r>
    </w:p>
    <w:p>
      <w:pPr>
        <w:spacing w:before="60" w:after="80"/>
      </w:pPr>
      <w:r>
        <w:rPr>
          <w:rFonts w:ascii="Arial" w:cs="Arial" w:eastAsia="Arial" w:hAnsi="Arial"/>
          <w:color w:val="1C2331"/>
          <w:sz w:val="22"/>
          <w:szCs w:val="22"/>
        </w:rPr>
        <w:t xml:space="preserve">The GD Module is the platform's primary engine for assessing communication competence — one of the most difficult skills to verify through traditional resumes or certifications. Every GD session produces a deterministic, auditable score using the Rule-Based Scoring formula.</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Scoring Formula (LOCKED)</w:t>
      </w:r>
    </w:p>
    <w:p>
      <w:pPr>
        <w:spacing w:before="60" w:after="80"/>
      </w:pPr>
      <w:r>
        <w:rPr>
          <w:rFonts w:ascii="Arial" w:cs="Arial" w:eastAsia="Arial" w:hAnsi="Arial"/>
          <w:color w:val="1C2331"/>
          <w:sz w:val="22"/>
          <w:szCs w:val="22"/>
        </w:rPr>
        <w:t xml:space="preserve">Score = (Turns Completed × 10) + (Full Time Used × 10) − (Interrupt Attempts × 2) − (Silence Events × 3) − (Early Exit Penalty × 15) + (Open Discussion Contribution Bonus up to 10). Maximum 100 points.</w:t>
      </w:r>
    </w:p>
    <w:p>
      <w:pPr>
        <w:spacing w:before="60" w:after="0"/>
      </w:pPr>
      <w:r>
        <w:rPr>
          <w:rFonts w:ascii="Arial" w:cs="Arial" w:eastAsia="Arial" w:hAnsi="Arial"/>
          <w:color w:val="1C2331"/>
          <w:sz w:val="22"/>
          <w:szCs w:val="22"/>
        </w:rPr>
        <w:t xml:space="preserve"/>
      </w:r>
    </w:p>
    <w:p>
      <w:pPr>
        <w:spacing w:before="160" w:after="60"/>
      </w:pPr>
      <w:r>
        <w:rPr>
          <w:rFonts w:ascii="Arial" w:cs="Arial" w:eastAsia="Arial" w:hAnsi="Arial"/>
          <w:b/>
          <w:bCs/>
          <w:i/>
          <w:iCs/>
          <w:color w:val="2E3F52"/>
          <w:sz w:val="22"/>
          <w:szCs w:val="22"/>
        </w:rPr>
        <w:t xml:space="preserve">Metric 1 — Turns Completed (max 50 pts)</w:t>
      </w:r>
    </w:p>
    <w:p>
      <w:pPr>
        <w:spacing w:before="60" w:after="80"/>
      </w:pPr>
      <w:r>
        <w:rPr>
          <w:rFonts w:ascii="Arial" w:cs="Arial" w:eastAsia="Arial" w:hAnsi="Arial"/>
          <w:color w:val="1C2331"/>
          <w:sz w:val="22"/>
          <w:szCs w:val="22"/>
        </w:rPr>
        <w:t xml:space="preserve">If a candidate speaks in all assigned rounds, they receive full turns-completed credit. Each missed turn deducts proportionally. Missing a turn is treated as zero contribution — the candidate had an opportunity to demonstrate their skill and did not use it. This metric objectively measures participation discipline.</w:t>
      </w:r>
    </w:p>
    <w:p>
      <w:pPr>
        <w:spacing w:before="40" w:after="0"/>
      </w:pPr>
      <w:r>
        <w:rPr>
          <w:rFonts w:ascii="Arial" w:cs="Arial" w:eastAsia="Arial" w:hAnsi="Arial"/>
          <w:color w:val="1C2331"/>
          <w:sz w:val="22"/>
          <w:szCs w:val="22"/>
        </w:rPr>
        <w:t xml:space="preserve"/>
      </w:r>
    </w:p>
    <w:p>
      <w:pPr>
        <w:spacing w:before="160" w:after="60"/>
      </w:pPr>
      <w:r>
        <w:rPr>
          <w:rFonts w:ascii="Arial" w:cs="Arial" w:eastAsia="Arial" w:hAnsi="Arial"/>
          <w:b/>
          <w:bCs/>
          <w:i/>
          <w:iCs/>
          <w:color w:val="2E3F52"/>
          <w:sz w:val="22"/>
          <w:szCs w:val="22"/>
        </w:rPr>
        <w:t xml:space="preserve">Metric 2 — Time Utilization (max 50 pts)</w:t>
      </w:r>
    </w:p>
    <w:p>
      <w:pPr>
        <w:spacing w:before="60" w:after="80"/>
      </w:pPr>
      <w:r>
        <w:rPr>
          <w:rFonts w:ascii="Arial" w:cs="Arial" w:eastAsia="Arial" w:hAnsi="Arial"/>
          <w:color w:val="1C2331"/>
          <w:sz w:val="22"/>
          <w:szCs w:val="22"/>
        </w:rPr>
        <w:t xml:space="preserve">The candidate must use at least 90% of their allocated speaking time per turn to receive full time-utilization credit. Using less than 50% of allocated time indicates lack of preparation, nervousness, or insufficient depth — each of which are skill signals. Using more than 100% is handled by the automatic token transfer, which prevents overtime.</w:t>
      </w:r>
    </w:p>
    <w:p>
      <w:pPr>
        <w:spacing w:before="40" w:after="0"/>
      </w:pPr>
      <w:r>
        <w:rPr>
          <w:rFonts w:ascii="Arial" w:cs="Arial" w:eastAsia="Arial" w:hAnsi="Arial"/>
          <w:color w:val="1C2331"/>
          <w:sz w:val="22"/>
          <w:szCs w:val="22"/>
        </w:rPr>
        <w:t xml:space="preserve"/>
      </w:r>
    </w:p>
    <w:p>
      <w:pPr>
        <w:spacing w:before="160" w:after="60"/>
      </w:pPr>
      <w:r>
        <w:rPr>
          <w:rFonts w:ascii="Arial" w:cs="Arial" w:eastAsia="Arial" w:hAnsi="Arial"/>
          <w:b/>
          <w:bCs/>
          <w:i/>
          <w:iCs/>
          <w:color w:val="2E3F52"/>
          <w:sz w:val="22"/>
          <w:szCs w:val="22"/>
        </w:rPr>
        <w:t xml:space="preserve">Metric 3 — Interrupt Penalty (−2 per event)</w:t>
      </w:r>
    </w:p>
    <w:p>
      <w:pPr>
        <w:spacing w:before="60" w:after="80"/>
      </w:pPr>
      <w:r>
        <w:rPr>
          <w:rFonts w:ascii="Arial" w:cs="Arial" w:eastAsia="Arial" w:hAnsi="Arial"/>
          <w:color w:val="1C2331"/>
          <w:sz w:val="22"/>
          <w:szCs w:val="22"/>
        </w:rPr>
        <w:t xml:space="preserve">The Turn-Based Speaking Engine server-mutes all participants except the current speaker. When a candidate attempts to unmute during another participant's turn (which fails at the network level), the attempt is logged as an interrupt attempt. Each such attempt deducts 2 points. This measures professional conduct and listening discipline.</w:t>
      </w:r>
    </w:p>
    <w:p>
      <w:pPr>
        <w:spacing w:before="40" w:after="0"/>
      </w:pPr>
      <w:r>
        <w:rPr>
          <w:rFonts w:ascii="Arial" w:cs="Arial" w:eastAsia="Arial" w:hAnsi="Arial"/>
          <w:color w:val="1C2331"/>
          <w:sz w:val="22"/>
          <w:szCs w:val="22"/>
        </w:rPr>
        <w:t xml:space="preserve"/>
      </w:r>
    </w:p>
    <w:p>
      <w:pPr>
        <w:spacing w:before="160" w:after="60"/>
      </w:pPr>
      <w:r>
        <w:rPr>
          <w:rFonts w:ascii="Arial" w:cs="Arial" w:eastAsia="Arial" w:hAnsi="Arial"/>
          <w:b/>
          <w:bCs/>
          <w:i/>
          <w:iCs/>
          <w:color w:val="2E3F52"/>
          <w:sz w:val="22"/>
          <w:szCs w:val="22"/>
        </w:rPr>
        <w:t xml:space="preserve">Metric 4 — Silence Penalty (−3 per event)</w:t>
      </w:r>
    </w:p>
    <w:p>
      <w:pPr>
        <w:spacing w:before="60" w:after="80"/>
      </w:pPr>
      <w:r>
        <w:rPr>
          <w:rFonts w:ascii="Arial" w:cs="Arial" w:eastAsia="Arial" w:hAnsi="Arial"/>
          <w:color w:val="1C2331"/>
          <w:sz w:val="22"/>
          <w:szCs w:val="22"/>
        </w:rPr>
        <w:t xml:space="preserve">If a candidate holds the speaking token but remains silent for more than 15 seconds, a silence event is logged and their token is automatically transferred to the next participant. Each silence event deducts 3 points. Prepared candidates always have something substantive to say when their turn arrives — silence is a direct skill signal.</w:t>
      </w:r>
    </w:p>
    <w:p>
      <w:pPr>
        <w:spacing w:before="40" w:after="0"/>
      </w:pPr>
      <w:r>
        <w:rPr>
          <w:rFonts w:ascii="Arial" w:cs="Arial" w:eastAsia="Arial" w:hAnsi="Arial"/>
          <w:color w:val="1C2331"/>
          <w:sz w:val="22"/>
          <w:szCs w:val="22"/>
        </w:rPr>
        <w:t xml:space="preserve"/>
      </w:r>
    </w:p>
    <w:p>
      <w:pPr>
        <w:spacing w:before="160" w:after="60"/>
      </w:pPr>
      <w:r>
        <w:rPr>
          <w:rFonts w:ascii="Arial" w:cs="Arial" w:eastAsia="Arial" w:hAnsi="Arial"/>
          <w:b/>
          <w:bCs/>
          <w:i/>
          <w:iCs/>
          <w:color w:val="2E3F52"/>
          <w:sz w:val="22"/>
          <w:szCs w:val="22"/>
        </w:rPr>
        <w:t xml:space="preserve">Metric 5 — Open Discussion Contribution (up to +10 pts)</w:t>
      </w:r>
    </w:p>
    <w:p>
      <w:pPr>
        <w:spacing w:before="60" w:after="80"/>
      </w:pPr>
      <w:r>
        <w:rPr>
          <w:rFonts w:ascii="Arial" w:cs="Arial" w:eastAsia="Arial" w:hAnsi="Arial"/>
          <w:color w:val="1C2331"/>
          <w:sz w:val="22"/>
          <w:szCs w:val="22"/>
        </w:rPr>
        <w:t xml:space="preserve">In the open discussion round, all participants are unmuted simultaneously. Candidates who speak for 10–30% of their proportional share of open discussion time receive up to 10 bonus points. Dominant speakers (&gt;40% of total open discussion time) receive zero bonus — dominance and quality are different things, and penalizing dominance prevents one voice from drowning out others.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Round Structure — Assessment Dimensions</w:t>
      </w:r>
    </w:p>
    <w:p>
      <w:pPr>
        <w:spacing w:before="4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2200"/>
        <w:gridCol w:w="2360"/>
      </w:tblGrid>
      <w:tr>
        <w:trPr>
          <w:tblHeader/>
        </w:trPr>
        <w:tc>
          <w:tcPr>
            <w:tcW w:type="dxa" w:w="1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Round</w:t>
            </w:r>
          </w:p>
        </w:tc>
        <w:tc>
          <w:tcPr>
            <w:tcW w:type="dxa" w:w="1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Duration</w:t>
            </w:r>
          </w:p>
        </w:tc>
        <w:tc>
          <w:tcPr>
            <w:tcW w:type="dxa" w:w="16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Skill Measured</w:t>
            </w:r>
          </w:p>
        </w:tc>
        <w:tc>
          <w:tcPr>
            <w:tcW w:type="dxa" w:w="22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Assessment Focus</w:t>
            </w:r>
          </w:p>
        </w:tc>
        <w:tc>
          <w:tcPr>
            <w:tcW w:type="dxa" w:w="23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Score Contribution</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 Introduction</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60 seconds</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First impression articulation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Clarity, opening confidence, initial position statement</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Scored independently — intro score visible to recruiters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 Main Discussion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45 seconds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Depth of knowledge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Reasoning quality, use of evidence, logical flow</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Highest weighted round — tests substance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 Rebuttal</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30 seconds</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Critical thinking + listening</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Must reference another participant's specific point</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Measures whether candidate absorbs others' arguments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 Open Discussion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5 minutes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Collaborative dialogue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Balanced contribution, building on others, not dominating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Participation balance scored — not just quantity</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5. Conclusion</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45 seconds</w:t>
            </w:r>
          </w:p>
        </w:tc>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Synthesis &amp; persuasion</w:t>
            </w:r>
          </w:p>
        </w:tc>
        <w:tc>
          <w:tcPr>
            <w:tcW w:type="dxa" w:w="2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Summarizing discussion, stating final position clearly</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Tests ability to distill complexity into clear conclusion</w:t>
            </w:r>
          </w:p>
        </w:tc>
      </w:tr>
    </w:tbl>
    <w:p>
      <w:pPr>
        <w:spacing w:before="8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GD Score Integrity Mechanisms</w:t>
      </w:r>
    </w:p>
    <w:p>
      <w:pPr>
        <w:pStyle w:val="ListParagraph"/>
        <w:numPr>
          <w:ilvl w:val="0"/>
          <w:numId w:val="2"/>
        </w:numPr>
        <w:spacing w:before="40" w:after="55"/>
      </w:pPr>
      <w:r>
        <w:rPr>
          <w:rFonts w:ascii="Arial" w:cs="Arial" w:eastAsia="Arial" w:hAnsi="Arial"/>
          <w:color w:val="1C2331"/>
          <w:sz w:val="22"/>
          <w:szCs w:val="22"/>
        </w:rPr>
        <w:t xml:space="preserve">Real-time computation: Scores are calculated live during the session — by session end, scores are already fully computed</w:t>
      </w:r>
    </w:p>
    <w:p>
      <w:pPr>
        <w:pStyle w:val="ListParagraph"/>
        <w:numPr>
          <w:ilvl w:val="0"/>
          <w:numId w:val="2"/>
        </w:numPr>
        <w:spacing w:before="40" w:after="55"/>
      </w:pPr>
      <w:r>
        <w:rPr>
          <w:rFonts w:ascii="Arial" w:cs="Arial" w:eastAsia="Arial" w:hAnsi="Arial"/>
          <w:color w:val="1C2331"/>
          <w:sz w:val="22"/>
          <w:szCs w:val="22"/>
        </w:rPr>
        <w:t xml:space="preserve">Score immutability: Once auto-saved to the candidate's profile (within 5 minutes of session end), scores cannot be modified by institute admin, faculty, or the candidate</w:t>
      </w:r>
    </w:p>
    <w:p>
      <w:pPr>
        <w:pStyle w:val="ListParagraph"/>
        <w:numPr>
          <w:ilvl w:val="0"/>
          <w:numId w:val="2"/>
        </w:numPr>
        <w:spacing w:before="40" w:after="55"/>
      </w:pPr>
      <w:r>
        <w:rPr>
          <w:rFonts w:ascii="Arial" w:cs="Arial" w:eastAsia="Arial" w:hAnsi="Arial"/>
          <w:color w:val="1C2331"/>
          <w:sz w:val="22"/>
          <w:szCs w:val="22"/>
        </w:rPr>
        <w:t xml:space="preserve">Audit trail: Every component — turn timing, silence logs, interrupt logs, token transfers — is stored at millisecond precision</w:t>
      </w:r>
    </w:p>
    <w:p>
      <w:pPr>
        <w:pStyle w:val="ListParagraph"/>
        <w:numPr>
          <w:ilvl w:val="0"/>
          <w:numId w:val="2"/>
        </w:numPr>
        <w:spacing w:before="40" w:after="55"/>
      </w:pPr>
      <w:r>
        <w:rPr>
          <w:rFonts w:ascii="Arial" w:cs="Arial" w:eastAsia="Arial" w:hAnsi="Arial"/>
          <w:color w:val="1C2331"/>
          <w:sz w:val="22"/>
          <w:szCs w:val="22"/>
        </w:rPr>
        <w:t xml:space="preserve">Mentor override: A mentor can adjust an AI-generated score, but the override is logged with mandatory reason documentation and becomes part of the audit record</w:t>
      </w:r>
    </w:p>
    <w:p>
      <w:pPr>
        <w:pStyle w:val="ListParagraph"/>
        <w:numPr>
          <w:ilvl w:val="0"/>
          <w:numId w:val="2"/>
        </w:numPr>
        <w:spacing w:before="40" w:after="55"/>
      </w:pPr>
      <w:r>
        <w:rPr>
          <w:rFonts w:ascii="Arial" w:cs="Arial" w:eastAsia="Arial" w:hAnsi="Arial"/>
          <w:color w:val="1C2331"/>
          <w:sz w:val="22"/>
          <w:szCs w:val="22"/>
        </w:rPr>
        <w:t xml:space="preserve">Variance anomaly detection: If a candidate's scores deviate unusually (e.g., 30-point jump between consecutive sessions), a flag is raised for review</w:t>
      </w:r>
    </w:p>
    <w:p>
      <w:pPr>
        <w:pStyle w:val="ListParagraph"/>
        <w:numPr>
          <w:ilvl w:val="0"/>
          <w:numId w:val="2"/>
        </w:numPr>
        <w:spacing w:before="40" w:after="55"/>
      </w:pPr>
      <w:r>
        <w:rPr>
          <w:rFonts w:ascii="Arial" w:cs="Arial" w:eastAsia="Arial" w:hAnsi="Arial"/>
          <w:color w:val="1C2331"/>
          <w:sz w:val="22"/>
          <w:szCs w:val="22"/>
        </w:rPr>
        <w:t xml:space="preserve">High-performer certificate: Candidates scoring above 85/100 receive an automatic GD Excellence Certificate added to their profile and DigiLocker</w:t>
      </w:r>
    </w:p>
    <w:p>
      <w:pPr>
        <w:spacing w:before="8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GD Analytics — Individual &amp; Departmental</w:t>
      </w:r>
    </w:p>
    <w:p>
      <w:pPr>
        <w:pStyle w:val="ListParagraph"/>
        <w:numPr>
          <w:ilvl w:val="0"/>
          <w:numId w:val="2"/>
        </w:numPr>
        <w:spacing w:before="40" w:after="55"/>
      </w:pPr>
      <w:r>
        <w:rPr>
          <w:rFonts w:ascii="Arial" w:cs="Arial" w:eastAsia="Arial" w:hAnsi="Arial"/>
          <w:color w:val="1C2331"/>
          <w:sz w:val="22"/>
          <w:szCs w:val="22"/>
        </w:rPr>
        <w:t xml:space="preserve">Score history graph: Line chart showing GD scores across all sessions — trend visible as improving, declining, or stagnant</w:t>
      </w:r>
    </w:p>
    <w:p>
      <w:pPr>
        <w:pStyle w:val="ListParagraph"/>
        <w:numPr>
          <w:ilvl w:val="0"/>
          <w:numId w:val="2"/>
        </w:numPr>
        <w:spacing w:before="40" w:after="55"/>
      </w:pPr>
      <w:r>
        <w:rPr>
          <w:rFonts w:ascii="Arial" w:cs="Arial" w:eastAsia="Arial" w:hAnsi="Arial"/>
          <w:color w:val="1C2331"/>
          <w:sz w:val="22"/>
          <w:szCs w:val="22"/>
        </w:rPr>
        <w:t xml:space="preserve">Round-wise breakdown: Scores per round visible separately — intro vs. rebuttal vs. conclusion scores reveal specific communication strengths and weaknesses</w:t>
      </w:r>
    </w:p>
    <w:p>
      <w:pPr>
        <w:pStyle w:val="ListParagraph"/>
        <w:numPr>
          <w:ilvl w:val="0"/>
          <w:numId w:val="2"/>
        </w:numPr>
        <w:spacing w:before="40" w:after="55"/>
      </w:pPr>
      <w:r>
        <w:rPr>
          <w:rFonts w:ascii="Arial" w:cs="Arial" w:eastAsia="Arial" w:hAnsi="Arial"/>
          <w:color w:val="1C2331"/>
          <w:sz w:val="22"/>
          <w:szCs w:val="22"/>
        </w:rPr>
        <w:t xml:space="preserve">Peer benchmarking: Candidate sees their score relative to cohort average, department average, and platform-wide percentile</w:t>
      </w:r>
    </w:p>
    <w:p>
      <w:pPr>
        <w:pStyle w:val="ListParagraph"/>
        <w:numPr>
          <w:ilvl w:val="0"/>
          <w:numId w:val="2"/>
        </w:numPr>
        <w:spacing w:before="40" w:after="55"/>
      </w:pPr>
      <w:r>
        <w:rPr>
          <w:rFonts w:ascii="Arial" w:cs="Arial" w:eastAsia="Arial" w:hAnsi="Arial"/>
          <w:color w:val="1C2331"/>
          <w:sz w:val="22"/>
          <w:szCs w:val="22"/>
        </w:rPr>
        <w:t xml:space="preserve">Recruiter view: Recruiters see not just the final score but the learning trajectory over time — a candidate who improved from 55 to 82 across 6 sessions tells a different story than one who is stuck at 70</w:t>
      </w:r>
    </w:p>
    <w:p>
      <w:pPr>
        <w:pStyle w:val="ListParagraph"/>
        <w:numPr>
          <w:ilvl w:val="0"/>
          <w:numId w:val="2"/>
        </w:numPr>
        <w:spacing w:before="40" w:after="55"/>
      </w:pPr>
      <w:r>
        <w:rPr>
          <w:rFonts w:ascii="Arial" w:cs="Arial" w:eastAsia="Arial" w:hAnsi="Arial"/>
          <w:color w:val="1C2331"/>
          <w:sz w:val="22"/>
          <w:szCs w:val="22"/>
        </w:rPr>
        <w:t xml:space="preserve">Department GD analytics: Common weaknesses aggregated — e.g., '78% of ECE students have high interrupt attempt rates' informs targeted coaching</w:t>
      </w:r>
    </w:p>
    <w:p>
      <w:pPr>
        <w:spacing w:before="12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3.2 Tournament Assessment — Technical &amp; Competitive Competency</w:t>
      </w:r>
    </w:p>
    <w:p>
      <w:pPr>
        <w:spacing w:before="60" w:after="80"/>
      </w:pPr>
      <w:r>
        <w:rPr>
          <w:rFonts w:ascii="Arial" w:cs="Arial" w:eastAsia="Arial" w:hAnsi="Arial"/>
          <w:color w:val="1C2331"/>
          <w:sz w:val="22"/>
          <w:szCs w:val="22"/>
        </w:rPr>
        <w:t xml:space="preserve">Tournaments provide verifiable evidence of technical skills under pressure and competitive conditions. Tournament performance is one of the highest-trust skill signals on the platform because it is measured against real competitors in real-time, with anti-cheat monitoring active.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Competition Categories &amp; Skill Mapping</w:t>
      </w:r>
    </w:p>
    <w:p>
      <w:pPr>
        <w:pStyle w:val="ListParagraph"/>
        <w:numPr>
          <w:ilvl w:val="0"/>
          <w:numId w:val="2"/>
        </w:numPr>
        <w:spacing w:before="40" w:after="55"/>
      </w:pPr>
      <w:r>
        <w:rPr>
          <w:rFonts w:ascii="Arial" w:cs="Arial" w:eastAsia="Arial" w:hAnsi="Arial"/>
          <w:color w:val="1C2331"/>
          <w:sz w:val="22"/>
          <w:szCs w:val="22"/>
        </w:rPr>
        <w:t xml:space="preserve">Technical categories: Coding (Python, Java, SQL, ML), Data Science, Cloud Architecture, Cybersecurity Challenges, Algorithm Design</w:t>
      </w:r>
    </w:p>
    <w:p>
      <w:pPr>
        <w:pStyle w:val="ListParagraph"/>
        <w:numPr>
          <w:ilvl w:val="0"/>
          <w:numId w:val="2"/>
        </w:numPr>
        <w:spacing w:before="40" w:after="55"/>
      </w:pPr>
      <w:r>
        <w:rPr>
          <w:rFonts w:ascii="Arial" w:cs="Arial" w:eastAsia="Arial" w:hAnsi="Arial"/>
          <w:color w:val="1C2331"/>
          <w:sz w:val="22"/>
          <w:szCs w:val="22"/>
        </w:rPr>
        <w:t xml:space="preserve">Soft skill categories: Group Discussion Championship, Debate, Business Presentation, Case Study Analysis</w:t>
      </w:r>
    </w:p>
    <w:p>
      <w:pPr>
        <w:pStyle w:val="ListParagraph"/>
        <w:numPr>
          <w:ilvl w:val="0"/>
          <w:numId w:val="2"/>
        </w:numPr>
        <w:spacing w:before="40" w:after="55"/>
      </w:pPr>
      <w:r>
        <w:rPr>
          <w:rFonts w:ascii="Arial" w:cs="Arial" w:eastAsia="Arial" w:hAnsi="Arial"/>
          <w:color w:val="1C2331"/>
          <w:sz w:val="22"/>
          <w:szCs w:val="22"/>
        </w:rPr>
        <w:t xml:space="preserve">Creative categories: UI/UX Design Challenge, Content Writing, Video Production</w:t>
      </w:r>
    </w:p>
    <w:p>
      <w:pPr>
        <w:pStyle w:val="ListParagraph"/>
        <w:numPr>
          <w:ilvl w:val="0"/>
          <w:numId w:val="2"/>
        </w:numPr>
        <w:spacing w:before="40" w:after="55"/>
      </w:pPr>
      <w:r>
        <w:rPr>
          <w:rFonts w:ascii="Arial" w:cs="Arial" w:eastAsia="Arial" w:hAnsi="Arial"/>
          <w:color w:val="1C2331"/>
          <w:sz w:val="22"/>
          <w:szCs w:val="22"/>
        </w:rPr>
        <w:t xml:space="preserve">Domain-specific: Finance Case Competitions, Engineering Design Challenges, Healthcare Scenario Competitions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Tournament Level Progression — Competitive Skill Proof</w:t>
      </w:r>
    </w:p>
    <w:p>
      <w:pPr>
        <w:spacing w:before="4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60"/>
        <w:gridCol w:w="2400"/>
        <w:gridCol w:w="2400"/>
      </w:tblGrid>
      <w:tr>
        <w:trPr>
          <w:tblHeader/>
        </w:trPr>
        <w:tc>
          <w:tcPr>
            <w:tcW w:type="dxa" w:w="1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Level</w:t>
            </w:r>
          </w:p>
        </w:tc>
        <w:tc>
          <w:tcPr>
            <w:tcW w:type="dxa" w:w="27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Scope</w:t>
            </w:r>
          </w:p>
        </w:tc>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Skill Signal Weight</w:t>
            </w:r>
          </w:p>
        </w:tc>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Profile Impact</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Institute</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Compete within home institution</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Baseline proof — demonstrates fundamental competency</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Entry-level skill certificate issued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District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Winners from multiple institutes in a district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Mid-level — demonstrates competitive strength vs peers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District badge on profile; meaningful recruiter signal</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State</w:t>
            </w:r>
          </w:p>
        </w:tc>
        <w:tc>
          <w:tcPr>
            <w:tcW w:type="dxa" w:w="2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District winners compete state-wide</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High-level proof — top performer in large population</w:t>
            </w:r>
          </w:p>
        </w:tc>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State certification; significant career differentiation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National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State winners compete nationally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Elite proof — measurable excellence at national scale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National Champion badge; permanent prestigious marker</w:t>
            </w:r>
          </w:p>
        </w:tc>
      </w:tr>
    </w:tbl>
    <w:p>
      <w:pPr>
        <w:spacing w:before="8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Anti-Cheat Behavioral Model</w:t>
      </w:r>
    </w:p>
    <w:p>
      <w:pPr>
        <w:spacing w:before="60" w:after="80"/>
      </w:pPr>
      <w:r>
        <w:rPr>
          <w:rFonts w:ascii="Arial" w:cs="Arial" w:eastAsia="Arial" w:hAnsi="Arial"/>
          <w:color w:val="1C2331"/>
          <w:sz w:val="22"/>
          <w:szCs w:val="22"/>
        </w:rPr>
        <w:t xml:space="preserve">The Anti-Cheat Behavioral Model continuously monitors participant behavior during competitions using a combination of deterministic rule checks and ML anomaly detection. It ensures that tournament results are genuine skill signals.</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Behavioral pattern monitoring: Response time patterns, answer consistency, and navigation sequences are analyzed for anomalies</w:t>
      </w:r>
    </w:p>
    <w:p>
      <w:pPr>
        <w:pStyle w:val="ListParagraph"/>
        <w:numPr>
          <w:ilvl w:val="0"/>
          <w:numId w:val="2"/>
        </w:numPr>
        <w:spacing w:before="40" w:after="55"/>
      </w:pPr>
      <w:r>
        <w:rPr>
          <w:rFonts w:ascii="Arial" w:cs="Arial" w:eastAsia="Arial" w:hAnsi="Arial"/>
          <w:color w:val="1C2331"/>
          <w:sz w:val="22"/>
          <w:szCs w:val="22"/>
        </w:rPr>
        <w:t xml:space="preserve">Statistical impossibility detection: Scores that are statistically improbable given the difficulty distribution trigger human review flags</w:t>
      </w:r>
    </w:p>
    <w:p>
      <w:pPr>
        <w:pStyle w:val="ListParagraph"/>
        <w:numPr>
          <w:ilvl w:val="0"/>
          <w:numId w:val="2"/>
        </w:numPr>
        <w:spacing w:before="40" w:after="55"/>
      </w:pPr>
      <w:r>
        <w:rPr>
          <w:rFonts w:ascii="Arial" w:cs="Arial" w:eastAsia="Arial" w:hAnsi="Arial"/>
          <w:color w:val="1C2331"/>
          <w:sz w:val="22"/>
          <w:szCs w:val="22"/>
        </w:rPr>
        <w:t xml:space="preserve">Identity consistency: The system verifies that behavioral patterns during the competition are consistent with the candidate's historical performance profile</w:t>
      </w:r>
    </w:p>
    <w:p>
      <w:pPr>
        <w:pStyle w:val="ListParagraph"/>
        <w:numPr>
          <w:ilvl w:val="0"/>
          <w:numId w:val="2"/>
        </w:numPr>
        <w:spacing w:before="40" w:after="55"/>
      </w:pPr>
      <w:r>
        <w:rPr>
          <w:rFonts w:ascii="Arial" w:cs="Arial" w:eastAsia="Arial" w:hAnsi="Arial"/>
          <w:color w:val="1C2331"/>
          <w:sz w:val="22"/>
          <w:szCs w:val="22"/>
        </w:rPr>
        <w:t xml:space="preserve">Champion Authenticity Model: For championship-level events, AI verifies that competition wins are genuine by cross-referencing behavioral evidence with claimed skill levels</w:t>
      </w:r>
    </w:p>
    <w:p>
      <w:pPr>
        <w:pStyle w:val="ListParagraph"/>
        <w:numPr>
          <w:ilvl w:val="0"/>
          <w:numId w:val="2"/>
        </w:numPr>
        <w:spacing w:before="40" w:after="55"/>
      </w:pPr>
      <w:r>
        <w:rPr>
          <w:rFonts w:ascii="Arial" w:cs="Arial" w:eastAsia="Arial" w:hAnsi="Arial"/>
          <w:color w:val="1C2331"/>
          <w:sz w:val="22"/>
          <w:szCs w:val="22"/>
        </w:rPr>
        <w:t xml:space="preserve">Human moderation: Flagged cases are always reviewed by human moderators before any action is taken — AI flags, humans decide</w:t>
      </w:r>
    </w:p>
    <w:p>
      <w:pPr>
        <w:spacing w:before="12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3.3 Project Assessment — Applied Skill Competency</w:t>
      </w:r>
    </w:p>
    <w:p>
      <w:pPr>
        <w:spacing w:before="60" w:after="80"/>
      </w:pPr>
      <w:r>
        <w:rPr>
          <w:rFonts w:ascii="Arial" w:cs="Arial" w:eastAsia="Arial" w:hAnsi="Arial"/>
          <w:color w:val="1C2331"/>
          <w:sz w:val="22"/>
          <w:szCs w:val="22"/>
        </w:rPr>
        <w:t xml:space="preserve">Project completion provides the most direct evidence of applied skill — a candidate who can deliver a working product for a real company has demonstrated their skills in a context that most employers recognize as more valuable than any test score. The Project Assessment system measures how well candidates apply skills in realistic conditions.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Milestone-Based Assessment Framework</w:t>
      </w:r>
    </w:p>
    <w:p>
      <w:pPr>
        <w:pStyle w:val="ListParagraph"/>
        <w:numPr>
          <w:ilvl w:val="0"/>
          <w:numId w:val="2"/>
        </w:numPr>
        <w:spacing w:before="40" w:after="55"/>
      </w:pPr>
      <w:r>
        <w:rPr>
          <w:rFonts w:ascii="Arial" w:cs="Arial" w:eastAsia="Arial" w:hAnsi="Arial"/>
          <w:color w:val="1C2331"/>
          <w:sz w:val="22"/>
          <w:szCs w:val="22"/>
        </w:rPr>
        <w:t xml:space="preserve">Milestone Definition: Projects are broken into 3–5 milestones at the start, each with a specific deliverable, deadline, and acceptance criteria</w:t>
      </w:r>
    </w:p>
    <w:p>
      <w:pPr>
        <w:pStyle w:val="ListParagraph"/>
        <w:numPr>
          <w:ilvl w:val="0"/>
          <w:numId w:val="2"/>
        </w:numPr>
        <w:spacing w:before="40" w:after="55"/>
      </w:pPr>
      <w:r>
        <w:rPr>
          <w:rFonts w:ascii="Arial" w:cs="Arial" w:eastAsia="Arial" w:hAnsi="Arial"/>
          <w:color w:val="1C2331"/>
          <w:sz w:val="22"/>
          <w:szCs w:val="22"/>
        </w:rPr>
        <w:t xml:space="preserve">Milestone Submission: At each milestone, the team submits their deliverable — file upload, repository link, or document — which is timestamped automatically</w:t>
      </w:r>
    </w:p>
    <w:p>
      <w:pPr>
        <w:pStyle w:val="ListParagraph"/>
        <w:numPr>
          <w:ilvl w:val="0"/>
          <w:numId w:val="2"/>
        </w:numPr>
        <w:spacing w:before="40" w:after="55"/>
      </w:pPr>
      <w:r>
        <w:rPr>
          <w:rFonts w:ascii="Arial" w:cs="Arial" w:eastAsia="Arial" w:hAnsi="Arial"/>
          <w:color w:val="1C2331"/>
          <w:sz w:val="22"/>
          <w:szCs w:val="22"/>
        </w:rPr>
        <w:t xml:space="preserve">Mentor Review: The assigned mentor reviews each submission within 48 hours, providing structured written feedback with explicit strengths, improvement areas, and action items</w:t>
      </w:r>
    </w:p>
    <w:p>
      <w:pPr>
        <w:pStyle w:val="ListParagraph"/>
        <w:numPr>
          <w:ilvl w:val="0"/>
          <w:numId w:val="2"/>
        </w:numPr>
        <w:spacing w:before="40" w:after="55"/>
      </w:pPr>
      <w:r>
        <w:rPr>
          <w:rFonts w:ascii="Arial" w:cs="Arial" w:eastAsia="Arial" w:hAnsi="Arial"/>
          <w:color w:val="1C2331"/>
          <w:sz w:val="22"/>
          <w:szCs w:val="22"/>
        </w:rPr>
        <w:t xml:space="preserve">Approval or Rework: Mentor approves (project proceeds) or requests rework (maximum one rework cycle per milestone). This mirrors real workplace delivery cycles</w:t>
      </w:r>
    </w:p>
    <w:p>
      <w:pPr>
        <w:pStyle w:val="ListParagraph"/>
        <w:numPr>
          <w:ilvl w:val="0"/>
          <w:numId w:val="2"/>
        </w:numPr>
        <w:spacing w:before="40" w:after="55"/>
      </w:pPr>
      <w:r>
        <w:rPr>
          <w:rFonts w:ascii="Arial" w:cs="Arial" w:eastAsia="Arial" w:hAnsi="Arial"/>
          <w:color w:val="1C2331"/>
          <w:sz w:val="22"/>
          <w:szCs w:val="22"/>
        </w:rPr>
        <w:t xml:space="preserve">Skill Evidence Generation: Each approved milestone writes specific skill evidence to the candidate's vector — skills demonstrated (not just claimed)</w:t>
      </w:r>
    </w:p>
    <w:p>
      <w:pPr>
        <w:pStyle w:val="ListParagraph"/>
        <w:numPr>
          <w:ilvl w:val="0"/>
          <w:numId w:val="2"/>
        </w:numPr>
        <w:spacing w:before="40" w:after="55"/>
      </w:pPr>
      <w:r>
        <w:rPr>
          <w:rFonts w:ascii="Arial" w:cs="Arial" w:eastAsia="Arial" w:hAnsi="Arial"/>
          <w:color w:val="1C2331"/>
          <w:sz w:val="22"/>
          <w:szCs w:val="22"/>
        </w:rPr>
        <w:t xml:space="preserve">Company Visibility: For company-posted projects, the company sees milestone progress in real-time without needing status meetings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Portfolio Auto-Build — Permanent Skill Evidence</w:t>
      </w:r>
    </w:p>
    <w:p>
      <w:pPr>
        <w:pStyle w:val="ListParagraph"/>
        <w:numPr>
          <w:ilvl w:val="0"/>
          <w:numId w:val="2"/>
        </w:numPr>
        <w:spacing w:before="40" w:after="55"/>
      </w:pPr>
      <w:r>
        <w:rPr>
          <w:rFonts w:ascii="Arial" w:cs="Arial" w:eastAsia="Arial" w:hAnsi="Arial"/>
          <w:color w:val="1C2331"/>
          <w:sz w:val="22"/>
          <w:szCs w:val="22"/>
        </w:rPr>
        <w:t xml:space="preserve">Automatic profile update: Every approved project adds a professional project card to the candidate's profile — zero manual entry</w:t>
      </w:r>
    </w:p>
    <w:p>
      <w:pPr>
        <w:pStyle w:val="ListParagraph"/>
        <w:numPr>
          <w:ilvl w:val="0"/>
          <w:numId w:val="2"/>
        </w:numPr>
        <w:spacing w:before="40" w:after="55"/>
      </w:pPr>
      <w:r>
        <w:rPr>
          <w:rFonts w:ascii="Arial" w:cs="Arial" w:eastAsia="Arial" w:hAnsi="Arial"/>
          <w:color w:val="1C2331"/>
          <w:sz w:val="22"/>
          <w:szCs w:val="22"/>
        </w:rPr>
        <w:t xml:space="preserve">Project card contents: Project title, company/institute that posted it, skills demonstrated, tools used, team size, duration, mentor rating, and mentor endorsement quote</w:t>
      </w:r>
    </w:p>
    <w:p>
      <w:pPr>
        <w:pStyle w:val="ListParagraph"/>
        <w:numPr>
          <w:ilvl w:val="0"/>
          <w:numId w:val="2"/>
        </w:numPr>
        <w:spacing w:before="40" w:after="55"/>
      </w:pPr>
      <w:r>
        <w:rPr>
          <w:rFonts w:ascii="Arial" w:cs="Arial" w:eastAsia="Arial" w:hAnsi="Arial"/>
          <w:color w:val="1C2331"/>
          <w:sz w:val="22"/>
          <w:szCs w:val="22"/>
        </w:rPr>
        <w:t xml:space="preserve">Company name advantage: 'Built a data analytics dashboard for ABC Fintech' is quantifiably more credible to recruiters than generic project descriptions</w:t>
      </w:r>
    </w:p>
    <w:p>
      <w:pPr>
        <w:pStyle w:val="ListParagraph"/>
        <w:numPr>
          <w:ilvl w:val="0"/>
          <w:numId w:val="2"/>
        </w:numPr>
        <w:spacing w:before="40" w:after="55"/>
      </w:pPr>
      <w:r>
        <w:rPr>
          <w:rFonts w:ascii="Arial" w:cs="Arial" w:eastAsia="Arial" w:hAnsi="Arial"/>
          <w:color w:val="1C2331"/>
          <w:sz w:val="22"/>
          <w:szCs w:val="22"/>
        </w:rPr>
        <w:t xml:space="preserve">Skill evidence tagging: Skills demonstrated in projects are tagged differently from skills only from coursework — 'Demonstrated in project at ABC Company' vs. 'Completed Python course'</w:t>
      </w:r>
    </w:p>
    <w:p>
      <w:pPr>
        <w:pStyle w:val="ListParagraph"/>
        <w:numPr>
          <w:ilvl w:val="0"/>
          <w:numId w:val="2"/>
        </w:numPr>
        <w:spacing w:before="40" w:after="55"/>
      </w:pPr>
      <w:r>
        <w:rPr>
          <w:rFonts w:ascii="Arial" w:cs="Arial" w:eastAsia="Arial" w:hAnsi="Arial"/>
          <w:color w:val="1C2331"/>
          <w:sz w:val="22"/>
          <w:szCs w:val="22"/>
        </w:rPr>
        <w:t xml:space="preserve">Portfolio completeness score: 0 projects = incomplete; 1–2 = basic; 3–5 = strong; 5+ = exceptional. Recruiters use this as a quick filter signal</w:t>
      </w:r>
    </w:p>
    <w:p>
      <w:pPr>
        <w:pStyle w:val="ListParagraph"/>
        <w:numPr>
          <w:ilvl w:val="0"/>
          <w:numId w:val="2"/>
        </w:numPr>
        <w:spacing w:before="40" w:after="55"/>
      </w:pPr>
      <w:r>
        <w:rPr>
          <w:rFonts w:ascii="Arial" w:cs="Arial" w:eastAsia="Arial" w:hAnsi="Arial"/>
          <w:color w:val="1C2331"/>
          <w:sz w:val="22"/>
          <w:szCs w:val="22"/>
        </w:rPr>
        <w:t xml:space="preserve">Public sharing: Candidates generate a public portfolio link — a digital resume showing all projects, skills, GD scores, and certifications — shareable with recruiters without requiring platform access</w:t>
      </w:r>
    </w:p>
    <w:p>
      <w:pPr>
        <w:spacing w:before="12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3.4 Course &amp; LMS Completion Assessment</w:t>
      </w:r>
    </w:p>
    <w:p>
      <w:pPr>
        <w:spacing w:before="60" w:after="80"/>
      </w:pPr>
      <w:r>
        <w:rPr>
          <w:rFonts w:ascii="Arial" w:cs="Arial" w:eastAsia="Arial" w:hAnsi="Arial"/>
          <w:color w:val="1C2331"/>
          <w:sz w:val="22"/>
          <w:szCs w:val="22"/>
        </w:rPr>
        <w:t xml:space="preserve">LMS (Learning Management System) course completion is the most accessible form of skill evidence. While it carries less weight than project or competition evidence, it provides structured proof of knowledge acquisition and is the prerequisite gate for higher-level skill activities.</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Passing threshold: Each course has a minimum passing score (default 70%) — completion below threshold does not activate the skill node</w:t>
      </w:r>
    </w:p>
    <w:p>
      <w:pPr>
        <w:pStyle w:val="ListParagraph"/>
        <w:numPr>
          <w:ilvl w:val="0"/>
          <w:numId w:val="2"/>
        </w:numPr>
        <w:spacing w:before="40" w:after="55"/>
      </w:pPr>
      <w:r>
        <w:rPr>
          <w:rFonts w:ascii="Arial" w:cs="Arial" w:eastAsia="Arial" w:hAnsi="Arial"/>
          <w:color w:val="1C2331"/>
          <w:sz w:val="22"/>
          <w:szCs w:val="22"/>
        </w:rPr>
        <w:t xml:space="preserve">Skill node activation: Completion at or above passing score activates all associated skill nodes in the candidate's vector at Beginner proficiency</w:t>
      </w:r>
    </w:p>
    <w:p>
      <w:pPr>
        <w:pStyle w:val="ListParagraph"/>
        <w:numPr>
          <w:ilvl w:val="0"/>
          <w:numId w:val="2"/>
        </w:numPr>
        <w:spacing w:before="40" w:after="55"/>
      </w:pPr>
      <w:r>
        <w:rPr>
          <w:rFonts w:ascii="Arial" w:cs="Arial" w:eastAsia="Arial" w:hAnsi="Arial"/>
          <w:color w:val="1C2331"/>
          <w:sz w:val="22"/>
          <w:szCs w:val="22"/>
        </w:rPr>
        <w:t xml:space="preserve">Completion percentage: The system tracks not just whether a course is completed but what percentage of lessons, quizzes, and assessments the candidate has engaged with</w:t>
      </w:r>
    </w:p>
    <w:p>
      <w:pPr>
        <w:pStyle w:val="ListParagraph"/>
        <w:numPr>
          <w:ilvl w:val="0"/>
          <w:numId w:val="2"/>
        </w:numPr>
        <w:spacing w:before="40" w:after="55"/>
      </w:pPr>
      <w:r>
        <w:rPr>
          <w:rFonts w:ascii="Arial" w:cs="Arial" w:eastAsia="Arial" w:hAnsi="Arial"/>
          <w:color w:val="1C2331"/>
          <w:sz w:val="22"/>
          <w:szCs w:val="22"/>
        </w:rPr>
        <w:t xml:space="preserve">Certificate issuance: Courses with certification components generate certificates upon completion — added to profile and pushed to DigiLocker automatically</w:t>
      </w:r>
    </w:p>
    <w:p>
      <w:pPr>
        <w:pStyle w:val="ListParagraph"/>
        <w:numPr>
          <w:ilvl w:val="0"/>
          <w:numId w:val="2"/>
        </w:numPr>
        <w:spacing w:before="40" w:after="55"/>
      </w:pPr>
      <w:r>
        <w:rPr>
          <w:rFonts w:ascii="Arial" w:cs="Arial" w:eastAsia="Arial" w:hAnsi="Arial"/>
          <w:color w:val="1C2331"/>
          <w:sz w:val="22"/>
          <w:szCs w:val="22"/>
        </w:rPr>
        <w:t xml:space="preserve">Skill Map visualization: Visual representation of all course-based skills — shows which nodes are activated, at what level, and from which course source</w:t>
      </w:r>
    </w:p>
    <w:p>
      <w:pPr>
        <w:pStyle w:val="ListParagraph"/>
        <w:numPr>
          <w:ilvl w:val="0"/>
          <w:numId w:val="2"/>
        </w:numPr>
        <w:spacing w:before="40" w:after="55"/>
      </w:pPr>
      <w:r>
        <w:rPr>
          <w:rFonts w:ascii="Arial" w:cs="Arial" w:eastAsia="Arial" w:hAnsi="Arial"/>
          <w:color w:val="1C2331"/>
          <w:sz w:val="22"/>
          <w:szCs w:val="22"/>
        </w:rPr>
        <w:t xml:space="preserve">Gap-driven recommendations: The Skill Feedback Generator Agent recommends specific courses to fill identified skill gaps based on the candidate's target role and current vector</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4. Belt Progression System — Mastery Levels</w:t>
      </w:r>
    </w:p>
    <w:p>
      <w:pPr>
        <w:spacing w:before="60" w:after="80"/>
      </w:pPr>
      <w:r>
        <w:rPr>
          <w:rFonts w:ascii="Arial" w:cs="Arial" w:eastAsia="Arial" w:hAnsi="Arial"/>
          <w:color w:val="1C2331"/>
          <w:sz w:val="22"/>
          <w:szCs w:val="22"/>
        </w:rPr>
        <w:t xml:space="preserve">The Belt Progression System is EcoSkiller's structured competency certification framework. Modeled on the belt system used in martial arts and adapted for professional skill development, it provides candidates with clear, incremental milestones that represent increasing levels of verified mastery. Each belt level unlocks new platform privileges and carries increasing credibility with recruiters.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4.1 Belt Architecture</w:t>
      </w:r>
    </w:p>
    <w:p>
      <w:pPr>
        <w:spacing w:before="60" w:after="80"/>
      </w:pPr>
      <w:r>
        <w:rPr>
          <w:rFonts w:ascii="Arial" w:cs="Arial" w:eastAsia="Arial" w:hAnsi="Arial"/>
          <w:color w:val="1C2331"/>
          <w:sz w:val="22"/>
          <w:szCs w:val="22"/>
        </w:rPr>
        <w:t xml:space="preserve">The system defines 8 belt levels, each with specific requirements across multiple dimensions: accumulated XP, competitive match completions, performance score thresholds, scenario pass rates, and mentor certification. Auto-promotion is strictly forbidden — all belt advancements require mentor board review and audit record creation.</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100"/>
        <w:gridCol w:w="3360"/>
        <w:gridCol w:w="2600"/>
      </w:tblGrid>
      <w:tr>
        <w:trPr>
          <w:tblHeader/>
        </w:trPr>
        <w:tc>
          <w:tcPr>
            <w:tcW w:type="dxa" w:w="12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Belt</w:t>
            </w:r>
          </w:p>
        </w:tc>
        <w:tc>
          <w:tcPr>
            <w:tcW w:type="dxa" w:w="11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 XP</w:t>
            </w:r>
          </w:p>
        </w:tc>
        <w:tc>
          <w:tcPr>
            <w:tcW w:type="dxa" w:w="11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Matches</w:t>
            </w:r>
          </w:p>
        </w:tc>
        <w:tc>
          <w:tcPr>
            <w:tcW w:type="dxa" w:w="33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Promotion Criteria</w:t>
            </w:r>
          </w:p>
        </w:tc>
        <w:tc>
          <w:tcPr>
            <w:tcW w:type="dxa" w:w="26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Platform Privileges</w:t>
            </w:r>
          </w:p>
        </w:tc>
      </w:tr>
      <w:tr>
        <w:tc>
          <w:tcPr>
            <w:tcW w:type="dxa" w:w="1200"/>
            <w:tcBorders>
              <w:top w:val="single" w:color="CCCCCC" w:sz="1"/>
              <w:left w:val="single" w:color="CCCCCC" w:sz="1"/>
              <w:bottom w:val="single" w:color="CCCCCC" w:sz="1"/>
              <w:right w:val="single" w:color="CCCCCC" w:sz="1"/>
            </w:tcBorders>
            <w:shd w:fill="888888"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WHITE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0</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None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Entry level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Basic skill taxonomy access, course enrollment, GD participation</w:t>
            </w:r>
          </w:p>
        </w:tc>
      </w:tr>
      <w:tr>
        <w:tc>
          <w:tcPr>
            <w:tcW w:type="dxa" w:w="1200"/>
            <w:tcBorders>
              <w:top w:val="single" w:color="CCCCCC" w:sz="1"/>
              <w:left w:val="single" w:color="CCCCCC" w:sz="1"/>
              <w:bottom w:val="single" w:color="CCCCCC" w:sz="1"/>
              <w:right w:val="single" w:color="CCCCCC" w:sz="1"/>
            </w:tcBorders>
            <w:shd w:fill="C8B4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YELLOW</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500</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Completed 5 GD sessions with avg score ≥ 50; 2 courses completed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Job applications (5/mo), basic project browsing, GD practice</w:t>
            </w:r>
          </w:p>
        </w:tc>
      </w:tr>
      <w:tr>
        <w:tc>
          <w:tcPr>
            <w:tcW w:type="dxa" w:w="1200"/>
            <w:tcBorders>
              <w:top w:val="single" w:color="CCCCCC" w:sz="1"/>
              <w:left w:val="single" w:color="CCCCCC" w:sz="1"/>
              <w:bottom w:val="single" w:color="CCCCCC" w:sz="1"/>
              <w:right w:val="single" w:color="CCCCCC" w:sz="1"/>
            </w:tcBorders>
            <w:shd w:fill="C84B0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ORANGE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1200</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25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Avg GD score ≥ 65; 1 institute tournament entry; 5 courses passed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Job applications (15/mo), basic certification eligibility, Dojo rooms (3/mo)</w:t>
            </w:r>
          </w:p>
        </w:tc>
      </w:tr>
      <w:tr>
        <w:tc>
          <w:tcPr>
            <w:tcW w:type="dxa" w:w="1200"/>
            <w:tcBorders>
              <w:top w:val="single" w:color="CCCCCC" w:sz="1"/>
              <w:left w:val="single" w:color="CCCCCC" w:sz="1"/>
              <w:bottom w:val="single" w:color="CCCCCC" w:sz="1"/>
              <w:right w:val="single" w:color="CCCCCC" w:sz="1"/>
            </w:tcBorders>
            <w:shd w:fill="1A6B3A"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GREEN</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2500</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Avg GD score ≥ 72; district tournament participation; skill endorsements ≥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Unlimited job applications, project marketplace apply, full Dojo access</w:t>
            </w:r>
          </w:p>
        </w:tc>
      </w:tr>
      <w:tr>
        <w:tc>
          <w:tcPr>
            <w:tcW w:type="dxa" w:w="1200"/>
            <w:tcBorders>
              <w:top w:val="single" w:color="CCCCCC" w:sz="1"/>
              <w:left w:val="single" w:color="CCCCCC" w:sz="1"/>
              <w:bottom w:val="single" w:color="CCCCCC" w:sz="1"/>
              <w:right w:val="single" w:color="CCCCCC" w:sz="1"/>
            </w:tcBorders>
            <w:shd w:fill="0D2B55"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BLUE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5000</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GD ≥ 78; state tournament; 2 projects completed; mentor certification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Priority matching, certification issuance, tournament prize eligibility</w:t>
            </w:r>
          </w:p>
        </w:tc>
      </w:tr>
      <w:tr>
        <w:tc>
          <w:tcPr>
            <w:tcW w:type="dxa" w:w="1200"/>
            <w:tcBorders>
              <w:top w:val="single" w:color="CCCCCC" w:sz="1"/>
              <w:left w:val="single" w:color="CCCCCC" w:sz="1"/>
              <w:bottom w:val="single" w:color="CCCCCC" w:sz="1"/>
              <w:right w:val="single" w:color="CCCCCC" w:sz="1"/>
            </w:tcBorders>
            <w:shd w:fill="4A2882"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PURPLE</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9000</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150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GD ≥ 82; national tournament; 5 projects; 3 skill endorsements from employers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Revenue share eligible, mentor candidate status, portfolio verified seal</w:t>
            </w:r>
          </w:p>
        </w:tc>
      </w:tr>
      <w:tr>
        <w:tc>
          <w:tcPr>
            <w:tcW w:type="dxa" w:w="1200"/>
            <w:tcBorders>
              <w:top w:val="single" w:color="CCCCCC" w:sz="1"/>
              <w:left w:val="single" w:color="CCCCCC" w:sz="1"/>
              <w:bottom w:val="single" w:color="CCCCCC" w:sz="1"/>
              <w:right w:val="single" w:color="CCCCCC" w:sz="1"/>
            </w:tcBorders>
            <w:shd w:fill="4A2020"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BROWN</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15000</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200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GD ≥ 88; national champion or runner-up; 10 projects; elite skill vector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Co-teaching rights, idea IP submission, champion tier tournaments</w:t>
            </w:r>
          </w:p>
        </w:tc>
      </w:tr>
      <w:tr>
        <w:tc>
          <w:tcPr>
            <w:tcW w:type="dxa" w:w="1200"/>
            <w:tcBorders>
              <w:top w:val="single" w:color="CCCCCC" w:sz="1"/>
              <w:left w:val="single" w:color="CCCCCC" w:sz="1"/>
              <w:bottom w:val="single" w:color="CCCCCC" w:sz="1"/>
              <w:right w:val="single" w:color="CCCCCC" w:sz="1"/>
            </w:tcBorders>
            <w:shd w:fill="1C2331"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BLACK</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25000</w:t>
            </w:r>
          </w:p>
        </w:tc>
        <w:tc>
          <w:tcPr>
            <w:tcW w:type="dxa" w:w="1100"/>
            <w:tcBorders>
              <w:top w:val="single" w:color="CCCCCC" w:sz="1"/>
              <w:left w:val="single" w:color="CCCCCC" w:sz="1"/>
              <w:bottom w:val="single" w:color="CCCCCC" w:sz="1"/>
              <w:right w:val="single" w:color="CCCCCC" w:sz="1"/>
            </w:tcBorders>
            <w:shd w:fill="F4F6F9" w:val="clear"/>
            <w:tcMar>
              <w:top w:type="dxa" w:w="80"/>
              <w:left w:type="dxa" w:w="100"/>
              <w:bottom w:type="dxa" w:w="80"/>
              <w:right w:type="dxa" w:w="100"/>
            </w:tcMar>
            <w:vAlign w:val="center"/>
          </w:tcPr>
          <w:p>
            <w:pPr>
              <w:jc w:val="center"/>
            </w:pPr>
            <w:r>
              <w:rPr>
                <w:rFonts w:ascii="Arial" w:cs="Arial" w:eastAsia="Arial" w:hAnsi="Arial"/>
                <w:color w:val="1C2331"/>
                <w:sz w:val="20"/>
                <w:szCs w:val="20"/>
              </w:rPr>
              <w:t xml:space="preserve">300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Top 1% GD nationally; national champion in any category; complete mastery vector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00"/>
            </w:tcMar>
          </w:tcPr>
          <w:p>
            <w:r>
              <w:rPr>
                <w:rFonts w:ascii="Arial" w:cs="Arial" w:eastAsia="Arial" w:hAnsi="Arial"/>
                <w:color w:val="1C2331"/>
                <w:sz w:val="20"/>
                <w:szCs w:val="20"/>
              </w:rPr>
              <w:t xml:space="preserve">Platform ambassador, governance participation, legacy certification</w:t>
            </w:r>
          </w:p>
        </w:tc>
      </w:tr>
    </w:tbl>
    <w:p>
      <w:pPr>
        <w:spacing w:before="8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4A00" w:sz="1"/>
              <w:left w:val="single" w:color="8B4A00" w:sz="20"/>
              <w:bottom w:val="single" w:color="8B4A00" w:sz="1"/>
              <w:right w:val="single" w:color="8B4A00" w:sz="1"/>
            </w:tcBorders>
            <w:shd w:fill="F3E4CC" w:val="clear"/>
            <w:tcMar>
              <w:top w:type="dxa" w:w="120"/>
              <w:left w:type="dxa" w:w="220"/>
              <w:bottom w:type="dxa" w:w="120"/>
              <w:right w:type="dxa" w:w="200"/>
            </w:tcMar>
          </w:tcPr>
          <w:p>
            <w:pPr>
              <w:spacing w:before="0" w:after="60"/>
            </w:pPr>
            <w:r>
              <w:rPr>
                <w:rFonts w:ascii="Arial" w:cs="Arial" w:eastAsia="Arial" w:hAnsi="Arial"/>
                <w:b/>
                <w:bCs/>
                <w:color w:val="8B4A00"/>
                <w:sz w:val="24"/>
                <w:szCs w:val="24"/>
              </w:rPr>
              <w:t xml:space="preserve">Belt Promotion Rules (NON-NEGOTIABLE)</w:t>
            </w:r>
          </w:p>
          <w:p>
            <w:pPr>
              <w:pStyle w:val="ListParagraph"/>
              <w:numPr>
                <w:ilvl w:val="0"/>
                <w:numId w:val="2"/>
              </w:numPr>
              <w:spacing w:before="30" w:after="40"/>
            </w:pPr>
            <w:r>
              <w:rPr>
                <w:rFonts w:ascii="Arial" w:cs="Arial" w:eastAsia="Arial" w:hAnsi="Arial"/>
                <w:color w:val="1C2331"/>
                <w:sz w:val="21"/>
                <w:szCs w:val="21"/>
              </w:rPr>
              <w:t xml:space="preserve">Match count: Candidate must have completed the required number of competitive matches for the target belt</w:t>
            </w:r>
          </w:p>
          <w:p>
            <w:pPr>
              <w:pStyle w:val="ListParagraph"/>
              <w:numPr>
                <w:ilvl w:val="0"/>
                <w:numId w:val="2"/>
              </w:numPr>
              <w:spacing w:before="30" w:after="40"/>
            </w:pPr>
            <w:r>
              <w:rPr>
                <w:rFonts w:ascii="Arial" w:cs="Arial" w:eastAsia="Arial" w:hAnsi="Arial"/>
                <w:color w:val="1C2331"/>
                <w:sz w:val="21"/>
                <w:szCs w:val="21"/>
              </w:rPr>
              <w:t xml:space="preserve">Score threshold: Minimum performance score across all assessment types (GD + tournament + projects) must be met</w:t>
            </w:r>
          </w:p>
          <w:p>
            <w:pPr>
              <w:pStyle w:val="ListParagraph"/>
              <w:numPr>
                <w:ilvl w:val="0"/>
                <w:numId w:val="2"/>
              </w:numPr>
              <w:spacing w:before="30" w:after="40"/>
            </w:pPr>
            <w:r>
              <w:rPr>
                <w:rFonts w:ascii="Arial" w:cs="Arial" w:eastAsia="Arial" w:hAnsi="Arial"/>
                <w:color w:val="1C2331"/>
                <w:sz w:val="21"/>
                <w:szCs w:val="21"/>
              </w:rPr>
              <w:t xml:space="preserve">Pressure scenario pass: Candidate must pass at least one high-difficulty 'pressure scenario' evaluation specific to the belt level</w:t>
            </w:r>
          </w:p>
          <w:p>
            <w:pPr>
              <w:pStyle w:val="ListParagraph"/>
              <w:numPr>
                <w:ilvl w:val="0"/>
                <w:numId w:val="2"/>
              </w:numPr>
              <w:spacing w:before="30" w:after="40"/>
            </w:pPr>
            <w:r>
              <w:rPr>
                <w:rFonts w:ascii="Arial" w:cs="Arial" w:eastAsia="Arial" w:hAnsi="Arial"/>
                <w:color w:val="1C2331"/>
                <w:sz w:val="21"/>
                <w:szCs w:val="21"/>
              </w:rPr>
              <w:t xml:space="preserve">Mentor certification: A qualified mentor must review the candidate's full evidence record and formally certify the promotion</w:t>
            </w:r>
          </w:p>
          <w:p>
            <w:pPr>
              <w:pStyle w:val="ListParagraph"/>
              <w:numPr>
                <w:ilvl w:val="0"/>
                <w:numId w:val="2"/>
              </w:numPr>
              <w:spacing w:before="30" w:after="40"/>
            </w:pPr>
            <w:r>
              <w:rPr>
                <w:rFonts w:ascii="Arial" w:cs="Arial" w:eastAsia="Arial" w:hAnsi="Arial"/>
                <w:color w:val="1C2331"/>
                <w:sz w:val="21"/>
                <w:szCs w:val="21"/>
              </w:rPr>
              <w:t xml:space="preserve">Audit record creation: A complete, signed audit record documenting all promotion evidence must be generated and stored</w:t>
            </w:r>
          </w:p>
          <w:p>
            <w:pPr>
              <w:pStyle w:val="ListParagraph"/>
              <w:numPr>
                <w:ilvl w:val="0"/>
                <w:numId w:val="2"/>
              </w:numPr>
              <w:spacing w:before="30" w:after="40"/>
            </w:pPr>
            <w:r>
              <w:rPr>
                <w:rFonts w:ascii="Arial" w:cs="Arial" w:eastAsia="Arial" w:hAnsi="Arial"/>
                <w:color w:val="1C2331"/>
                <w:sz w:val="21"/>
                <w:szCs w:val="21"/>
              </w:rPr>
              <w:t xml:space="preserve">NO auto-promotion: The system never promotes automatically — every promotion is a human-validated decision with AI evidence support</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4.2 Belt-Specific Privilege Unlocks</w:t>
      </w:r>
    </w:p>
    <w:p>
      <w:pPr>
        <w:spacing w:before="60" w:after="80"/>
      </w:pPr>
      <w:r>
        <w:rPr>
          <w:rFonts w:ascii="Arial" w:cs="Arial" w:eastAsia="Arial" w:hAnsi="Arial"/>
          <w:color w:val="1C2331"/>
          <w:sz w:val="22"/>
          <w:szCs w:val="22"/>
        </w:rPr>
        <w:t xml:space="preserve">Belt advancement is not just a cosmetic label — each belt level unlocks concrete platform capabilities that directly benefit the candidate's career trajectory.</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WHITE to YELLOW: Access to GD practice rooms and course enrollment — building foundation</w:t>
      </w:r>
    </w:p>
    <w:p>
      <w:pPr>
        <w:pStyle w:val="ListParagraph"/>
        <w:numPr>
          <w:ilvl w:val="0"/>
          <w:numId w:val="2"/>
        </w:numPr>
        <w:spacing w:before="40" w:after="55"/>
      </w:pPr>
      <w:r>
        <w:rPr>
          <w:rFonts w:ascii="Arial" w:cs="Arial" w:eastAsia="Arial" w:hAnsi="Arial"/>
          <w:color w:val="1C2331"/>
          <w:sz w:val="22"/>
          <w:szCs w:val="22"/>
        </w:rPr>
        <w:t xml:space="preserve">YELLOW to ORANGE: Entry into institute-level competitions and first certification eligibility</w:t>
      </w:r>
    </w:p>
    <w:p>
      <w:pPr>
        <w:pStyle w:val="ListParagraph"/>
        <w:numPr>
          <w:ilvl w:val="0"/>
          <w:numId w:val="2"/>
        </w:numPr>
        <w:spacing w:before="40" w:after="55"/>
      </w:pPr>
      <w:r>
        <w:rPr>
          <w:rFonts w:ascii="Arial" w:cs="Arial" w:eastAsia="Arial" w:hAnsi="Arial"/>
          <w:color w:val="1C2331"/>
          <w:sz w:val="22"/>
          <w:szCs w:val="22"/>
        </w:rPr>
        <w:t xml:space="preserve">ORANGE to GREEN: Full project marketplace access — candidates can now work on real company projects</w:t>
      </w:r>
    </w:p>
    <w:p>
      <w:pPr>
        <w:pStyle w:val="ListParagraph"/>
        <w:numPr>
          <w:ilvl w:val="0"/>
          <w:numId w:val="2"/>
        </w:numPr>
        <w:spacing w:before="40" w:after="55"/>
      </w:pPr>
      <w:r>
        <w:rPr>
          <w:rFonts w:ascii="Arial" w:cs="Arial" w:eastAsia="Arial" w:hAnsi="Arial"/>
          <w:color w:val="1C2331"/>
          <w:sz w:val="22"/>
          <w:szCs w:val="22"/>
        </w:rPr>
        <w:t xml:space="preserve">GREEN to BLUE: Priority job matching — recruiter dashboards surface Blue belt candidates ahead of lower tiers for matching roles</w:t>
      </w:r>
    </w:p>
    <w:p>
      <w:pPr>
        <w:pStyle w:val="ListParagraph"/>
        <w:numPr>
          <w:ilvl w:val="0"/>
          <w:numId w:val="2"/>
        </w:numPr>
        <w:spacing w:before="40" w:after="55"/>
      </w:pPr>
      <w:r>
        <w:rPr>
          <w:rFonts w:ascii="Arial" w:cs="Arial" w:eastAsia="Arial" w:hAnsi="Arial"/>
          <w:color w:val="1C2331"/>
          <w:sz w:val="22"/>
          <w:szCs w:val="22"/>
        </w:rPr>
        <w:t xml:space="preserve">BLUE to PURPLE: Revenue sharing eligibility — candidates can earn from platform projects and content contributions</w:t>
      </w:r>
    </w:p>
    <w:p>
      <w:pPr>
        <w:pStyle w:val="ListParagraph"/>
        <w:numPr>
          <w:ilvl w:val="0"/>
          <w:numId w:val="2"/>
        </w:numPr>
        <w:spacing w:before="40" w:after="55"/>
      </w:pPr>
      <w:r>
        <w:rPr>
          <w:rFonts w:ascii="Arial" w:cs="Arial" w:eastAsia="Arial" w:hAnsi="Arial"/>
          <w:color w:val="1C2331"/>
          <w:sz w:val="22"/>
          <w:szCs w:val="22"/>
        </w:rPr>
        <w:t xml:space="preserve">PURPLE to BROWN: Co-teaching and mentoring rights — Purple+ candidates can guide lower-belt candidates</w:t>
      </w:r>
    </w:p>
    <w:p>
      <w:pPr>
        <w:pStyle w:val="ListParagraph"/>
        <w:numPr>
          <w:ilvl w:val="0"/>
          <w:numId w:val="2"/>
        </w:numPr>
        <w:spacing w:before="40" w:after="55"/>
      </w:pPr>
      <w:r>
        <w:rPr>
          <w:rFonts w:ascii="Arial" w:cs="Arial" w:eastAsia="Arial" w:hAnsi="Arial"/>
          <w:color w:val="1C2331"/>
          <w:sz w:val="22"/>
          <w:szCs w:val="22"/>
        </w:rPr>
        <w:t xml:space="preserve">BROWN to BLACK: Platform governance participation — Black belt candidates contribute to platform evolution decisions</w:t>
      </w:r>
    </w:p>
    <w:p>
      <w:pPr>
        <w:spacing w:before="12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4.3 Skill Confidence Model — Belt Assignment Accuracy</w:t>
      </w:r>
    </w:p>
    <w:p>
      <w:pPr>
        <w:spacing w:before="60" w:after="80"/>
      </w:pPr>
      <w:r>
        <w:rPr>
          <w:rFonts w:ascii="Arial" w:cs="Arial" w:eastAsia="Arial" w:hAnsi="Arial"/>
          <w:color w:val="1C2331"/>
          <w:sz w:val="22"/>
          <w:szCs w:val="22"/>
        </w:rPr>
        <w:t xml:space="preserve">The Skill Confidence Model (SCM) Agent ensures that belt assignments are statistically reliable. It calculates a confidence score — the probability that a claimed belt level is accurate — for every belt assignment decision. This prevents false positives (over-promotion) and false negatives (under-recognition).</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Confidence Score: Probability (0.0–1.0) that the claimed skill level is accurate within the defined performance context</w:t>
      </w:r>
    </w:p>
    <w:p>
      <w:pPr>
        <w:pStyle w:val="ListParagraph"/>
        <w:numPr>
          <w:ilvl w:val="0"/>
          <w:numId w:val="2"/>
        </w:numPr>
        <w:spacing w:before="40" w:after="55"/>
      </w:pPr>
      <w:r>
        <w:rPr>
          <w:rFonts w:ascii="Arial" w:cs="Arial" w:eastAsia="Arial" w:hAnsi="Arial"/>
          <w:color w:val="1C2331"/>
          <w:sz w:val="22"/>
          <w:szCs w:val="22"/>
        </w:rPr>
        <w:t xml:space="preserve">Confidence Interval: Each belt assignment includes a 95% confidence interval [Lower Bound, Point Estimate, Upper Bound]</w:t>
      </w:r>
    </w:p>
    <w:p>
      <w:pPr>
        <w:pStyle w:val="ListParagraph"/>
        <w:numPr>
          <w:ilvl w:val="0"/>
          <w:numId w:val="2"/>
        </w:numPr>
        <w:spacing w:before="40" w:after="55"/>
      </w:pPr>
      <w:r>
        <w:rPr>
          <w:rFonts w:ascii="Arial" w:cs="Arial" w:eastAsia="Arial" w:hAnsi="Arial"/>
          <w:color w:val="1C2331"/>
          <w:sz w:val="22"/>
          <w:szCs w:val="22"/>
        </w:rPr>
        <w:t xml:space="preserve">Inter-rater reliability: SCM tracks how consistently different mentors score the same candidate — high variance triggers a calibration review</w:t>
      </w:r>
    </w:p>
    <w:p>
      <w:pPr>
        <w:pStyle w:val="ListParagraph"/>
        <w:numPr>
          <w:ilvl w:val="0"/>
          <w:numId w:val="2"/>
        </w:numPr>
        <w:spacing w:before="40" w:after="55"/>
      </w:pPr>
      <w:r>
        <w:rPr>
          <w:rFonts w:ascii="Arial" w:cs="Arial" w:eastAsia="Arial" w:hAnsi="Arial"/>
          <w:color w:val="1C2331"/>
          <w:sz w:val="22"/>
          <w:szCs w:val="22"/>
        </w:rPr>
        <w:t xml:space="preserve">Scenario difficulty normalization: SCM normalizes for the fact that some assessments are harder than others — a score of 75 on a harder scenario may be equivalent to 85 on an easier one</w:t>
      </w:r>
    </w:p>
    <w:p>
      <w:pPr>
        <w:pStyle w:val="ListParagraph"/>
        <w:numPr>
          <w:ilvl w:val="0"/>
          <w:numId w:val="2"/>
        </w:numPr>
        <w:spacing w:before="40" w:after="55"/>
      </w:pPr>
      <w:r>
        <w:rPr>
          <w:rFonts w:ascii="Arial" w:cs="Arial" w:eastAsia="Arial" w:hAnsi="Arial"/>
          <w:color w:val="1C2331"/>
          <w:sz w:val="22"/>
          <w:szCs w:val="22"/>
        </w:rPr>
        <w:t xml:space="preserve">Mentor bias detection: SCM identifies patterns where a specific mentor consistently over- or under-scores compared to peers, triggering a calibration workflow</w:t>
      </w:r>
    </w:p>
    <w:p>
      <w:pPr>
        <w:pStyle w:val="ListParagraph"/>
        <w:numPr>
          <w:ilvl w:val="0"/>
          <w:numId w:val="2"/>
        </w:numPr>
        <w:spacing w:before="40" w:after="55"/>
      </w:pPr>
      <w:r>
        <w:rPr>
          <w:rFonts w:ascii="Arial" w:cs="Arial" w:eastAsia="Arial" w:hAnsi="Arial"/>
          <w:color w:val="1C2331"/>
          <w:sz w:val="22"/>
          <w:szCs w:val="22"/>
        </w:rPr>
        <w:t xml:space="preserve">Promotion gate enforcement: Belt promotions with confidence &lt; 0.70 are automatically held for additional evidence collection before proceeding</w:t>
      </w:r>
    </w:p>
    <w:p>
      <w:pPr>
        <w:pStyle w:val="ListParagraph"/>
        <w:numPr>
          <w:ilvl w:val="0"/>
          <w:numId w:val="2"/>
        </w:numPr>
        <w:spacing w:before="40" w:after="55"/>
      </w:pPr>
      <w:r>
        <w:rPr>
          <w:rFonts w:ascii="Arial" w:cs="Arial" w:eastAsia="Arial" w:hAnsi="Arial"/>
          <w:color w:val="1C2331"/>
          <w:sz w:val="22"/>
          <w:szCs w:val="22"/>
        </w:rPr>
        <w:t xml:space="preserve">Low-confidence flags: All assignments where confidence is below threshold are flagged for governance board review</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5. ELO Competitive Ranking System</w:t>
      </w:r>
    </w:p>
    <w:p>
      <w:pPr>
        <w:spacing w:before="60" w:after="80"/>
      </w:pPr>
      <w:r>
        <w:rPr>
          <w:rFonts w:ascii="Arial" w:cs="Arial" w:eastAsia="Arial" w:hAnsi="Arial"/>
          <w:color w:val="1C2331"/>
          <w:sz w:val="22"/>
          <w:szCs w:val="22"/>
        </w:rPr>
        <w:t xml:space="preserve">The Skill Rank Engine (SRE) implements an ELO-based competitive rating system — the same mathematical framework used in chess, professional gaming, and sports rankings — adapted for professional skill assessment. ELO provides a globally comparable, mathematically rigorous measure of competitive performance that is far more informative than a raw percentage score.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5.1 Why ELO for Skills?</w:t>
      </w:r>
    </w:p>
    <w:p>
      <w:pPr>
        <w:spacing w:before="60" w:after="80"/>
      </w:pPr>
      <w:r>
        <w:rPr>
          <w:rFonts w:ascii="Arial" w:cs="Arial" w:eastAsia="Arial" w:hAnsi="Arial"/>
          <w:color w:val="1C2331"/>
          <w:sz w:val="22"/>
          <w:szCs w:val="22"/>
        </w:rPr>
        <w:t xml:space="preserve">ELO rating is not just a score — it is a relative measure of performance that accounts for the strength of competition. A candidate who consistently beats strong opponents earns a higher rating than one who beats weak opponents, even if the raw scores are similar. This means ELO ratings on EcoSkiller tell recruiters not just 'what score did this candidate achieve' but 'how does this candidate perform relative to real peers in competitive conditions'.</w:t>
      </w:r>
    </w:p>
    <w:p>
      <w:pPr>
        <w:spacing w:before="6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5.2 ELO Rating Architecture</w:t>
      </w:r>
    </w:p>
    <w:p>
      <w:pPr>
        <w:pStyle w:val="ListParagraph"/>
        <w:numPr>
          <w:ilvl w:val="0"/>
          <w:numId w:val="2"/>
        </w:numPr>
        <w:spacing w:before="40" w:after="55"/>
      </w:pPr>
      <w:r>
        <w:rPr>
          <w:rFonts w:ascii="Arial" w:cs="Arial" w:eastAsia="Arial" w:hAnsi="Arial"/>
          <w:color w:val="1C2331"/>
          <w:sz w:val="22"/>
          <w:szCs w:val="22"/>
        </w:rPr>
        <w:t xml:space="preserve">Base rating: All candidates begin at ELO 1000 (standard starting baseline)</w:t>
      </w:r>
    </w:p>
    <w:p>
      <w:pPr>
        <w:pStyle w:val="ListParagraph"/>
        <w:numPr>
          <w:ilvl w:val="0"/>
          <w:numId w:val="2"/>
        </w:numPr>
        <w:spacing w:before="40" w:after="55"/>
      </w:pPr>
      <w:r>
        <w:rPr>
          <w:rFonts w:ascii="Arial" w:cs="Arial" w:eastAsia="Arial" w:hAnsi="Arial"/>
          <w:color w:val="1C2331"/>
          <w:sz w:val="22"/>
          <w:szCs w:val="22"/>
        </w:rPr>
        <w:t xml:space="preserve">Rating change per match: Calculated as K × (Actual − Expected), where K is the K-factor (sensitivity) and Expected is the probability-weighted expected outcome</w:t>
      </w:r>
    </w:p>
    <w:p>
      <w:pPr>
        <w:pStyle w:val="ListParagraph"/>
        <w:numPr>
          <w:ilvl w:val="0"/>
          <w:numId w:val="2"/>
        </w:numPr>
        <w:spacing w:before="40" w:after="55"/>
      </w:pPr>
      <w:r>
        <w:rPr>
          <w:rFonts w:ascii="Arial" w:cs="Arial" w:eastAsia="Arial" w:hAnsi="Arial"/>
          <w:color w:val="1C2331"/>
          <w:sz w:val="22"/>
          <w:szCs w:val="22"/>
        </w:rPr>
        <w:t xml:space="preserve">K-factor variation: New/low-confidence players have higher K (faster adjustment); established players have lower K (more stable rating)</w:t>
      </w:r>
    </w:p>
    <w:p>
      <w:pPr>
        <w:pStyle w:val="ListParagraph"/>
        <w:numPr>
          <w:ilvl w:val="0"/>
          <w:numId w:val="2"/>
        </w:numPr>
        <w:spacing w:before="40" w:after="55"/>
      </w:pPr>
      <w:r>
        <w:rPr>
          <w:rFonts w:ascii="Arial" w:cs="Arial" w:eastAsia="Arial" w:hAnsi="Arial"/>
          <w:color w:val="1C2331"/>
          <w:sz w:val="22"/>
          <w:szCs w:val="22"/>
        </w:rPr>
        <w:t xml:space="preserve">Provisional period: First 20 competitive matches are 'provisional' — rating adjusts more aggressively to find the true level</w:t>
      </w:r>
    </w:p>
    <w:p>
      <w:pPr>
        <w:pStyle w:val="ListParagraph"/>
        <w:numPr>
          <w:ilvl w:val="0"/>
          <w:numId w:val="2"/>
        </w:numPr>
        <w:spacing w:before="40" w:after="55"/>
      </w:pPr>
      <w:r>
        <w:rPr>
          <w:rFonts w:ascii="Arial" w:cs="Arial" w:eastAsia="Arial" w:hAnsi="Arial"/>
          <w:color w:val="1C2331"/>
          <w:sz w:val="22"/>
          <w:szCs w:val="22"/>
        </w:rPr>
        <w:t xml:space="preserve">Rating decay: Inactive players (no competitive activity for 60+ days) experience gradual rating decay, encouraging ongoing engagement</w:t>
      </w:r>
    </w:p>
    <w:p>
      <w:pPr>
        <w:pStyle w:val="ListParagraph"/>
        <w:numPr>
          <w:ilvl w:val="0"/>
          <w:numId w:val="2"/>
        </w:numPr>
        <w:spacing w:before="40" w:after="55"/>
      </w:pPr>
      <w:r>
        <w:rPr>
          <w:rFonts w:ascii="Arial" w:cs="Arial" w:eastAsia="Arial" w:hAnsi="Arial"/>
          <w:color w:val="1C2331"/>
          <w:sz w:val="22"/>
          <w:szCs w:val="22"/>
        </w:rPr>
        <w:t xml:space="preserve">Manipulation detection: Statistical patterns that suggest coordinated losing/winning to artificially manipulate ratings are flagged automatically</w:t>
      </w:r>
    </w:p>
    <w:p>
      <w:pPr>
        <w:spacing w:before="6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5.3 Tournament Format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w:t>
            </w:r>
          </w:p>
        </w:tc>
        <w:tc>
          <w:tcPr>
            <w:tcW w:type="dxa" w:w="38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It Works</w:t>
            </w:r>
          </w:p>
        </w:tc>
        <w:tc>
          <w:tcPr>
            <w:tcW w:type="dxa" w:w="34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ELO Impact</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Swiss System</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All players play the same number of rounds; paired by current standing</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Gradual, fair adjustment — minimizes luck factor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Double Elimination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Two losses required to exit; second-chance bracket included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Protects strong players from single bad performance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Round-Robin</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Every participant plays every other participant</w:t>
            </w:r>
          </w:p>
        </w:tc>
        <w:tc>
          <w:tcPr>
            <w:tcW w:type="dxa" w:w="34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Most accurate assessment — maximum data points for ELO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Single Elimination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Direct knockout — one loss exits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High-stakes; large rating swing possible; used for championship events</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5.4 Leaderboard Architecture</w:t>
      </w:r>
    </w:p>
    <w:p>
      <w:pPr>
        <w:pStyle w:val="ListParagraph"/>
        <w:numPr>
          <w:ilvl w:val="0"/>
          <w:numId w:val="2"/>
        </w:numPr>
        <w:spacing w:before="40" w:after="55"/>
      </w:pPr>
      <w:r>
        <w:rPr>
          <w:rFonts w:ascii="Arial" w:cs="Arial" w:eastAsia="Arial" w:hAnsi="Arial"/>
          <w:color w:val="1C2331"/>
          <w:sz w:val="22"/>
          <w:szCs w:val="22"/>
        </w:rPr>
        <w:t xml:space="preserve">Global leaderboard: Top-rated candidates across all skill domains on the platform</w:t>
      </w:r>
    </w:p>
    <w:p>
      <w:pPr>
        <w:pStyle w:val="ListParagraph"/>
        <w:numPr>
          <w:ilvl w:val="0"/>
          <w:numId w:val="2"/>
        </w:numPr>
        <w:spacing w:before="40" w:after="55"/>
      </w:pPr>
      <w:r>
        <w:rPr>
          <w:rFonts w:ascii="Arial" w:cs="Arial" w:eastAsia="Arial" w:hAnsi="Arial"/>
          <w:color w:val="1C2331"/>
          <w:sz w:val="22"/>
          <w:szCs w:val="22"/>
        </w:rPr>
        <w:t xml:space="preserve">Skill-specific leaderboard: Separate leaderboards for each skill domain — Python, Communication, Data Science, etc.</w:t>
      </w:r>
    </w:p>
    <w:p>
      <w:pPr>
        <w:pStyle w:val="ListParagraph"/>
        <w:numPr>
          <w:ilvl w:val="0"/>
          <w:numId w:val="2"/>
        </w:numPr>
        <w:spacing w:before="40" w:after="55"/>
      </w:pPr>
      <w:r>
        <w:rPr>
          <w:rFonts w:ascii="Arial" w:cs="Arial" w:eastAsia="Arial" w:hAnsi="Arial"/>
          <w:color w:val="1C2331"/>
          <w:sz w:val="22"/>
          <w:szCs w:val="22"/>
        </w:rPr>
        <w:t xml:space="preserve">Institute leaderboard: Ranking within the candidate's institution</w:t>
      </w:r>
    </w:p>
    <w:p>
      <w:pPr>
        <w:pStyle w:val="ListParagraph"/>
        <w:numPr>
          <w:ilvl w:val="0"/>
          <w:numId w:val="2"/>
        </w:numPr>
        <w:spacing w:before="40" w:after="55"/>
      </w:pPr>
      <w:r>
        <w:rPr>
          <w:rFonts w:ascii="Arial" w:cs="Arial" w:eastAsia="Arial" w:hAnsi="Arial"/>
          <w:color w:val="1C2331"/>
          <w:sz w:val="22"/>
          <w:szCs w:val="22"/>
        </w:rPr>
        <w:t xml:space="preserve">Cohort leaderboard: Ranking within candidates of the same graduation year</w:t>
      </w:r>
    </w:p>
    <w:p>
      <w:pPr>
        <w:pStyle w:val="ListParagraph"/>
        <w:numPr>
          <w:ilvl w:val="0"/>
          <w:numId w:val="2"/>
        </w:numPr>
        <w:spacing w:before="40" w:after="55"/>
      </w:pPr>
      <w:r>
        <w:rPr>
          <w:rFonts w:ascii="Arial" w:cs="Arial" w:eastAsia="Arial" w:hAnsi="Arial"/>
          <w:color w:val="1C2331"/>
          <w:sz w:val="22"/>
          <w:szCs w:val="22"/>
        </w:rPr>
        <w:t xml:space="preserve">Regional leaderboard: Ranking within geographic region</w:t>
      </w:r>
    </w:p>
    <w:p>
      <w:pPr>
        <w:pStyle w:val="ListParagraph"/>
        <w:numPr>
          <w:ilvl w:val="0"/>
          <w:numId w:val="2"/>
        </w:numPr>
        <w:spacing w:before="40" w:after="55"/>
      </w:pPr>
      <w:r>
        <w:rPr>
          <w:rFonts w:ascii="Arial" w:cs="Arial" w:eastAsia="Arial" w:hAnsi="Arial"/>
          <w:color w:val="1C2331"/>
          <w:sz w:val="22"/>
          <w:szCs w:val="22"/>
        </w:rPr>
        <w:t xml:space="preserve">Rating history tracking: Full historical record of ELO changes — candidates can see their entire competitive trajectory</w:t>
      </w:r>
    </w:p>
    <w:p>
      <w:pPr>
        <w:pStyle w:val="ListParagraph"/>
        <w:numPr>
          <w:ilvl w:val="0"/>
          <w:numId w:val="2"/>
        </w:numPr>
        <w:spacing w:before="40" w:after="55"/>
      </w:pPr>
      <w:r>
        <w:rPr>
          <w:rFonts w:ascii="Arial" w:cs="Arial" w:eastAsia="Arial" w:hAnsi="Arial"/>
          <w:color w:val="1C2331"/>
          <w:sz w:val="22"/>
          <w:szCs w:val="22"/>
        </w:rPr>
        <w:t xml:space="preserve">Volatility indicator: Candidates with high rating variance (suggesting inconsistent performance) are tagged with a volatility marker</w:t>
      </w:r>
    </w:p>
    <w:p>
      <w:pPr>
        <w:pStyle w:val="ListParagraph"/>
        <w:numPr>
          <w:ilvl w:val="0"/>
          <w:numId w:val="2"/>
        </w:numPr>
        <w:spacing w:before="40" w:after="55"/>
      </w:pPr>
      <w:r>
        <w:rPr>
          <w:rFonts w:ascii="Arial" w:cs="Arial" w:eastAsia="Arial" w:hAnsi="Arial"/>
          <w:color w:val="1C2331"/>
          <w:sz w:val="22"/>
          <w:szCs w:val="22"/>
        </w:rPr>
        <w:t xml:space="preserve">Fair seeding: Tournament brackets are seeded using ELO rating bands — candidates are matched against competitors of similar strength</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5.5 ELO as a Hiring Signal</w:t>
      </w:r>
    </w:p>
    <w:p>
      <w:pPr>
        <w:spacing w:before="60" w:after="80"/>
      </w:pPr>
      <w:r>
        <w:rPr>
          <w:rFonts w:ascii="Arial" w:cs="Arial" w:eastAsia="Arial" w:hAnsi="Arial"/>
          <w:color w:val="1C2331"/>
          <w:sz w:val="22"/>
          <w:szCs w:val="22"/>
        </w:rPr>
        <w:t xml:space="preserve">ELO ratings on EcoSkiller translate directly into recruiter hiring intelligence. A candidate with a Python ELO of 1450 has demonstrably outperformed the average competitive field. A candidate who has maintained a rating above 1400 for 12 months shows consistent performance, not a lucky streak. Recruiters can filter and rank candidates by ELO score in addition to skills and qualifications.</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Strength of Schedule (SOS): The SRE calculates how strong the competition was that a candidate faced — high SOS with good outcomes is weighted more heavily</w:t>
      </w:r>
    </w:p>
    <w:p>
      <w:pPr>
        <w:pStyle w:val="ListParagraph"/>
        <w:numPr>
          <w:ilvl w:val="0"/>
          <w:numId w:val="2"/>
        </w:numPr>
        <w:spacing w:before="40" w:after="55"/>
      </w:pPr>
      <w:r>
        <w:rPr>
          <w:rFonts w:ascii="Arial" w:cs="Arial" w:eastAsia="Arial" w:hAnsi="Arial"/>
          <w:color w:val="1C2331"/>
          <w:sz w:val="22"/>
          <w:szCs w:val="22"/>
        </w:rPr>
        <w:t xml:space="preserve">Rating confidence bands: ELO ratings include confidence intervals that shrink as a candidate plays more matches</w:t>
      </w:r>
    </w:p>
    <w:p>
      <w:pPr>
        <w:pStyle w:val="ListParagraph"/>
        <w:numPr>
          <w:ilvl w:val="0"/>
          <w:numId w:val="2"/>
        </w:numPr>
        <w:spacing w:before="40" w:after="55"/>
      </w:pPr>
      <w:r>
        <w:rPr>
          <w:rFonts w:ascii="Arial" w:cs="Arial" w:eastAsia="Arial" w:hAnsi="Arial"/>
          <w:color w:val="1C2331"/>
          <w:sz w:val="22"/>
          <w:szCs w:val="22"/>
        </w:rPr>
        <w:t xml:space="preserve">Recruiter-facing ELO badge: Candidates above 1300 receive a visible ELO badge on their profile — distinct from belt (which measures holistic competency) and specifically signals competitive technical performance</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6. XP Engine — Experience Points &amp; Level Progression</w:t>
      </w:r>
    </w:p>
    <w:p>
      <w:pPr>
        <w:spacing w:before="60" w:after="80"/>
      </w:pPr>
      <w:r>
        <w:rPr>
          <w:rFonts w:ascii="Arial" w:cs="Arial" w:eastAsia="Arial" w:hAnsi="Arial"/>
          <w:color w:val="1C2331"/>
          <w:sz w:val="22"/>
          <w:szCs w:val="22"/>
        </w:rPr>
        <w:t xml:space="preserve">The Skill XP Calibration Agent (SXC) manages the Experience Points economy — a behavioral engagement and progression system that quantifies skill development activity across all platform actions. XP is not a gamification gimmick; it is an inflation-resistant economic model governed by Nobel Prize behavioral economics principles that creates genuine, measurable signals about a candidate's engagement depth and progression velocity.</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6.1 XP Economy Design Principles</w:t>
      </w:r>
    </w:p>
    <w:p>
      <w:pPr>
        <w:pStyle w:val="ListParagraph"/>
        <w:numPr>
          <w:ilvl w:val="0"/>
          <w:numId w:val="2"/>
        </w:numPr>
        <w:spacing w:before="40" w:after="55"/>
      </w:pPr>
      <w:r>
        <w:rPr>
          <w:rFonts w:ascii="Arial" w:cs="Arial" w:eastAsia="Arial" w:hAnsi="Arial"/>
          <w:color w:val="1C2331"/>
          <w:sz w:val="22"/>
          <w:szCs w:val="22"/>
        </w:rPr>
        <w:t xml:space="preserve">Inflation resistance: XP values are periodically calibrated to prevent inflation — a candidate cannot gain meaningful levels simply by doing low-value repetitive actions</w:t>
      </w:r>
    </w:p>
    <w:p>
      <w:pPr>
        <w:pStyle w:val="ListParagraph"/>
        <w:numPr>
          <w:ilvl w:val="0"/>
          <w:numId w:val="2"/>
        </w:numPr>
        <w:spacing w:before="40" w:after="55"/>
      </w:pPr>
      <w:r>
        <w:rPr>
          <w:rFonts w:ascii="Arial" w:cs="Arial" w:eastAsia="Arial" w:hAnsi="Arial"/>
          <w:color w:val="1C2331"/>
          <w:sz w:val="22"/>
          <w:szCs w:val="22"/>
        </w:rPr>
        <w:t xml:space="preserve">Difficulty multipliers: Harder assessments award more XP — completing a national championship gives more XP than completing a quiz</w:t>
      </w:r>
    </w:p>
    <w:p>
      <w:pPr>
        <w:pStyle w:val="ListParagraph"/>
        <w:numPr>
          <w:ilvl w:val="0"/>
          <w:numId w:val="2"/>
        </w:numPr>
        <w:spacing w:before="40" w:after="55"/>
      </w:pPr>
      <w:r>
        <w:rPr>
          <w:rFonts w:ascii="Arial" w:cs="Arial" w:eastAsia="Arial" w:hAnsi="Arial"/>
          <w:color w:val="1C2331"/>
          <w:sz w:val="22"/>
          <w:szCs w:val="22"/>
        </w:rPr>
        <w:t xml:space="preserve">Anti-farming rules: The system detects and penalizes farming behavior — repeating low-difficulty activities just to accumulate XP</w:t>
      </w:r>
    </w:p>
    <w:p>
      <w:pPr>
        <w:pStyle w:val="ListParagraph"/>
        <w:numPr>
          <w:ilvl w:val="0"/>
          <w:numId w:val="2"/>
        </w:numPr>
        <w:spacing w:before="40" w:after="55"/>
      </w:pPr>
      <w:r>
        <w:rPr>
          <w:rFonts w:ascii="Arial" w:cs="Arial" w:eastAsia="Arial" w:hAnsi="Arial"/>
          <w:color w:val="1C2331"/>
          <w:sz w:val="22"/>
          <w:szCs w:val="22"/>
        </w:rPr>
        <w:t xml:space="preserve">Progression gates: Certain level thresholds require specific achievement types, not just XP accumulation — ensuring authentic progression</w:t>
      </w:r>
    </w:p>
    <w:p>
      <w:pPr>
        <w:pStyle w:val="ListParagraph"/>
        <w:numPr>
          <w:ilvl w:val="0"/>
          <w:numId w:val="2"/>
        </w:numPr>
        <w:spacing w:before="40" w:after="55"/>
      </w:pPr>
      <w:r>
        <w:rPr>
          <w:rFonts w:ascii="Arial" w:cs="Arial" w:eastAsia="Arial" w:hAnsi="Arial"/>
          <w:color w:val="1C2331"/>
          <w:sz w:val="22"/>
          <w:szCs w:val="22"/>
        </w:rPr>
        <w:t xml:space="preserve">Explainable XP: Every XP award comes with a clear explanation — candidate can see exactly what action earned what amount and why</w:t>
      </w:r>
    </w:p>
    <w:p>
      <w:pPr>
        <w:pStyle w:val="ListParagraph"/>
        <w:numPr>
          <w:ilvl w:val="0"/>
          <w:numId w:val="2"/>
        </w:numPr>
        <w:spacing w:before="40" w:after="55"/>
      </w:pPr>
      <w:r>
        <w:rPr>
          <w:rFonts w:ascii="Arial" w:cs="Arial" w:eastAsia="Arial" w:hAnsi="Arial"/>
          <w:color w:val="1C2331"/>
          <w:sz w:val="22"/>
          <w:szCs w:val="22"/>
        </w:rPr>
        <w:t xml:space="preserve">Immutability: XP awards are immutable once granted — no retroactive modification is permitted</w:t>
      </w:r>
    </w:p>
    <w:p>
      <w:pPr>
        <w:spacing w:before="6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6.2 XP Award Table by Action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rPr>
          <w:tblHeader/>
        </w:trPr>
        <w:tc>
          <w:tcPr>
            <w:tcW w:type="dxa" w:w="32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w:t>
            </w:r>
          </w:p>
        </w:tc>
        <w:tc>
          <w:tcPr>
            <w:tcW w:type="dxa" w:w="1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 XP</w:t>
            </w:r>
          </w:p>
        </w:tc>
        <w:tc>
          <w:tcPr>
            <w:tcW w:type="dxa" w:w="1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Difficulty Multiplier</w:t>
            </w:r>
          </w:p>
        </w:tc>
        <w:tc>
          <w:tcPr>
            <w:tcW w:type="dxa" w:w="2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Daily login streak maintained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Streak bonus applies after 7 consecutive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LMS course completed (passing grade)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1.0×–2.5×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Multiplier based on course difficulty rating</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GD session completed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150</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1.0×–1.8×</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Multiplier based on session score (higher score = higher multiplier)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GD score ≥ 80/100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50 bonus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Bonus awarded on top of session XP</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participation (institute)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200</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Base for lowest level competition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win (institute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Winner bonus on top of participation XP</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participation (district)</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350</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1.5×</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Higher multiplier for harder competition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win (district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700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win (state level)</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1500</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2.0×</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win (national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Highest XP event on platform</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Project milestone approved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300</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1.0×–2.0×</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Multiplier based on project complexity 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Project completed (approved)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1.0×–2.0×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Certification earned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500</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1.0×–3.0×</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Higher-difficulty certifications award significantly more XP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Peer endorsement received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Capped at 10 endorsements per month to prevent farming</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challenge completed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50–300</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1.0×–2.5×</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Varies by challenge difficulty — set by challenge generator</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6.3 Level Thresholds &amp; Unlocks</w:t>
      </w:r>
    </w:p>
    <w:p>
      <w:pPr>
        <w:spacing w:before="60" w:after="80"/>
      </w:pPr>
      <w:r>
        <w:rPr>
          <w:rFonts w:ascii="Arial" w:cs="Arial" w:eastAsia="Arial" w:hAnsi="Arial"/>
          <w:color w:val="1C2331"/>
          <w:sz w:val="22"/>
          <w:szCs w:val="22"/>
        </w:rPr>
        <w:t xml:space="preserve">Candidate levels (distinct from belt levels) are computed directly from total XP accumulated. Each level unlocks UI features, content, and engagement mechanics:</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Level 1 (0–500 XP): Basic platform access, profile setup, course browsing</w:t>
      </w:r>
    </w:p>
    <w:p>
      <w:pPr>
        <w:pStyle w:val="ListParagraph"/>
        <w:numPr>
          <w:ilvl w:val="0"/>
          <w:numId w:val="2"/>
        </w:numPr>
        <w:spacing w:before="40" w:after="55"/>
      </w:pPr>
      <w:r>
        <w:rPr>
          <w:rFonts w:ascii="Arial" w:cs="Arial" w:eastAsia="Arial" w:hAnsi="Arial"/>
          <w:color w:val="1C2331"/>
          <w:sz w:val="22"/>
          <w:szCs w:val="22"/>
        </w:rPr>
        <w:t xml:space="preserve">Level 2 (500–1200 XP): GD room participation, challenge access, study room creation</w:t>
      </w:r>
    </w:p>
    <w:p>
      <w:pPr>
        <w:pStyle w:val="ListParagraph"/>
        <w:numPr>
          <w:ilvl w:val="0"/>
          <w:numId w:val="2"/>
        </w:numPr>
        <w:spacing w:before="40" w:after="55"/>
      </w:pPr>
      <w:r>
        <w:rPr>
          <w:rFonts w:ascii="Arial" w:cs="Arial" w:eastAsia="Arial" w:hAnsi="Arial"/>
          <w:color w:val="1C2331"/>
          <w:sz w:val="22"/>
          <w:szCs w:val="22"/>
        </w:rPr>
        <w:t xml:space="preserve">Level 3 (1200–2500 XP): Project marketplace browsing, institute competition registration</w:t>
      </w:r>
    </w:p>
    <w:p>
      <w:pPr>
        <w:pStyle w:val="ListParagraph"/>
        <w:numPr>
          <w:ilvl w:val="0"/>
          <w:numId w:val="2"/>
        </w:numPr>
        <w:spacing w:before="40" w:after="55"/>
      </w:pPr>
      <w:r>
        <w:rPr>
          <w:rFonts w:ascii="Arial" w:cs="Arial" w:eastAsia="Arial" w:hAnsi="Arial"/>
          <w:color w:val="1C2331"/>
          <w:sz w:val="22"/>
          <w:szCs w:val="22"/>
        </w:rPr>
        <w:t xml:space="preserve">Level 4 (2500–5000 XP): Project marketplace application, Dojo full access, leaderboard visibility</w:t>
      </w:r>
    </w:p>
    <w:p>
      <w:pPr>
        <w:pStyle w:val="ListParagraph"/>
        <w:numPr>
          <w:ilvl w:val="0"/>
          <w:numId w:val="2"/>
        </w:numPr>
        <w:spacing w:before="40" w:after="55"/>
      </w:pPr>
      <w:r>
        <w:rPr>
          <w:rFonts w:ascii="Arial" w:cs="Arial" w:eastAsia="Arial" w:hAnsi="Arial"/>
          <w:color w:val="1C2331"/>
          <w:sz w:val="22"/>
          <w:szCs w:val="22"/>
        </w:rPr>
        <w:t xml:space="preserve">Level 5 (5000–9000 XP): Priority search visibility, cross-institute competition access</w:t>
      </w:r>
    </w:p>
    <w:p>
      <w:pPr>
        <w:pStyle w:val="ListParagraph"/>
        <w:numPr>
          <w:ilvl w:val="0"/>
          <w:numId w:val="2"/>
        </w:numPr>
        <w:spacing w:before="40" w:after="55"/>
      </w:pPr>
      <w:r>
        <w:rPr>
          <w:rFonts w:ascii="Arial" w:cs="Arial" w:eastAsia="Arial" w:hAnsi="Arial"/>
          <w:color w:val="1C2331"/>
          <w:sz w:val="22"/>
          <w:szCs w:val="22"/>
        </w:rPr>
        <w:t xml:space="preserve">Level 6 (9000–15000 XP): Certification issuance, tournament prize eligibility, mentor-access program</w:t>
      </w:r>
    </w:p>
    <w:p>
      <w:pPr>
        <w:pStyle w:val="ListParagraph"/>
        <w:numPr>
          <w:ilvl w:val="0"/>
          <w:numId w:val="2"/>
        </w:numPr>
        <w:spacing w:before="40" w:after="55"/>
      </w:pPr>
      <w:r>
        <w:rPr>
          <w:rFonts w:ascii="Arial" w:cs="Arial" w:eastAsia="Arial" w:hAnsi="Arial"/>
          <w:color w:val="1C2331"/>
          <w:sz w:val="22"/>
          <w:szCs w:val="22"/>
        </w:rPr>
        <w:t xml:space="preserve">Level 7 (15000–25000 XP): Revenue share program, co-teaching eligibility, national championship access</w:t>
      </w:r>
    </w:p>
    <w:p>
      <w:pPr>
        <w:pStyle w:val="ListParagraph"/>
        <w:numPr>
          <w:ilvl w:val="0"/>
          <w:numId w:val="2"/>
        </w:numPr>
        <w:spacing w:before="40" w:after="55"/>
      </w:pPr>
      <w:r>
        <w:rPr>
          <w:rFonts w:ascii="Arial" w:cs="Arial" w:eastAsia="Arial" w:hAnsi="Arial"/>
          <w:color w:val="1C2331"/>
          <w:sz w:val="22"/>
          <w:szCs w:val="22"/>
        </w:rPr>
        <w:t xml:space="preserve">Level 8 (25000+ XP): Platform ambassador status, governance participation, legacy certification program</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6.4 Daily Habit &amp; Streak Engine</w:t>
      </w:r>
    </w:p>
    <w:p>
      <w:pPr>
        <w:spacing w:before="60" w:after="80"/>
      </w:pPr>
      <w:r>
        <w:rPr>
          <w:rFonts w:ascii="Arial" w:cs="Arial" w:eastAsia="Arial" w:hAnsi="Arial"/>
          <w:color w:val="1C2331"/>
          <w:sz w:val="22"/>
          <w:szCs w:val="22"/>
        </w:rPr>
        <w:t xml:space="preserve">The Streak Engine is the daily engagement mechanism that creates habitual learning loops. It is governed by the Student Habit, Streak &amp; Retention Loop Law (Section R95) and runs on a UTC midnight evaluation cycle.</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Daily Activity Log: Every candidate action (login, course lesson, GD session, challenge attempt) is logged to DailyActivityLog with a UTC timestamp</w:t>
      </w:r>
    </w:p>
    <w:p>
      <w:pPr>
        <w:pStyle w:val="ListParagraph"/>
        <w:numPr>
          <w:ilvl w:val="0"/>
          <w:numId w:val="2"/>
        </w:numPr>
        <w:spacing w:before="40" w:after="55"/>
      </w:pPr>
      <w:r>
        <w:rPr>
          <w:rFonts w:ascii="Arial" w:cs="Arial" w:eastAsia="Arial" w:hAnsi="Arial"/>
          <w:color w:val="1C2331"/>
          <w:sz w:val="22"/>
          <w:szCs w:val="22"/>
        </w:rPr>
        <w:t xml:space="preserve">Streak Algorithm: At UTC midnight, the system checks whether at least one qualifying action was logged that day. If yes, streak counter increments. If no, and a StreakFreezeToken is available, it is consumed and streak is preserved. Otherwise, streak resets to zero</w:t>
      </w:r>
    </w:p>
    <w:p>
      <w:pPr>
        <w:pStyle w:val="ListParagraph"/>
        <w:numPr>
          <w:ilvl w:val="0"/>
          <w:numId w:val="2"/>
        </w:numPr>
        <w:spacing w:before="40" w:after="55"/>
      </w:pPr>
      <w:r>
        <w:rPr>
          <w:rFonts w:ascii="Arial" w:cs="Arial" w:eastAsia="Arial" w:hAnsi="Arial"/>
          <w:color w:val="1C2331"/>
          <w:sz w:val="22"/>
          <w:szCs w:val="22"/>
        </w:rPr>
        <w:t xml:space="preserve">Streak Freeze Tokens: Candidates earn freeze tokens through specific achievements — these allow streak preservation on missed days without losing progress (e.g., for illness, travel, exams)</w:t>
      </w:r>
    </w:p>
    <w:p>
      <w:pPr>
        <w:pStyle w:val="ListParagraph"/>
        <w:numPr>
          <w:ilvl w:val="0"/>
          <w:numId w:val="2"/>
        </w:numPr>
        <w:spacing w:before="40" w:after="55"/>
      </w:pPr>
      <w:r>
        <w:rPr>
          <w:rFonts w:ascii="Arial" w:cs="Arial" w:eastAsia="Arial" w:hAnsi="Arial"/>
          <w:color w:val="1C2331"/>
          <w:sz w:val="22"/>
          <w:szCs w:val="22"/>
        </w:rPr>
        <w:t xml:space="preserve">Max Streak Tracking: Alongside current streak, the system tracks the candidate's all-time maximum streak — this is a permanent achievement visible on their profile</w:t>
      </w:r>
    </w:p>
    <w:p>
      <w:pPr>
        <w:pStyle w:val="ListParagraph"/>
        <w:numPr>
          <w:ilvl w:val="0"/>
          <w:numId w:val="2"/>
        </w:numPr>
        <w:spacing w:before="40" w:after="55"/>
      </w:pPr>
      <w:r>
        <w:rPr>
          <w:rFonts w:ascii="Arial" w:cs="Arial" w:eastAsia="Arial" w:hAnsi="Arial"/>
          <w:color w:val="1C2331"/>
          <w:sz w:val="22"/>
          <w:szCs w:val="22"/>
        </w:rPr>
        <w:t xml:space="preserve">Streak Leaderboard: Candidates can see where their current streak ranks against peers in their institution — social motivation layer</w:t>
      </w:r>
    </w:p>
    <w:p>
      <w:pPr>
        <w:pStyle w:val="ListParagraph"/>
        <w:numPr>
          <w:ilvl w:val="0"/>
          <w:numId w:val="2"/>
        </w:numPr>
        <w:spacing w:before="40" w:after="55"/>
      </w:pPr>
      <w:r>
        <w:rPr>
          <w:rFonts w:ascii="Arial" w:cs="Arial" w:eastAsia="Arial" w:hAnsi="Arial"/>
          <w:color w:val="1C2331"/>
          <w:sz w:val="22"/>
          <w:szCs w:val="22"/>
        </w:rPr>
        <w:t xml:space="preserve">Streak Bonus XP: Reaching streak milestones (7 days, 30 days, 90 days, 365 days) awards substantial bonus XP — making streaks a significant contributor to level progression</w:t>
      </w:r>
    </w:p>
    <w:p>
      <w:pPr>
        <w:pStyle w:val="ListParagraph"/>
        <w:numPr>
          <w:ilvl w:val="0"/>
          <w:numId w:val="2"/>
        </w:numPr>
        <w:spacing w:before="40" w:after="55"/>
      </w:pPr>
      <w:r>
        <w:rPr>
          <w:rFonts w:ascii="Arial" w:cs="Arial" w:eastAsia="Arial" w:hAnsi="Arial"/>
          <w:color w:val="1C2331"/>
          <w:sz w:val="22"/>
          <w:szCs w:val="22"/>
        </w:rPr>
        <w:t xml:space="preserve">Daily Check-In Widget: The app's home screen shows the current streak ring, today's check-in status, and the recommended daily action to maintain the streak</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7. Lifetime Skill Passport — Permanent Career Record</w:t>
      </w:r>
    </w:p>
    <w:p>
      <w:pPr>
        <w:spacing w:before="60" w:after="80"/>
      </w:pPr>
      <w:r>
        <w:rPr>
          <w:rFonts w:ascii="Arial" w:cs="Arial" w:eastAsia="Arial" w:hAnsi="Arial"/>
          <w:color w:val="1C2331"/>
          <w:sz w:val="22"/>
          <w:szCs w:val="22"/>
        </w:rPr>
        <w:t xml:space="preserve">The Lifetime Skill Passport is the most strategically important feature of EcoSkiller's Skill Competency System. It is a permanent, immutable, cryptographically verifiable record of every skill a candidate has ever demonstrated, assessed, or certified on the platform. Unlike a resume — which is a self-declaration document — the Skill Passport is a platform-generated evidence record that employers can verify in real-time.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7.1 Passport Architecture</w:t>
      </w:r>
    </w:p>
    <w:p>
      <w:pPr>
        <w:spacing w:before="60" w:after="80"/>
      </w:pPr>
      <w:r>
        <w:rPr>
          <w:rFonts w:ascii="Arial" w:cs="Arial" w:eastAsia="Arial" w:hAnsi="Arial"/>
          <w:b/>
          <w:bCs/>
          <w:color w:val="0D2B55"/>
          <w:sz w:val="22"/>
          <w:szCs w:val="22"/>
        </w:rPr>
        <w:t xml:space="preserve">Primary Entity: </w:t>
      </w:r>
      <w:r>
        <w:rPr>
          <w:rFonts w:ascii="Arial" w:cs="Arial" w:eastAsia="Arial" w:hAnsi="Arial"/>
          <w:color w:val="1C2331"/>
          <w:sz w:val="22"/>
          <w:szCs w:val="22"/>
        </w:rPr>
        <w:t xml:space="preserve">skill_passport (passport_id, user_id, created_at) — one passport per candidate, created on profile completion</w:t>
      </w:r>
    </w:p>
    <w:p>
      <w:pPr>
        <w:spacing w:before="60" w:after="80"/>
      </w:pPr>
      <w:r>
        <w:rPr>
          <w:rFonts w:ascii="Arial" w:cs="Arial" w:eastAsia="Arial" w:hAnsi="Arial"/>
          <w:b/>
          <w:bCs/>
          <w:color w:val="0D2B55"/>
          <w:sz w:val="22"/>
          <w:szCs w:val="22"/>
        </w:rPr>
        <w:t xml:space="preserve">Skill Records: </w:t>
      </w:r>
      <w:r>
        <w:rPr>
          <w:rFonts w:ascii="Arial" w:cs="Arial" w:eastAsia="Arial" w:hAnsi="Arial"/>
          <w:color w:val="1C2331"/>
          <w:sz w:val="22"/>
          <w:szCs w:val="22"/>
        </w:rPr>
        <w:t xml:space="preserve">skill_records (passport_id, skill_id, level, verifier, timestamp, hash_signature) — one record per evidence event</w:t>
      </w:r>
    </w:p>
    <w:p>
      <w:pPr>
        <w:spacing w:before="60" w:after="80"/>
      </w:pPr>
      <w:r>
        <w:rPr>
          <w:rFonts w:ascii="Arial" w:cs="Arial" w:eastAsia="Arial" w:hAnsi="Arial"/>
          <w:b/>
          <w:bCs/>
          <w:color w:val="0D2B55"/>
          <w:sz w:val="22"/>
          <w:szCs w:val="22"/>
        </w:rPr>
        <w:t xml:space="preserve">Record Immutability: </w:t>
      </w:r>
      <w:r>
        <w:rPr>
          <w:rFonts w:ascii="Arial" w:cs="Arial" w:eastAsia="Arial" w:hAnsi="Arial"/>
          <w:color w:val="1C2331"/>
          <w:sz w:val="22"/>
          <w:szCs w:val="22"/>
        </w:rPr>
        <w:t xml:space="preserve">Records are never deleted; a new record supersedes an older one when proficiency improves, but the old record remains in the historical archive</w:t>
      </w:r>
    </w:p>
    <w:p>
      <w:pPr>
        <w:spacing w:before="60" w:after="80"/>
      </w:pPr>
      <w:r>
        <w:rPr>
          <w:rFonts w:ascii="Arial" w:cs="Arial" w:eastAsia="Arial" w:hAnsi="Arial"/>
          <w:b/>
          <w:bCs/>
          <w:color w:val="0D2B55"/>
          <w:sz w:val="22"/>
          <w:szCs w:val="22"/>
        </w:rPr>
        <w:t xml:space="preserve">Hash Signature: </w:t>
      </w:r>
      <w:r>
        <w:rPr>
          <w:rFonts w:ascii="Arial" w:cs="Arial" w:eastAsia="Arial" w:hAnsi="Arial"/>
          <w:color w:val="1C2331"/>
          <w:sz w:val="22"/>
          <w:szCs w:val="22"/>
        </w:rPr>
        <w:t xml:space="preserve">Each record is signed with a hash generated from: skill_id + proficiency_level + verifier_id + timestamp + platform_version. Any tampering is immediately detectable</w:t>
      </w:r>
    </w:p>
    <w:p>
      <w:pPr>
        <w:spacing w:before="6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7.2 What Writes to the Passport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160"/>
        <w:gridCol w:w="2160"/>
      </w:tblGrid>
      <w:tr>
        <w:trPr>
          <w:tblHeader/>
        </w:trPr>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Source</w:t>
            </w:r>
          </w:p>
        </w:tc>
        <w:tc>
          <w:tcPr>
            <w:tcW w:type="dxa" w:w="264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Evidence Type</w:t>
            </w:r>
          </w:p>
        </w:tc>
        <w:tc>
          <w:tcPr>
            <w:tcW w:type="dxa" w:w="21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Proficiency Signal</w:t>
            </w:r>
          </w:p>
        </w:tc>
        <w:tc>
          <w:tcPr>
            <w:tcW w:type="dxa" w:w="21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Verification Level</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LMS Course Completion</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Quiz scores, completion %, time spent</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Knowledge-level</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System-verified (passing grade)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GD/Dojo Sessions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Turn metrics, scores, round breakdowns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Communication-level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System-scored + mentor-audited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Results</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Competitive rank, match outcomes</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Competitive-level</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System-recorded + anti-cheat verified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Project Completion</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Mentor rating, deliverable quality, client feedback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Applied-level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Mentor-certified + company-confirmed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Platform Certifications</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Belt promotion record, confidence score</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Mastery-level</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Mentor board certified + governance audited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Employer Endorsements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Post-placement skill confirmation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Industry-validated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Employer-signed + platform-recorded</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Peer Endorsements</w:t>
            </w:r>
          </w:p>
        </w:tc>
        <w:tc>
          <w:tcPr>
            <w:tcW w:type="dxa" w:w="2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acknowledgment from verified users</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Social-proof-level</w:t>
            </w:r>
          </w:p>
        </w:tc>
        <w:tc>
          <w:tcPr>
            <w:tcW w:type="dxa" w:w="2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Peer-signed + platform-registered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3rd Party Certificates</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External certification submitted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Import-level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Certificate Authenticity Classifier verified</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7.3 Certificate Auto-Generation &amp; DigiLocker Integration</w:t>
      </w:r>
    </w:p>
    <w:p>
      <w:pPr>
        <w:spacing w:before="60" w:after="80"/>
      </w:pPr>
      <w:r>
        <w:rPr>
          <w:rFonts w:ascii="Arial" w:cs="Arial" w:eastAsia="Arial" w:hAnsi="Arial"/>
          <w:color w:val="1C2331"/>
          <w:sz w:val="22"/>
          <w:szCs w:val="22"/>
        </w:rPr>
        <w:t xml:space="preserve">Every passport-level achievement generates a physical certificate — a digitally signed, high-resolution PDF with a unique verification ID. These certificates are pushed automatically to the candidate's DigiLocker account (government-linked permanent storage) within 24 hours of generation.</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Unique Certificate ID: Each certificate receives an alphanumeric ID (e.g., ECO-CERT-2026-09847) — verifiable at EcoSkiller's public verification page</w:t>
      </w:r>
    </w:p>
    <w:p>
      <w:pPr>
        <w:pStyle w:val="ListParagraph"/>
        <w:numPr>
          <w:ilvl w:val="0"/>
          <w:numId w:val="2"/>
        </w:numPr>
        <w:spacing w:before="40" w:after="55"/>
      </w:pPr>
      <w:r>
        <w:rPr>
          <w:rFonts w:ascii="Arial" w:cs="Arial" w:eastAsia="Arial" w:hAnsi="Arial"/>
          <w:color w:val="1C2331"/>
          <w:sz w:val="22"/>
          <w:szCs w:val="22"/>
        </w:rPr>
        <w:t xml:space="preserve">Dynamic content population: Certificates are auto-populated with candidate name (exactly as in verified profile), skill/event name, level, date, mentor/verifier name, and platform seal</w:t>
      </w:r>
    </w:p>
    <w:p>
      <w:pPr>
        <w:pStyle w:val="ListParagraph"/>
        <w:numPr>
          <w:ilvl w:val="0"/>
          <w:numId w:val="2"/>
        </w:numPr>
        <w:spacing w:before="40" w:after="55"/>
      </w:pPr>
      <w:r>
        <w:rPr>
          <w:rFonts w:ascii="Arial" w:cs="Arial" w:eastAsia="Arial" w:hAnsi="Arial"/>
          <w:color w:val="1C2331"/>
          <w:sz w:val="22"/>
          <w:szCs w:val="22"/>
        </w:rPr>
        <w:t xml:space="preserve">Template customization: Institute-issued certificates include institute logo, principal's digital signature, and institute branding</w:t>
      </w:r>
    </w:p>
    <w:p>
      <w:pPr>
        <w:pStyle w:val="ListParagraph"/>
        <w:numPr>
          <w:ilvl w:val="0"/>
          <w:numId w:val="2"/>
        </w:numPr>
        <w:spacing w:before="40" w:after="55"/>
      </w:pPr>
      <w:r>
        <w:rPr>
          <w:rFonts w:ascii="Arial" w:cs="Arial" w:eastAsia="Arial" w:hAnsi="Arial"/>
          <w:color w:val="1C2331"/>
          <w:sz w:val="22"/>
          <w:szCs w:val="22"/>
        </w:rPr>
        <w:t xml:space="preserve">Zero-fake guarantee: The unique ID and hash signature system makes fake certificates immediately detectable — anyone entering the certificate ID on the verification page sees the authentic record</w:t>
      </w:r>
    </w:p>
    <w:p>
      <w:pPr>
        <w:pStyle w:val="ListParagraph"/>
        <w:numPr>
          <w:ilvl w:val="0"/>
          <w:numId w:val="2"/>
        </w:numPr>
        <w:spacing w:before="40" w:after="55"/>
      </w:pPr>
      <w:r>
        <w:rPr>
          <w:rFonts w:ascii="Arial" w:cs="Arial" w:eastAsia="Arial" w:hAnsi="Arial"/>
          <w:color w:val="1C2331"/>
          <w:sz w:val="22"/>
          <w:szCs w:val="22"/>
        </w:rPr>
        <w:t xml:space="preserve">Bulk certificate generation: For large tournaments with hundreds of participants, all certificates generate simultaneously — 500 certificates in under 5 minutes</w:t>
      </w:r>
    </w:p>
    <w:p>
      <w:pPr>
        <w:pStyle w:val="ListParagraph"/>
        <w:numPr>
          <w:ilvl w:val="0"/>
          <w:numId w:val="2"/>
        </w:numPr>
        <w:spacing w:before="40" w:after="55"/>
      </w:pPr>
      <w:r>
        <w:rPr>
          <w:rFonts w:ascii="Arial" w:cs="Arial" w:eastAsia="Arial" w:hAnsi="Arial"/>
          <w:color w:val="1C2331"/>
          <w:sz w:val="22"/>
          <w:szCs w:val="22"/>
        </w:rPr>
        <w:t xml:space="preserve">LinkedIn share: One-click sharing to LinkedIn with automatic credential import to the candidate's LinkedIn profile</w:t>
      </w:r>
    </w:p>
    <w:p>
      <w:pPr>
        <w:pStyle w:val="ListParagraph"/>
        <w:numPr>
          <w:ilvl w:val="0"/>
          <w:numId w:val="2"/>
        </w:numPr>
        <w:spacing w:before="40" w:after="55"/>
      </w:pPr>
      <w:r>
        <w:rPr>
          <w:rFonts w:ascii="Arial" w:cs="Arial" w:eastAsia="Arial" w:hAnsi="Arial"/>
          <w:color w:val="1C2331"/>
          <w:sz w:val="22"/>
          <w:szCs w:val="22"/>
        </w:rPr>
        <w:t xml:space="preserve">PDF download: High-resolution, print-quality PDF available for download at any time from the candidate's profile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7.4 Skill Passport Verification Infrastructure</w:t>
      </w:r>
    </w:p>
    <w:p>
      <w:pPr>
        <w:pStyle w:val="ListParagraph"/>
        <w:numPr>
          <w:ilvl w:val="0"/>
          <w:numId w:val="2"/>
        </w:numPr>
        <w:spacing w:before="40" w:after="55"/>
      </w:pPr>
      <w:r>
        <w:rPr>
          <w:rFonts w:ascii="Arial" w:cs="Arial" w:eastAsia="Arial" w:hAnsi="Arial"/>
          <w:color w:val="1C2331"/>
          <w:sz w:val="22"/>
          <w:szCs w:val="22"/>
        </w:rPr>
        <w:t xml:space="preserve">Real-time verification API: Employers query a candidate's passport authenticity in real-time via API — response time under 200ms</w:t>
      </w:r>
    </w:p>
    <w:p>
      <w:pPr>
        <w:pStyle w:val="ListParagraph"/>
        <w:numPr>
          <w:ilvl w:val="0"/>
          <w:numId w:val="2"/>
        </w:numPr>
        <w:spacing w:before="40" w:after="55"/>
      </w:pPr>
      <w:r>
        <w:rPr>
          <w:rFonts w:ascii="Arial" w:cs="Arial" w:eastAsia="Arial" w:hAnsi="Arial"/>
          <w:color w:val="1C2331"/>
          <w:sz w:val="22"/>
          <w:szCs w:val="22"/>
        </w:rPr>
        <w:t xml:space="preserve">Public verification page: Each passport has a public URL that any third party can access without creating an account</w:t>
      </w:r>
    </w:p>
    <w:p>
      <w:pPr>
        <w:pStyle w:val="ListParagraph"/>
        <w:numPr>
          <w:ilvl w:val="0"/>
          <w:numId w:val="2"/>
        </w:numPr>
        <w:spacing w:before="40" w:after="55"/>
      </w:pPr>
      <w:r>
        <w:rPr>
          <w:rFonts w:ascii="Arial" w:cs="Arial" w:eastAsia="Arial" w:hAnsi="Arial"/>
          <w:color w:val="1C2331"/>
          <w:sz w:val="22"/>
          <w:szCs w:val="22"/>
        </w:rPr>
        <w:t xml:space="preserve">QR code generation: Candidates can print QR codes linking to their live passport for physical documents and business cards</w:t>
      </w:r>
    </w:p>
    <w:p>
      <w:pPr>
        <w:pStyle w:val="ListParagraph"/>
        <w:numPr>
          <w:ilvl w:val="0"/>
          <w:numId w:val="2"/>
        </w:numPr>
        <w:spacing w:before="40" w:after="55"/>
      </w:pPr>
      <w:r>
        <w:rPr>
          <w:rFonts w:ascii="Arial" w:cs="Arial" w:eastAsia="Arial" w:hAnsi="Arial"/>
          <w:color w:val="1C2331"/>
          <w:sz w:val="22"/>
          <w:szCs w:val="22"/>
        </w:rPr>
        <w:t xml:space="preserve">Passport export: Full passport exported as a standardized credential for use on LinkedIn, government portals, and external HR platforms</w:t>
      </w:r>
    </w:p>
    <w:p>
      <w:pPr>
        <w:pStyle w:val="ListParagraph"/>
        <w:numPr>
          <w:ilvl w:val="0"/>
          <w:numId w:val="2"/>
        </w:numPr>
        <w:spacing w:before="40" w:after="55"/>
      </w:pPr>
      <w:r>
        <w:rPr>
          <w:rFonts w:ascii="Arial" w:cs="Arial" w:eastAsia="Arial" w:hAnsi="Arial"/>
          <w:color w:val="1C2331"/>
          <w:sz w:val="22"/>
          <w:szCs w:val="22"/>
        </w:rPr>
        <w:t xml:space="preserve">3rd party certificate verification: The Certificate Authenticity Classifier AI validates any external certificates submitted by the candidate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7.5 Skill Obsolescence Detection — Passport Health</w:t>
      </w:r>
    </w:p>
    <w:p>
      <w:pPr>
        <w:spacing w:before="60" w:after="80"/>
      </w:pPr>
      <w:r>
        <w:rPr>
          <w:rFonts w:ascii="Arial" w:cs="Arial" w:eastAsia="Arial" w:hAnsi="Arial"/>
          <w:color w:val="1C2331"/>
          <w:sz w:val="22"/>
          <w:szCs w:val="22"/>
        </w:rPr>
        <w:t xml:space="preserve">The Skill Obsolescence Predictor (SOP) Agent continuously monitors passport records for skills that are at risk of becoming obsolete due to technology evolution. This is one of the most forward-looking features of the passport — it ensures candidates know not just what they have proven, but what they need to refresh.</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6-signal detection: SOP uses 6 detection signals — vacancy rate decline, investment withdrawal, GitHub activity decrease, curriculum phase-out, vendor sunset announcement, and market replacement technology identification</w:t>
      </w:r>
    </w:p>
    <w:p>
      <w:pPr>
        <w:pStyle w:val="ListParagraph"/>
        <w:numPr>
          <w:ilvl w:val="0"/>
          <w:numId w:val="2"/>
        </w:numPr>
        <w:spacing w:before="40" w:after="55"/>
      </w:pPr>
      <w:r>
        <w:rPr>
          <w:rFonts w:ascii="Arial" w:cs="Arial" w:eastAsia="Arial" w:hAnsi="Arial"/>
          <w:color w:val="1C2331"/>
          <w:sz w:val="22"/>
          <w:szCs w:val="22"/>
        </w:rPr>
        <w:t xml:space="preserve">Prediction horizons: Skills are assessed at 6-month, 12-month, 24-month, and 5-year obsolescence risk horizons</w:t>
      </w:r>
    </w:p>
    <w:p>
      <w:pPr>
        <w:pStyle w:val="ListParagraph"/>
        <w:numPr>
          <w:ilvl w:val="0"/>
          <w:numId w:val="2"/>
        </w:numPr>
        <w:spacing w:before="40" w:after="55"/>
      </w:pPr>
      <w:r>
        <w:rPr>
          <w:rFonts w:ascii="Arial" w:cs="Arial" w:eastAsia="Arial" w:hAnsi="Arial"/>
          <w:color w:val="1C2331"/>
          <w:sz w:val="22"/>
          <w:szCs w:val="22"/>
        </w:rPr>
        <w:t xml:space="preserve">S-curve and Gartner hype cycle: Technology lifecycle models predict when a skill moves from Peak to Trough to Slope of Enlightenment</w:t>
      </w:r>
    </w:p>
    <w:p>
      <w:pPr>
        <w:pStyle w:val="ListParagraph"/>
        <w:numPr>
          <w:ilvl w:val="0"/>
          <w:numId w:val="2"/>
        </w:numPr>
        <w:spacing w:before="40" w:after="55"/>
      </w:pPr>
      <w:r>
        <w:rPr>
          <w:rFonts w:ascii="Arial" w:cs="Arial" w:eastAsia="Arial" w:hAnsi="Arial"/>
          <w:color w:val="1C2331"/>
          <w:sz w:val="22"/>
          <w:szCs w:val="22"/>
        </w:rPr>
        <w:t xml:space="preserve">Successor technology mapping: For each at-risk skill, SOP identifies the most likely successor technology and provides a transition path</w:t>
      </w:r>
    </w:p>
    <w:p>
      <w:pPr>
        <w:pStyle w:val="ListParagraph"/>
        <w:numPr>
          <w:ilvl w:val="0"/>
          <w:numId w:val="2"/>
        </w:numPr>
        <w:spacing w:before="40" w:after="55"/>
      </w:pPr>
      <w:r>
        <w:rPr>
          <w:rFonts w:ascii="Arial" w:cs="Arial" w:eastAsia="Arial" w:hAnsi="Arial"/>
          <w:color w:val="1C2331"/>
          <w:sz w:val="22"/>
          <w:szCs w:val="22"/>
        </w:rPr>
        <w:t xml:space="preserve">Graceful degradation: Obsolescence does not delete a candidate's historical certification — it flags it with an 'Industry Relevance Declining' notice while preserving the record</w:t>
      </w:r>
    </w:p>
    <w:p>
      <w:pPr>
        <w:pStyle w:val="ListParagraph"/>
        <w:numPr>
          <w:ilvl w:val="0"/>
          <w:numId w:val="2"/>
        </w:numPr>
        <w:spacing w:before="40" w:after="55"/>
      </w:pPr>
      <w:r>
        <w:rPr>
          <w:rFonts w:ascii="Arial" w:cs="Arial" w:eastAsia="Arial" w:hAnsi="Arial"/>
          <w:color w:val="1C2331"/>
          <w:sz w:val="22"/>
          <w:szCs w:val="22"/>
        </w:rPr>
        <w:t xml:space="preserve">Reskilling recommendations: SOP automatically surfaces recommended courses and challenges to help candidates transition to successor skills before the obsolescence becomes a career risk</w:t>
      </w:r>
    </w:p>
    <w:p>
      <w:pPr>
        <w:pStyle w:val="ListParagraph"/>
        <w:numPr>
          <w:ilvl w:val="0"/>
          <w:numId w:val="2"/>
        </w:numPr>
        <w:spacing w:before="40" w:after="55"/>
      </w:pPr>
      <w:r>
        <w:rPr>
          <w:rFonts w:ascii="Arial" w:cs="Arial" w:eastAsia="Arial" w:hAnsi="Arial"/>
          <w:color w:val="1C2331"/>
          <w:sz w:val="22"/>
          <w:szCs w:val="22"/>
        </w:rPr>
        <w:t xml:space="preserve">Skill Health Dashboard: The Skill Health Dashboard screen shows all skills color-coded by obsolescence risk — green (stable), yellow (monitor), orange (declining), red (at risk)</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8. AI Coaching &amp; Feedback System</w:t>
      </w:r>
    </w:p>
    <w:p>
      <w:pPr>
        <w:spacing w:before="60" w:after="80"/>
      </w:pPr>
      <w:r>
        <w:rPr>
          <w:rFonts w:ascii="Arial" w:cs="Arial" w:eastAsia="Arial" w:hAnsi="Arial"/>
          <w:color w:val="1C2331"/>
          <w:sz w:val="22"/>
          <w:szCs w:val="22"/>
        </w:rPr>
        <w:t xml:space="preserve">The AI Coaching system in EcoSkiller is not a chatbot giving generic advice — it is a multi-agent intelligence layer that generates personalized, evidence-grounded, psychologically safe coaching feedback based on each candidate's specific performance data. It is powered by the Skill Feedback Generator (SFG) Agent, the Skill Improvement Planner (SIP) Agent, and the AI-Based Skill Recommendation Agent (ASRA), working in concert.</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8.1 Skill Feedback Generator — 7-Layer Feedback Architecture</w:t>
      </w:r>
    </w:p>
    <w:p>
      <w:pPr>
        <w:spacing w:before="60" w:after="80"/>
      </w:pPr>
      <w:r>
        <w:rPr>
          <w:rFonts w:ascii="Arial" w:cs="Arial" w:eastAsia="Arial" w:hAnsi="Arial"/>
          <w:color w:val="1C2331"/>
          <w:sz w:val="22"/>
          <w:szCs w:val="22"/>
        </w:rPr>
        <w:t xml:space="preserve">The SFG Agent generates feedback across seven distinct layers, each addressing a different dimension of the candidate's learning and performance experience. All feedback is grounded in actual match and assessment data — not generic templates.</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360"/>
        <w:gridCol w:w="2560"/>
        <w:gridCol w:w="2840"/>
      </w:tblGrid>
      <w:tr>
        <w:trPr>
          <w:tblHeader/>
        </w:trPr>
        <w:tc>
          <w:tcPr>
            <w:tcW w:type="dxa" w:w="16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Layer</w:t>
            </w:r>
          </w:p>
        </w:tc>
        <w:tc>
          <w:tcPr>
            <w:tcW w:type="dxa" w:w="23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Timing</w:t>
            </w:r>
          </w:p>
        </w:tc>
        <w:tc>
          <w:tcPr>
            <w:tcW w:type="dxa" w:w="25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Content</w:t>
            </w:r>
          </w:p>
        </w:tc>
        <w:tc>
          <w:tcPr>
            <w:tcW w:type="dxa" w:w="284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 Immediate Reaction</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30 seconds post-assessment</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Quick win celebration or honest encouragement; energy and effort recognition</w:t>
            </w:r>
          </w:p>
        </w:tc>
        <w:tc>
          <w:tcPr>
            <w:tcW w:type="dxa" w:w="28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Psychological safety — ensure candidate engages with the feedback rather than shutting down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 Performance Summary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Within 5 minutes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Score breakdown by component; metric-by-metric comparison vs personal average and cohort average</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Context — candidate understands what the numbers mean relative to their history and peers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 Strength Identification</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Within 5 minutes</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Specific strengths demonstrated in this session, with evidence from the session data</w:t>
            </w:r>
          </w:p>
        </w:tc>
        <w:tc>
          <w:tcPr>
            <w:tcW w:type="dxa" w:w="28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Positive reinforcement — building on what works before addressing gaps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 Gap Analysis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Within 5 minutes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Specific identified gaps with evidence; no more than 3 improvement areas per session</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Actionability — focused feedback is more valuable than comprehensive criticism</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5. Action Plan</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Within 5 minutes</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 specific, achievable next actions with clear success criteria and time estimates</w:t>
            </w:r>
          </w:p>
        </w:tc>
        <w:tc>
          <w:tcPr>
            <w:tcW w:type="dxa" w:w="28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Direction — candidate knows exactly what to do to improve, not just that they need to improve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6. Longitudinal Trend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Daily/weekly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Progress trajectory over past 30/90 days; improvement velocity; regression detection</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Momentum — shows whether candidate is on track toward goals</w:t>
            </w:r>
          </w:p>
        </w:tc>
      </w:tr>
      <w:tr>
        <w:tc>
          <w:tcPr>
            <w:tcW w:type="dxa" w:w="1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7. Career Alignment</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Monthly</w:t>
            </w:r>
          </w:p>
        </w:tc>
        <w:tc>
          <w:tcPr>
            <w:tcW w:type="dxa" w:w="2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How current skill performance connects to career goal achievement; salary impact projection</w:t>
            </w:r>
          </w:p>
        </w:tc>
        <w:tc>
          <w:tcPr>
            <w:tcW w:type="dxa" w:w="28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Strategic context — connects daily practice to long-term career outcomes</w:t>
            </w:r>
          </w:p>
        </w:tc>
      </w:tr>
    </w:tbl>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A" w:sz="1"/>
              <w:left w:val="single" w:color="1A6B3A" w:sz="20"/>
              <w:bottom w:val="single" w:color="1A6B3A" w:sz="1"/>
              <w:right w:val="single" w:color="1A6B3A" w:sz="1"/>
            </w:tcBorders>
            <w:shd w:fill="D3EDDF" w:val="clear"/>
            <w:tcMar>
              <w:top w:type="dxa" w:w="120"/>
              <w:left w:type="dxa" w:w="220"/>
              <w:bottom w:type="dxa" w:w="120"/>
              <w:right w:type="dxa" w:w="200"/>
            </w:tcMar>
          </w:tcPr>
          <w:p>
            <w:pPr>
              <w:spacing w:before="0" w:after="60"/>
            </w:pPr>
            <w:r>
              <w:rPr>
                <w:rFonts w:ascii="Arial" w:cs="Arial" w:eastAsia="Arial" w:hAnsi="Arial"/>
                <w:b/>
                <w:bCs/>
                <w:color w:val="1A6B3A"/>
                <w:sz w:val="24"/>
                <w:szCs w:val="24"/>
              </w:rPr>
              <w:t xml:space="preserve">Feedback Quality Guarantees</w:t>
            </w:r>
          </w:p>
          <w:p>
            <w:pPr>
              <w:pStyle w:val="ListParagraph"/>
              <w:numPr>
                <w:ilvl w:val="0"/>
                <w:numId w:val="2"/>
              </w:numPr>
              <w:spacing w:before="30" w:after="40"/>
            </w:pPr>
            <w:r>
              <w:rPr>
                <w:rFonts w:ascii="Arial" w:cs="Arial" w:eastAsia="Arial" w:hAnsi="Arial"/>
                <w:color w:val="1C2331"/>
                <w:sz w:val="21"/>
                <w:szCs w:val="21"/>
              </w:rPr>
              <w:t xml:space="preserve">Psychologically safe: All feedback is framed in growth mindset language — 'This area shows opportunity for development' not 'You failed at this'</w:t>
            </w:r>
          </w:p>
          <w:p>
            <w:pPr>
              <w:pStyle w:val="ListParagraph"/>
              <w:numPr>
                <w:ilvl w:val="0"/>
                <w:numId w:val="2"/>
              </w:numPr>
              <w:spacing w:before="30" w:after="40"/>
            </w:pPr>
            <w:r>
              <w:rPr>
                <w:rFonts w:ascii="Arial" w:cs="Arial" w:eastAsia="Arial" w:hAnsi="Arial"/>
                <w:color w:val="1C2331"/>
                <w:sz w:val="21"/>
                <w:szCs w:val="21"/>
              </w:rPr>
              <w:t xml:space="preserve">Actionable &gt; Critical: Ratio of actionable recommendations to criticism must exceed 3:1 in every feedback output</w:t>
            </w:r>
          </w:p>
          <w:p>
            <w:pPr>
              <w:pStyle w:val="ListParagraph"/>
              <w:numPr>
                <w:ilvl w:val="0"/>
                <w:numId w:val="2"/>
              </w:numPr>
              <w:spacing w:before="30" w:after="40"/>
            </w:pPr>
            <w:r>
              <w:rPr>
                <w:rFonts w:ascii="Arial" w:cs="Arial" w:eastAsia="Arial" w:hAnsi="Arial"/>
                <w:color w:val="1C2331"/>
                <w:sz w:val="21"/>
                <w:szCs w:val="21"/>
              </w:rPr>
              <w:t xml:space="preserve">Data-driven: Every assessment is backed by specific session metrics — no speculation or general statements</w:t>
            </w:r>
          </w:p>
          <w:p>
            <w:pPr>
              <w:pStyle w:val="ListParagraph"/>
              <w:numPr>
                <w:ilvl w:val="0"/>
                <w:numId w:val="2"/>
              </w:numPr>
              <w:spacing w:before="30" w:after="40"/>
            </w:pPr>
            <w:r>
              <w:rPr>
                <w:rFonts w:ascii="Arial" w:cs="Arial" w:eastAsia="Arial" w:hAnsi="Arial"/>
                <w:color w:val="1C2331"/>
                <w:sz w:val="21"/>
                <w:szCs w:val="21"/>
              </w:rPr>
              <w:t xml:space="preserve">Adaptive tone: Junior candidates receive more encouraging, guide-like feedback; expert candidates receive peer-level analytical feedback</w:t>
            </w:r>
          </w:p>
          <w:p>
            <w:pPr>
              <w:pStyle w:val="ListParagraph"/>
              <w:numPr>
                <w:ilvl w:val="0"/>
                <w:numId w:val="2"/>
              </w:numPr>
              <w:spacing w:before="30" w:after="40"/>
            </w:pPr>
            <w:r>
              <w:rPr>
                <w:rFonts w:ascii="Arial" w:cs="Arial" w:eastAsia="Arial" w:hAnsi="Arial"/>
                <w:color w:val="1C2331"/>
                <w:sz w:val="21"/>
                <w:szCs w:val="21"/>
              </w:rPr>
              <w:t xml:space="preserve">Bias-free: Feedback delivery is tested for demographic bias — the same performance receives equivalent feedback regardless of candidate background</w:t>
            </w:r>
          </w:p>
          <w:p>
            <w:pPr>
              <w:pStyle w:val="ListParagraph"/>
              <w:numPr>
                <w:ilvl w:val="0"/>
                <w:numId w:val="2"/>
              </w:numPr>
              <w:spacing w:before="30" w:after="40"/>
            </w:pPr>
            <w:r>
              <w:rPr>
                <w:rFonts w:ascii="Arial" w:cs="Arial" w:eastAsia="Arial" w:hAnsi="Arial"/>
                <w:color w:val="1C2331"/>
                <w:sz w:val="21"/>
                <w:szCs w:val="21"/>
              </w:rPr>
              <w:t xml:space="preserve">Mentor review capability: High-stakes feedback (e.g., belt promotion decisions) is reviewed by a human mentor before delivery</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8.2 Skill Improvement Planner — Multi-Horizon Planning</w:t>
      </w:r>
    </w:p>
    <w:p>
      <w:pPr>
        <w:spacing w:before="60" w:after="80"/>
      </w:pPr>
      <w:r>
        <w:rPr>
          <w:rFonts w:ascii="Arial" w:cs="Arial" w:eastAsia="Arial" w:hAnsi="Arial"/>
          <w:color w:val="1C2331"/>
          <w:sz w:val="22"/>
          <w:szCs w:val="22"/>
        </w:rPr>
        <w:t xml:space="preserve">The SIP Agent generates comprehensive skill improvement plans using four locked time horizons, grounded in actual learning velocity data — not generic roadmap templates.</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Sprint Plan (2-week): Immediate focused actions — complete specific practice sessions, attempt 2 challenges, watch 3 targeted lessons</w:t>
      </w:r>
    </w:p>
    <w:p>
      <w:pPr>
        <w:pStyle w:val="ListParagraph"/>
        <w:numPr>
          <w:ilvl w:val="0"/>
          <w:numId w:val="2"/>
        </w:numPr>
        <w:spacing w:before="40" w:after="55"/>
      </w:pPr>
      <w:r>
        <w:rPr>
          <w:rFonts w:ascii="Arial" w:cs="Arial" w:eastAsia="Arial" w:hAnsi="Arial"/>
          <w:color w:val="1C2331"/>
          <w:sz w:val="22"/>
          <w:szCs w:val="22"/>
        </w:rPr>
        <w:t xml:space="preserve">Sprint goals are derived from the top 3 skill gaps identified in recent assessments — always current, never stale</w:t>
      </w:r>
    </w:p>
    <w:p>
      <w:pPr>
        <w:pStyle w:val="ListParagraph"/>
        <w:numPr>
          <w:ilvl w:val="0"/>
          <w:numId w:val="3"/>
        </w:numPr>
        <w:spacing w:before="30" w:after="40"/>
      </w:pPr>
      <w:r>
        <w:rPr>
          <w:rFonts w:ascii="Arial" w:cs="Arial" w:eastAsia="Arial" w:hAnsi="Arial"/>
          <w:color w:val="444444"/>
          <w:sz w:val="20"/>
          <w:szCs w:val="20"/>
        </w:rPr>
        <w:t xml:space="preserve">Each sprint goal has a measurable success criterion, a time estimate, and a confidence bound for achievement</w:t>
      </w:r>
    </w:p>
    <w:p>
      <w:pPr>
        <w:pStyle w:val="ListParagraph"/>
        <w:numPr>
          <w:ilvl w:val="0"/>
          <w:numId w:val="2"/>
        </w:numPr>
        <w:spacing w:before="40" w:after="55"/>
      </w:pPr>
      <w:r>
        <w:rPr>
          <w:rFonts w:ascii="Arial" w:cs="Arial" w:eastAsia="Arial" w:hAnsi="Arial"/>
          <w:color w:val="1C2331"/>
          <w:sz w:val="22"/>
          <w:szCs w:val="22"/>
        </w:rPr>
        <w:t xml:space="preserve">Quarterly Plan (3-month): Bridge from current state to next milestone — specific belt requirements, tournament registrations, project applications</w:t>
      </w:r>
    </w:p>
    <w:p>
      <w:pPr>
        <w:pStyle w:val="ListParagraph"/>
        <w:numPr>
          <w:ilvl w:val="0"/>
          <w:numId w:val="3"/>
        </w:numPr>
        <w:spacing w:before="30" w:after="40"/>
      </w:pPr>
      <w:r>
        <w:rPr>
          <w:rFonts w:ascii="Arial" w:cs="Arial" w:eastAsia="Arial" w:hAnsi="Arial"/>
          <w:color w:val="444444"/>
          <w:sz w:val="20"/>
          <w:szCs w:val="20"/>
        </w:rPr>
        <w:t xml:space="preserve">Timeline is calculated from the candidate's historical learning velocity — not a generic estimate</w:t>
      </w:r>
    </w:p>
    <w:p>
      <w:pPr>
        <w:pStyle w:val="ListParagraph"/>
        <w:numPr>
          <w:ilvl w:val="0"/>
          <w:numId w:val="2"/>
        </w:numPr>
        <w:spacing w:before="40" w:after="55"/>
      </w:pPr>
      <w:r>
        <w:rPr>
          <w:rFonts w:ascii="Arial" w:cs="Arial" w:eastAsia="Arial" w:hAnsi="Arial"/>
          <w:color w:val="1C2331"/>
          <w:sz w:val="22"/>
          <w:szCs w:val="22"/>
        </w:rPr>
        <w:t xml:space="preserve">Semi-Annual Plan (6-month): Career positioning goals — target job categories, salary band alignment, geographic market considerations</w:t>
      </w:r>
    </w:p>
    <w:p>
      <w:pPr>
        <w:pStyle w:val="ListParagraph"/>
        <w:numPr>
          <w:ilvl w:val="0"/>
          <w:numId w:val="3"/>
        </w:numPr>
        <w:spacing w:before="30" w:after="40"/>
      </w:pPr>
      <w:r>
        <w:rPr>
          <w:rFonts w:ascii="Arial" w:cs="Arial" w:eastAsia="Arial" w:hAnsi="Arial"/>
          <w:color w:val="444444"/>
          <w:sz w:val="20"/>
          <w:szCs w:val="20"/>
        </w:rPr>
        <w:t xml:space="preserve">This plan connects skill development to specific job market outcomes — not just skill acquisition</w:t>
      </w:r>
    </w:p>
    <w:p>
      <w:pPr>
        <w:pStyle w:val="ListParagraph"/>
        <w:numPr>
          <w:ilvl w:val="0"/>
          <w:numId w:val="2"/>
        </w:numPr>
        <w:spacing w:before="40" w:after="55"/>
      </w:pPr>
      <w:r>
        <w:rPr>
          <w:rFonts w:ascii="Arial" w:cs="Arial" w:eastAsia="Arial" w:hAnsi="Arial"/>
          <w:color w:val="1C2331"/>
          <w:sz w:val="22"/>
          <w:szCs w:val="22"/>
        </w:rPr>
        <w:t xml:space="preserve">Annual Vision (12-month): Long-term career trajectory — where the candidate should be in their career by year-end, what competencies unlock that outcome</w:t>
      </w:r>
    </w:p>
    <w:p>
      <w:pPr>
        <w:pStyle w:val="ListParagraph"/>
        <w:numPr>
          <w:ilvl w:val="0"/>
          <w:numId w:val="3"/>
        </w:numPr>
        <w:spacing w:before="30" w:after="40"/>
      </w:pPr>
      <w:r>
        <w:rPr>
          <w:rFonts w:ascii="Arial" w:cs="Arial" w:eastAsia="Arial" w:hAnsi="Arial"/>
          <w:color w:val="444444"/>
          <w:sz w:val="20"/>
          <w:szCs w:val="20"/>
        </w:rPr>
        <w:t xml:space="preserve">Includes alternative pathways — if the primary path is not achievable, what are the viable alternatives?</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Prerequisite sequencing: Skills are recommended in dependency order — the plan never asks a candidate to learn Advanced Python before Intermediate Python is secure</w:t>
      </w:r>
    </w:p>
    <w:p>
      <w:pPr>
        <w:pStyle w:val="ListParagraph"/>
        <w:numPr>
          <w:ilvl w:val="0"/>
          <w:numId w:val="2"/>
        </w:numPr>
        <w:spacing w:before="40" w:after="55"/>
      </w:pPr>
      <w:r>
        <w:rPr>
          <w:rFonts w:ascii="Arial" w:cs="Arial" w:eastAsia="Arial" w:hAnsi="Arial"/>
          <w:color w:val="1C2331"/>
          <w:sz w:val="22"/>
          <w:szCs w:val="22"/>
        </w:rPr>
        <w:t xml:space="preserve">Realistic timelines: All timelines are bounded by historical learning data from similar candidates — not optimistic assumptions</w:t>
      </w:r>
    </w:p>
    <w:p>
      <w:pPr>
        <w:pStyle w:val="ListParagraph"/>
        <w:numPr>
          <w:ilvl w:val="0"/>
          <w:numId w:val="2"/>
        </w:numPr>
        <w:spacing w:before="40" w:after="55"/>
      </w:pPr>
      <w:r>
        <w:rPr>
          <w:rFonts w:ascii="Arial" w:cs="Arial" w:eastAsia="Arial" w:hAnsi="Arial"/>
          <w:color w:val="1C2331"/>
          <w:sz w:val="22"/>
          <w:szCs w:val="22"/>
        </w:rPr>
        <w:t xml:space="preserve">Life-work integration: Plans account for the candidate's declared availability — a candidate with 1 hour per day gets a different plan than one with 4 hours</w:t>
      </w:r>
    </w:p>
    <w:p>
      <w:pPr>
        <w:pStyle w:val="ListParagraph"/>
        <w:numPr>
          <w:ilvl w:val="0"/>
          <w:numId w:val="2"/>
        </w:numPr>
        <w:spacing w:before="40" w:after="55"/>
      </w:pPr>
      <w:r>
        <w:rPr>
          <w:rFonts w:ascii="Arial" w:cs="Arial" w:eastAsia="Arial" w:hAnsi="Arial"/>
          <w:color w:val="1C2331"/>
          <w:sz w:val="22"/>
          <w:szCs w:val="22"/>
        </w:rPr>
        <w:t xml:space="preserve">Burnout prevention: Plans include mandatory rest periods and milestones that are not exclusively performance-based</w:t>
      </w:r>
    </w:p>
    <w:p>
      <w:pPr>
        <w:pStyle w:val="ListParagraph"/>
        <w:numPr>
          <w:ilvl w:val="0"/>
          <w:numId w:val="2"/>
        </w:numPr>
        <w:spacing w:before="40" w:after="55"/>
      </w:pPr>
      <w:r>
        <w:rPr>
          <w:rFonts w:ascii="Arial" w:cs="Arial" w:eastAsia="Arial" w:hAnsi="Arial"/>
          <w:color w:val="1C2331"/>
          <w:sz w:val="22"/>
          <w:szCs w:val="22"/>
        </w:rPr>
        <w:t xml:space="preserve">Course correction triggers: Each plan includes defined triggers that flag when the plan needs revision — e.g., 'if candidate misses 3 consecutive milestones, escalate for mentor check-in'</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8.3 AI-Based Skill Recommendation Agent (ASRA) — Prescription Engine</w:t>
      </w:r>
    </w:p>
    <w:p>
      <w:pPr>
        <w:spacing w:before="60" w:after="80"/>
      </w:pPr>
      <w:r>
        <w:rPr>
          <w:rFonts w:ascii="Arial" w:cs="Arial" w:eastAsia="Arial" w:hAnsi="Arial"/>
          <w:color w:val="1C2331"/>
          <w:sz w:val="22"/>
          <w:szCs w:val="22"/>
        </w:rPr>
        <w:t xml:space="preserve">ASRA is the operational engine of EcoSkiller's ANTIGRAVITY intelligence layer. It continuously computes, surfaces, and enforces the next optimal skill action for every candidate, personalized to role, domain, belt, market demand, and recruiter signals. ASRA does not suggest — it prescribes, with evidence and audit trail.</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Signal Sources (10 Weighted Inputs)</w:t>
      </w:r>
    </w:p>
    <w:p>
      <w:pPr>
        <w:spacing w:before="4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360"/>
      </w:tblGrid>
      <w:tr>
        <w:trPr>
          <w:tblHeader/>
        </w:trPr>
        <w:tc>
          <w:tcPr>
            <w:tcW w:type="dxa" w:w="38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Signal Source</w:t>
            </w:r>
          </w:p>
        </w:tc>
        <w:tc>
          <w:tcPr>
            <w:tcW w:type="dxa" w:w="32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Measures</w:t>
            </w:r>
          </w:p>
        </w:tc>
        <w:tc>
          <w:tcPr>
            <w:tcW w:type="dxa" w:w="23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Weight in Recommendation</w:t>
            </w:r>
          </w:p>
        </w:tc>
      </w:tr>
      <w:tr>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Current Skill Vector</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What skills the candidate has and at what level</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Foundation signal — highest weight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Belt Level &amp; Progression Gap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Distance to next belt; specific requirements not yet met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Direct path signal</w:t>
            </w:r>
          </w:p>
        </w:tc>
      </w:tr>
      <w:tr>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Recruiter Demand (≤24hr refresh)</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Which skills recruiters in target industry are seeking most</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Market relevance signal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Market Benchmark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Market heat index, supply-demand gap, salary premium for skill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Economic opportunity signal</w:t>
            </w:r>
          </w:p>
        </w:tc>
      </w:tr>
      <w:tr>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Obsolescence Risk</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Skills in candidate's vector that are declining in market demand</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Risk mitigation signal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Assessment Performance Trends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Which skill areas are improving vs stagnating vs declining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Progress optimization signal</w:t>
            </w:r>
          </w:p>
        </w:tc>
      </w:tr>
      <w:tr>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Peer Intelligence</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What similar candidates (same cohort/belt/region) are doing</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Social proof + competitive signal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Career Goal Alignment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Candidate's declared target role and industry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Direction signal</w:t>
            </w:r>
          </w:p>
        </w:tc>
      </w:tr>
      <w:tr>
        <w:tc>
          <w:tcPr>
            <w:tcW w:type="dxa" w:w="3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Engagement Patterns</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Daily activity, challenge completion, streak data</w:t>
            </w:r>
          </w:p>
        </w:tc>
        <w:tc>
          <w:tcPr>
            <w:tcW w:type="dxa" w:w="2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Motivation &amp; availability signal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Domain Intelligence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Domain-specific (Arts/Science/Commerce/Tech) market dynamics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Domain relevance signal</w:t>
            </w:r>
          </w:p>
        </w:tc>
      </w:tr>
    </w:tbl>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ASRA Output — What Candidates Receive</w:t>
      </w:r>
    </w:p>
    <w:p>
      <w:pPr>
        <w:pStyle w:val="ListParagraph"/>
        <w:numPr>
          <w:ilvl w:val="0"/>
          <w:numId w:val="2"/>
        </w:numPr>
        <w:spacing w:before="40" w:after="55"/>
      </w:pPr>
      <w:r>
        <w:rPr>
          <w:rFonts w:ascii="Arial" w:cs="Arial" w:eastAsia="Arial" w:hAnsi="Arial"/>
          <w:color w:val="1C2331"/>
          <w:sz w:val="22"/>
          <w:szCs w:val="22"/>
        </w:rPr>
        <w:t xml:space="preserve">Priority skill recommendation: The single highest-impact skill action the candidate should take next, with confidence score and evidence trail</w:t>
      </w:r>
    </w:p>
    <w:p>
      <w:pPr>
        <w:pStyle w:val="ListParagraph"/>
        <w:numPr>
          <w:ilvl w:val="0"/>
          <w:numId w:val="2"/>
        </w:numPr>
        <w:spacing w:before="40" w:after="55"/>
      </w:pPr>
      <w:r>
        <w:rPr>
          <w:rFonts w:ascii="Arial" w:cs="Arial" w:eastAsia="Arial" w:hAnsi="Arial"/>
          <w:color w:val="1C2331"/>
          <w:sz w:val="22"/>
          <w:szCs w:val="22"/>
        </w:rPr>
        <w:t xml:space="preserve">Learning pathway: Ordered sequence of 5–10 skill nodes leading from current state to target belt/role</w:t>
      </w:r>
    </w:p>
    <w:p>
      <w:pPr>
        <w:pStyle w:val="ListParagraph"/>
        <w:numPr>
          <w:ilvl w:val="0"/>
          <w:numId w:val="2"/>
        </w:numPr>
        <w:spacing w:before="40" w:after="55"/>
      </w:pPr>
      <w:r>
        <w:rPr>
          <w:rFonts w:ascii="Arial" w:cs="Arial" w:eastAsia="Arial" w:hAnsi="Arial"/>
          <w:color w:val="1C2331"/>
          <w:sz w:val="22"/>
          <w:szCs w:val="22"/>
        </w:rPr>
        <w:t xml:space="preserve">Challenge prescription: Specific Dojo challenges or practice scenarios targeting identified gaps</w:t>
      </w:r>
    </w:p>
    <w:p>
      <w:pPr>
        <w:pStyle w:val="ListParagraph"/>
        <w:numPr>
          <w:ilvl w:val="0"/>
          <w:numId w:val="2"/>
        </w:numPr>
        <w:spacing w:before="40" w:after="55"/>
      </w:pPr>
      <w:r>
        <w:rPr>
          <w:rFonts w:ascii="Arial" w:cs="Arial" w:eastAsia="Arial" w:hAnsi="Arial"/>
          <w:color w:val="1C2331"/>
          <w:sz w:val="22"/>
          <w:szCs w:val="22"/>
        </w:rPr>
        <w:t xml:space="preserve">Course recommendation: Specific LMS courses ranked by ROI (skill gap addressed vs time required)</w:t>
      </w:r>
    </w:p>
    <w:p>
      <w:pPr>
        <w:pStyle w:val="ListParagraph"/>
        <w:numPr>
          <w:ilvl w:val="0"/>
          <w:numId w:val="2"/>
        </w:numPr>
        <w:spacing w:before="40" w:after="55"/>
      </w:pPr>
      <w:r>
        <w:rPr>
          <w:rFonts w:ascii="Arial" w:cs="Arial" w:eastAsia="Arial" w:hAnsi="Arial"/>
          <w:color w:val="1C2331"/>
          <w:sz w:val="22"/>
          <w:szCs w:val="22"/>
        </w:rPr>
        <w:t xml:space="preserve">Tournament recommendation: Upcoming tournaments where the candidate's current ELO suggests competitive viability</w:t>
      </w:r>
    </w:p>
    <w:p>
      <w:pPr>
        <w:pStyle w:val="ListParagraph"/>
        <w:numPr>
          <w:ilvl w:val="0"/>
          <w:numId w:val="2"/>
        </w:numPr>
        <w:spacing w:before="40" w:after="55"/>
      </w:pPr>
      <w:r>
        <w:rPr>
          <w:rFonts w:ascii="Arial" w:cs="Arial" w:eastAsia="Arial" w:hAnsi="Arial"/>
          <w:color w:val="1C2331"/>
          <w:sz w:val="22"/>
          <w:szCs w:val="22"/>
        </w:rPr>
        <w:t xml:space="preserve">Project recommendation: Project marketplace listings matched to the candidate's skill vector for maximum learning impact</w:t>
      </w:r>
    </w:p>
    <w:p>
      <w:pPr>
        <w:pStyle w:val="ListParagraph"/>
        <w:numPr>
          <w:ilvl w:val="0"/>
          <w:numId w:val="2"/>
        </w:numPr>
        <w:spacing w:before="40" w:after="55"/>
      </w:pPr>
      <w:r>
        <w:rPr>
          <w:rFonts w:ascii="Arial" w:cs="Arial" w:eastAsia="Arial" w:hAnsi="Arial"/>
          <w:color w:val="1C2331"/>
          <w:sz w:val="22"/>
          <w:szCs w:val="22"/>
        </w:rPr>
        <w:t xml:space="preserve">Explanation: Every recommendation comes with an explicit reason — 'Python (Advanced) recommended because: 87% of your target job postings require it; your current level is Intermediate; closing this gap increases matching probability by 34%'</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9. Skill Market Benchmarking System</w:t>
      </w:r>
    </w:p>
    <w:p>
      <w:pPr>
        <w:spacing w:before="60" w:after="80"/>
      </w:pPr>
      <w:r>
        <w:rPr>
          <w:rFonts w:ascii="Arial" w:cs="Arial" w:eastAsia="Arial" w:hAnsi="Arial"/>
          <w:color w:val="1C2331"/>
          <w:sz w:val="22"/>
          <w:szCs w:val="22"/>
        </w:rPr>
        <w:t xml:space="preserve">The Skill Market Benchmark (SMB) Agent provides real-time intelligence on how each skill in a candidate's vector performs in the job market. This connects the candidate's skill development directly to economic outcomes — answering the question every candidate actually cares about: 'What is my skill worth, and am I developing the right ones?'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9.1 11-Dimensional Benchmark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80"/>
        <w:gridCol w:w="3080"/>
      </w:tblGrid>
      <w:tr>
        <w:trPr>
          <w:tblHeader/>
        </w:trPr>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Market Dimension</w:t>
            </w:r>
          </w:p>
        </w:tc>
        <w:tc>
          <w:tcPr>
            <w:tcW w:type="dxa" w:w="38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Measures</w:t>
            </w:r>
          </w:p>
        </w:tc>
        <w:tc>
          <w:tcPr>
            <w:tcW w:type="dxa" w:w="308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Candidate Value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 Skill Demand (Heat Index)</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Vacancy rate = job postings / active candidates; YoY growth rate</w:t>
            </w:r>
          </w:p>
        </w:tc>
        <w:tc>
          <w:tcPr>
            <w:tcW w:type="dxa" w:w="3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Know if your skill is in high demand or oversupplied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 Salary Premium</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Average, median, and 90th percentile compensation for skill</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Understand your earning potential with and without this skill</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3. Skill Scarcity</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Supply shortage = demand &gt; supply in skill category</w:t>
            </w:r>
          </w:p>
        </w:tc>
        <w:tc>
          <w:tcPr>
            <w:tcW w:type="dxa" w:w="3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Identify skills where being one of few experts is most valuable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 Skill Combinability</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Skills that work synergistically; multiplicative salary effect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Identify high-value skill combinations, not just individual skills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5. Skill Velocity</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Speed at which skill demand is growing or declining</w:t>
            </w:r>
          </w:p>
        </w:tc>
        <w:tc>
          <w:tcPr>
            <w:tcW w:type="dxa" w:w="3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Know whether to invest now or wait on emerging skills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6. Skill Depth Multiplier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Salary premium for going from Intermediate to Advanced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Quantify the ROI of going deeper vs broader in a skill</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7. Certification Premium</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Additional salary for holding a verified certification</w:t>
            </w:r>
          </w:p>
        </w:tc>
        <w:tc>
          <w:tcPr>
            <w:tcW w:type="dxa" w:w="3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Know whether a certification is worth the investment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8. Regional Market Adjustment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Cost-of-living adjusted salary by city/region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Compare opportunities across geographies fairly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9. Industry Market by Sector</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Which industries pay most for each skill</w:t>
            </w:r>
          </w:p>
        </w:tc>
        <w:tc>
          <w:tcPr>
            <w:tcW w:type="dxa" w:w="3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Target the highest-paying industry for your skills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 Career Stage Premium</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How skill value changes from Junior to Senior to Lead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Plan your career arc using market data, not assumptions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11. Emerging Skill Forecast</w:t>
            </w:r>
          </w:p>
        </w:tc>
        <w:tc>
          <w:tcPr>
            <w:tcW w:type="dxa" w:w="38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Skills projected to be in high demand in 12–24 months</w:t>
            </w:r>
          </w:p>
        </w:tc>
        <w:tc>
          <w:tcPr>
            <w:tcW w:type="dxa" w:w="30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Build the skills that will matter before everyone else does</w:t>
            </w:r>
          </w:p>
        </w:tc>
      </w:tr>
    </w:tbl>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9.2 Skill Gap Report — Personal vs Market</w:t>
      </w:r>
    </w:p>
    <w:p>
      <w:pPr>
        <w:spacing w:before="60" w:after="80"/>
      </w:pPr>
      <w:r>
        <w:rPr>
          <w:rFonts w:ascii="Arial" w:cs="Arial" w:eastAsia="Arial" w:hAnsi="Arial"/>
          <w:color w:val="1C2331"/>
          <w:sz w:val="22"/>
          <w:szCs w:val="22"/>
        </w:rPr>
        <w:t xml:space="preserve">The Skill Gap Report is one of EcoSkiller's most actionable analytics features. It compares the candidate's actual skill vector against industry demand data to produce a quantified, prioritized gap analysis.</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Industry Demand Analysis: Platform aggregates what recruiters specify in job descriptions and campus drive eligibility criteria — top in-demand skills ranked with market heat scores</w:t>
      </w:r>
    </w:p>
    <w:p>
      <w:pPr>
        <w:pStyle w:val="ListParagraph"/>
        <w:numPr>
          <w:ilvl w:val="0"/>
          <w:numId w:val="2"/>
        </w:numPr>
        <w:spacing w:before="40" w:after="55"/>
      </w:pPr>
      <w:r>
        <w:rPr>
          <w:rFonts w:ascii="Arial" w:cs="Arial" w:eastAsia="Arial" w:hAnsi="Arial"/>
          <w:color w:val="1C2331"/>
          <w:sz w:val="22"/>
          <w:szCs w:val="22"/>
        </w:rPr>
        <w:t xml:space="preserve">Candidate Skill Inventory: Candidate's verified skill vector is cross-referenced against industry demand — showing exactly which demanded skills are and are not in the candidate's profile</w:t>
      </w:r>
    </w:p>
    <w:p>
      <w:pPr>
        <w:pStyle w:val="ListParagraph"/>
        <w:numPr>
          <w:ilvl w:val="0"/>
          <w:numId w:val="2"/>
        </w:numPr>
        <w:spacing w:before="40" w:after="55"/>
      </w:pPr>
      <w:r>
        <w:rPr>
          <w:rFonts w:ascii="Arial" w:cs="Arial" w:eastAsia="Arial" w:hAnsi="Arial"/>
          <w:color w:val="1C2331"/>
          <w:sz w:val="22"/>
          <w:szCs w:val="22"/>
        </w:rPr>
        <w:t xml:space="preserve">Gap Quantification: For each skill: Industry Demand Score (frequency of recruiter specification) vs Candidate Supply Score (candidate's verified proficiency level). Large gap = high-priority skill to develop</w:t>
      </w:r>
    </w:p>
    <w:p>
      <w:pPr>
        <w:pStyle w:val="ListParagraph"/>
        <w:numPr>
          <w:ilvl w:val="0"/>
          <w:numId w:val="2"/>
        </w:numPr>
        <w:spacing w:before="40" w:after="55"/>
      </w:pPr>
      <w:r>
        <w:rPr>
          <w:rFonts w:ascii="Arial" w:cs="Arial" w:eastAsia="Arial" w:hAnsi="Arial"/>
          <w:color w:val="1C2331"/>
          <w:sz w:val="22"/>
          <w:szCs w:val="22"/>
        </w:rPr>
        <w:t xml:space="preserve">Priority ranking: Gaps are ranked by the combination of market demand and candidate's current distance from the required level — the most impactful gaps to close first are surfaced</w:t>
      </w:r>
    </w:p>
    <w:p>
      <w:pPr>
        <w:pStyle w:val="ListParagraph"/>
        <w:numPr>
          <w:ilvl w:val="0"/>
          <w:numId w:val="2"/>
        </w:numPr>
        <w:spacing w:before="40" w:after="55"/>
      </w:pPr>
      <w:r>
        <w:rPr>
          <w:rFonts w:ascii="Arial" w:cs="Arial" w:eastAsia="Arial" w:hAnsi="Arial"/>
          <w:color w:val="1C2331"/>
          <w:sz w:val="22"/>
          <w:szCs w:val="22"/>
        </w:rPr>
        <w:t xml:space="preserve">Trend analysis: Gap report compares current state with 3 months ago — is the gap narrowing (candidate improving) or widening (market moving faster)?</w:t>
      </w:r>
    </w:p>
    <w:p>
      <w:pPr>
        <w:pStyle w:val="ListParagraph"/>
        <w:numPr>
          <w:ilvl w:val="0"/>
          <w:numId w:val="2"/>
        </w:numPr>
        <w:spacing w:before="40" w:after="55"/>
      </w:pPr>
      <w:r>
        <w:rPr>
          <w:rFonts w:ascii="Arial" w:cs="Arial" w:eastAsia="Arial" w:hAnsi="Arial"/>
          <w:color w:val="1C2331"/>
          <w:sz w:val="22"/>
          <w:szCs w:val="22"/>
        </w:rPr>
        <w:t xml:space="preserve">Course recommendation: For each identified gap, specific LMS courses and challenge types are recommended with estimated time to close the gap</w:t>
      </w:r>
    </w:p>
    <w:p>
      <w:pPr>
        <w:pStyle w:val="ListParagraph"/>
        <w:numPr>
          <w:ilvl w:val="0"/>
          <w:numId w:val="2"/>
        </w:numPr>
        <w:spacing w:before="40" w:after="55"/>
      </w:pPr>
      <w:r>
        <w:rPr>
          <w:rFonts w:ascii="Arial" w:cs="Arial" w:eastAsia="Arial" w:hAnsi="Arial"/>
          <w:color w:val="1C2331"/>
          <w:sz w:val="22"/>
          <w:szCs w:val="22"/>
        </w:rPr>
        <w:t xml:space="preserve">Recruiter feedback integration: Post-placement recruiter rejection reasons are analyzed — if '35% of rejections cited lack of practical coding experience', this surfaces as the primary gap</w:t>
      </w:r>
    </w:p>
    <w:p>
      <w:pPr>
        <w:pStyle w:val="ListParagraph"/>
        <w:numPr>
          <w:ilvl w:val="0"/>
          <w:numId w:val="2"/>
        </w:numPr>
        <w:spacing w:before="40" w:after="55"/>
      </w:pPr>
      <w:r>
        <w:rPr>
          <w:rFonts w:ascii="Arial" w:cs="Arial" w:eastAsia="Arial" w:hAnsi="Arial"/>
          <w:color w:val="1C2331"/>
          <w:sz w:val="22"/>
          <w:szCs w:val="22"/>
        </w:rPr>
        <w:t xml:space="preserve">Frequency: Gap report updates monthly; HODs and placement officers receive it automatically; changes from previous month are highlighted</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9.3 Salary Prediction Model</w:t>
      </w:r>
    </w:p>
    <w:p>
      <w:pPr>
        <w:spacing w:before="60" w:after="80"/>
      </w:pPr>
      <w:r>
        <w:rPr>
          <w:rFonts w:ascii="Arial" w:cs="Arial" w:eastAsia="Arial" w:hAnsi="Arial"/>
          <w:color w:val="1C2331"/>
          <w:sz w:val="22"/>
          <w:szCs w:val="22"/>
        </w:rPr>
        <w:t xml:space="preserve">ASRA and SMP together power a Salary Prediction model that generates expected salary ranges for each candidate based on their verified skill vector, market benchmarks, and comparable placement data.</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Salary range output: Minimum, median, and maximum expected salary for the candidate's current skill profile in their target market</w:t>
      </w:r>
    </w:p>
    <w:p>
      <w:pPr>
        <w:pStyle w:val="ListParagraph"/>
        <w:numPr>
          <w:ilvl w:val="0"/>
          <w:numId w:val="2"/>
        </w:numPr>
        <w:spacing w:before="40" w:after="55"/>
      </w:pPr>
      <w:r>
        <w:rPr>
          <w:rFonts w:ascii="Arial" w:cs="Arial" w:eastAsia="Arial" w:hAnsi="Arial"/>
          <w:color w:val="1C2331"/>
          <w:sz w:val="22"/>
          <w:szCs w:val="22"/>
        </w:rPr>
        <w:t xml:space="preserve">Skill impact simulation: Candidate can simulate 'what if' scenarios — 'what would my salary range be if I earned Blue belt in Python?'</w:t>
      </w:r>
    </w:p>
    <w:p>
      <w:pPr>
        <w:pStyle w:val="ListParagraph"/>
        <w:numPr>
          <w:ilvl w:val="0"/>
          <w:numId w:val="2"/>
        </w:numPr>
        <w:spacing w:before="40" w:after="55"/>
      </w:pPr>
      <w:r>
        <w:rPr>
          <w:rFonts w:ascii="Arial" w:cs="Arial" w:eastAsia="Arial" w:hAnsi="Arial"/>
          <w:color w:val="1C2331"/>
          <w:sz w:val="22"/>
          <w:szCs w:val="22"/>
        </w:rPr>
        <w:t xml:space="preserve">Role-specific salary bands: Salary predictions are specific to target roles, not generic averages</w:t>
      </w:r>
    </w:p>
    <w:p>
      <w:pPr>
        <w:pStyle w:val="ListParagraph"/>
        <w:numPr>
          <w:ilvl w:val="0"/>
          <w:numId w:val="2"/>
        </w:numPr>
        <w:spacing w:before="40" w:after="55"/>
      </w:pPr>
      <w:r>
        <w:rPr>
          <w:rFonts w:ascii="Arial" w:cs="Arial" w:eastAsia="Arial" w:hAnsi="Arial"/>
          <w:color w:val="1C2331"/>
          <w:sz w:val="22"/>
          <w:szCs w:val="22"/>
        </w:rPr>
        <w:t xml:space="preserve">Cost-of-living adjustment: Salary predictions are adjusted for the candidate's target geographic market</w:t>
      </w:r>
    </w:p>
    <w:p>
      <w:pPr>
        <w:pStyle w:val="ListParagraph"/>
        <w:numPr>
          <w:ilvl w:val="0"/>
          <w:numId w:val="2"/>
        </w:numPr>
        <w:spacing w:before="40" w:after="55"/>
      </w:pPr>
      <w:r>
        <w:rPr>
          <w:rFonts w:ascii="Arial" w:cs="Arial" w:eastAsia="Arial" w:hAnsi="Arial"/>
          <w:color w:val="1C2331"/>
          <w:sz w:val="22"/>
          <w:szCs w:val="22"/>
        </w:rPr>
        <w:t xml:space="preserve">Confidence intervals: All salary predictions include confidence bounds — wider bounds indicate less data; narrower bounds indicate high-confidence estimate</w:t>
      </w:r>
    </w:p>
    <w:p>
      <w:pPr>
        <w:pStyle w:val="ListParagraph"/>
        <w:numPr>
          <w:ilvl w:val="0"/>
          <w:numId w:val="2"/>
        </w:numPr>
        <w:spacing w:before="40" w:after="55"/>
      </w:pPr>
      <w:r>
        <w:rPr>
          <w:rFonts w:ascii="Arial" w:cs="Arial" w:eastAsia="Arial" w:hAnsi="Arial"/>
          <w:color w:val="1C2331"/>
          <w:sz w:val="22"/>
          <w:szCs w:val="22"/>
        </w:rPr>
        <w:t xml:space="preserve">Temporal predictions: Model projects salary trajectory at 1-year and 3-year horizons based on current skill development pace</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10. Placement Readiness &amp; Eligibility Score</w:t>
      </w:r>
    </w:p>
    <w:p>
      <w:pPr>
        <w:spacing w:before="60" w:after="80"/>
      </w:pPr>
      <w:r>
        <w:rPr>
          <w:rFonts w:ascii="Arial" w:cs="Arial" w:eastAsia="Arial" w:hAnsi="Arial"/>
          <w:color w:val="1C2331"/>
          <w:sz w:val="22"/>
          <w:szCs w:val="22"/>
        </w:rPr>
        <w:t xml:space="preserve">The Placement Readiness system synthesizes all components of the Skill Competency System into a single, actionable readiness indicator. It answers the question that every candidate, institute, and recruiter cares about most: Is this candidate ready to be placed in a professional role?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10.1 Composite Eligibility Score</w:t>
      </w:r>
    </w:p>
    <w:p>
      <w:pPr>
        <w:spacing w:before="60" w:after="80"/>
      </w:pPr>
      <w:r>
        <w:rPr>
          <w:rFonts w:ascii="Arial" w:cs="Arial" w:eastAsia="Arial" w:hAnsi="Arial"/>
          <w:color w:val="1C2331"/>
          <w:sz w:val="22"/>
          <w:szCs w:val="22"/>
        </w:rPr>
        <w:t xml:space="preserve">The Eligibility Score is a composite metric from 0 to 100 that combines data from all platform modules into a single placement readiness number. It cannot be manually inflated — it is computed purely from platform activity data by a deterministic algorithm.</w:t>
      </w:r>
    </w:p>
    <w:p>
      <w:pPr>
        <w:spacing w:before="6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760"/>
      </w:tblGrid>
      <w:tr>
        <w:trPr>
          <w:tblHeader/>
        </w:trPr>
        <w:tc>
          <w:tcPr>
            <w:tcW w:type="dxa" w:w="32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1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Weight</w:t>
            </w:r>
          </w:p>
        </w:tc>
        <w:tc>
          <w:tcPr>
            <w:tcW w:type="dxa" w:w="57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What It Measures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LMS Completion</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25%</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Percentage of enrolled courses completed at passing grade; breadth of knowledge foundation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GD Performance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Average GD score across all sessions; communication competency trend</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Rank</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15%</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Competitive achievement level and ELO rating; technical performance under 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Project Completion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Number and quality of completed projects; applied skill demonstration</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Attendance</w:t>
            </w:r>
          </w:p>
        </w:tc>
        <w:tc>
          <w:tcPr>
            <w:tcW w:type="dxa" w:w="1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w:t>
            </w:r>
          </w:p>
        </w:tc>
        <w:tc>
          <w:tcPr>
            <w:tcW w:type="dxa" w:w="5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Consistent engagement and reliability signal; attendance vs. performance correlation is tracked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Endorsements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Verified endorsements from peers, mentors, and employers; social credibility layer</w:t>
            </w:r>
          </w:p>
        </w:tc>
      </w:tr>
      <w:tr>
        <w:tc>
          <w:tcPr>
            <w:tcW w:type="dxa" w:w="3200"/>
            <w:tcBorders>
              <w:top w:val="single" w:color="CCCCCC" w:sz="1"/>
              <w:left w:val="single" w:color="CCCCCC" w:sz="1"/>
              <w:bottom w:val="single" w:color="CCCCCC" w:sz="1"/>
              <w:right w:val="single" w:color="CCCCCC" w:sz="1"/>
            </w:tcBorders>
            <w:shd w:fill="D4E0E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TOTAL</w:t>
            </w:r>
          </w:p>
        </w:tc>
        <w:tc>
          <w:tcPr>
            <w:tcW w:type="dxa" w:w="1400"/>
            <w:tcBorders>
              <w:top w:val="single" w:color="CCCCCC" w:sz="1"/>
              <w:left w:val="single" w:color="CCCCCC" w:sz="1"/>
              <w:bottom w:val="single" w:color="CCCCCC" w:sz="1"/>
              <w:right w:val="single" w:color="CCCCCC" w:sz="1"/>
            </w:tcBorders>
            <w:shd w:fill="D4E0E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100%</w:t>
            </w:r>
          </w:p>
        </w:tc>
        <w:tc>
          <w:tcPr>
            <w:tcW w:type="dxa" w:w="5760"/>
            <w:tcBorders>
              <w:top w:val="single" w:color="CCCCCC" w:sz="1"/>
              <w:left w:val="single" w:color="CCCCCC" w:sz="1"/>
              <w:bottom w:val="single" w:color="CCCCCC" w:sz="1"/>
              <w:right w:val="single" w:color="CCCCCC" w:sz="1"/>
            </w:tcBorders>
            <w:shd w:fill="D4E0E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Single readiness indicator visible to both candidate and recruiters</w:t>
            </w:r>
          </w:p>
        </w:tc>
      </w:tr>
    </w:tbl>
    <w:p>
      <w:pPr>
        <w:spacing w:before="6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10.2 Readiness Indicator States</w:t>
      </w:r>
    </w:p>
    <w:p>
      <w:pPr>
        <w:spacing w:before="60" w:after="80"/>
      </w:pPr>
      <w:r>
        <w:rPr>
          <w:rFonts w:ascii="Arial" w:cs="Arial" w:eastAsia="Arial" w:hAnsi="Arial"/>
          <w:color w:val="1C2331"/>
          <w:sz w:val="22"/>
          <w:szCs w:val="22"/>
        </w:rPr>
        <w:t xml:space="preserve">The Placement Readiness Indicator presents in three clear states — visible to both candidate (on their dashboard) and recruiters (on the recruiter interface):</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GREEN — READY: Eligibility Score ≥ 75, all critical components above minimum thresholds. Candidate is considered placement-ready. Recruiters see this as a high-confidence hiring signal</w:t>
      </w:r>
    </w:p>
    <w:p>
      <w:pPr>
        <w:pStyle w:val="ListParagraph"/>
        <w:numPr>
          <w:ilvl w:val="0"/>
          <w:numId w:val="2"/>
        </w:numPr>
        <w:spacing w:before="40" w:after="55"/>
      </w:pPr>
      <w:r>
        <w:rPr>
          <w:rFonts w:ascii="Arial" w:cs="Arial" w:eastAsia="Arial" w:hAnsi="Arial"/>
          <w:color w:val="1C2331"/>
          <w:sz w:val="22"/>
          <w:szCs w:val="22"/>
        </w:rPr>
        <w:t xml:space="preserve">YELLOW — ALMOST READY: Eligibility Score 55–74, or one critical component is below threshold despite overall reasonable score. The specific gap is explicitly identified: 'Ready except: GD score below minimum threshold — average 58, target 65'</w:t>
      </w:r>
    </w:p>
    <w:p>
      <w:pPr>
        <w:pStyle w:val="ListParagraph"/>
        <w:numPr>
          <w:ilvl w:val="0"/>
          <w:numId w:val="2"/>
        </w:numPr>
        <w:spacing w:before="40" w:after="55"/>
      </w:pPr>
      <w:r>
        <w:rPr>
          <w:rFonts w:ascii="Arial" w:cs="Arial" w:eastAsia="Arial" w:hAnsi="Arial"/>
          <w:color w:val="1C2331"/>
          <w:sz w:val="22"/>
          <w:szCs w:val="22"/>
        </w:rPr>
        <w:t xml:space="preserve">RED — NOT READY: Eligibility Score &lt; 55, or multiple critical components below threshold. Detailed breakdown shows exactly what needs to improve and in what order. Not a rejection — a roadmap to readiness</w:t>
      </w:r>
    </w:p>
    <w:p>
      <w:pPr>
        <w:spacing w:before="6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10.3 Peer Benchmarking — Competitive Positioning</w:t>
      </w:r>
    </w:p>
    <w:p>
      <w:pPr>
        <w:spacing w:before="60" w:after="80"/>
      </w:pPr>
      <w:r>
        <w:rPr>
          <w:rFonts w:ascii="Arial" w:cs="Arial" w:eastAsia="Arial" w:hAnsi="Arial"/>
          <w:color w:val="1C2331"/>
          <w:sz w:val="22"/>
          <w:szCs w:val="22"/>
        </w:rPr>
        <w:t xml:space="preserve">Placement readiness is not just an absolute measure — it is also a relative one. The Eligibility Score is accompanied by peer benchmarking data that shows the candidate where they stand in their competitive field.</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Cohort percentile: Candidate's Eligibility Score ranked against all candidates of the same graduation year and department</w:t>
      </w:r>
    </w:p>
    <w:p>
      <w:pPr>
        <w:pStyle w:val="ListParagraph"/>
        <w:numPr>
          <w:ilvl w:val="0"/>
          <w:numId w:val="2"/>
        </w:numPr>
        <w:spacing w:before="40" w:after="55"/>
      </w:pPr>
      <w:r>
        <w:rPr>
          <w:rFonts w:ascii="Arial" w:cs="Arial" w:eastAsia="Arial" w:hAnsi="Arial"/>
          <w:color w:val="1C2331"/>
          <w:sz w:val="22"/>
          <w:szCs w:val="22"/>
        </w:rPr>
        <w:t xml:space="preserve">Institute ranking: Position within the institution's candidate pool — useful for recruiters visiting that specific campus</w:t>
      </w:r>
    </w:p>
    <w:p>
      <w:pPr>
        <w:pStyle w:val="ListParagraph"/>
        <w:numPr>
          <w:ilvl w:val="0"/>
          <w:numId w:val="2"/>
        </w:numPr>
        <w:spacing w:before="40" w:after="55"/>
      </w:pPr>
      <w:r>
        <w:rPr>
          <w:rFonts w:ascii="Arial" w:cs="Arial" w:eastAsia="Arial" w:hAnsi="Arial"/>
          <w:color w:val="1C2331"/>
          <w:sz w:val="22"/>
          <w:szCs w:val="22"/>
        </w:rPr>
        <w:t xml:space="preserve">Skill-specific percentile: For each skill domain, where does the candidate rank among all candidates with that skill?</w:t>
      </w:r>
    </w:p>
    <w:p>
      <w:pPr>
        <w:pStyle w:val="ListParagraph"/>
        <w:numPr>
          <w:ilvl w:val="0"/>
          <w:numId w:val="2"/>
        </w:numPr>
        <w:spacing w:before="40" w:after="55"/>
      </w:pPr>
      <w:r>
        <w:rPr>
          <w:rFonts w:ascii="Arial" w:cs="Arial" w:eastAsia="Arial" w:hAnsi="Arial"/>
          <w:color w:val="1C2331"/>
          <w:sz w:val="22"/>
          <w:szCs w:val="22"/>
        </w:rPr>
        <w:t xml:space="preserve">Peer Comparison Engine: Benchmarks the candidate against the top percentile in their category — showing the specific gap between the candidate's current performance and top-tier performance</w:t>
      </w:r>
    </w:p>
    <w:p>
      <w:pPr>
        <w:pStyle w:val="ListParagraph"/>
        <w:numPr>
          <w:ilvl w:val="0"/>
          <w:numId w:val="2"/>
        </w:numPr>
        <w:spacing w:before="40" w:after="55"/>
      </w:pPr>
      <w:r>
        <w:rPr>
          <w:rFonts w:ascii="Arial" w:cs="Arial" w:eastAsia="Arial" w:hAnsi="Arial"/>
          <w:color w:val="1C2331"/>
          <w:sz w:val="22"/>
          <w:szCs w:val="22"/>
        </w:rPr>
        <w:t xml:space="preserve">Population Percentile Engine: Generates normalized ranking across regional and national candidate pools — accounts for different institution quality levels</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10.4 Recruiter-Facing Skill Intelligence</w:t>
      </w:r>
    </w:p>
    <w:p>
      <w:pPr>
        <w:spacing w:before="60" w:after="80"/>
      </w:pPr>
      <w:r>
        <w:rPr>
          <w:rFonts w:ascii="Arial" w:cs="Arial" w:eastAsia="Arial" w:hAnsi="Arial"/>
          <w:color w:val="1C2331"/>
          <w:sz w:val="22"/>
          <w:szCs w:val="22"/>
        </w:rPr>
        <w:t xml:space="preserve">Recruiters who access the EcoSkiller placement system see a comprehensive skill intelligence view of every candidate — far richer than a traditional resume.</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Verified Skill Map: Visual representation of the candidate's skill vector — showing which skills are verified, at what level, and with what evidence</w:t>
      </w:r>
    </w:p>
    <w:p>
      <w:pPr>
        <w:pStyle w:val="ListParagraph"/>
        <w:numPr>
          <w:ilvl w:val="0"/>
          <w:numId w:val="2"/>
        </w:numPr>
        <w:spacing w:before="40" w:after="55"/>
      </w:pPr>
      <w:r>
        <w:rPr>
          <w:rFonts w:ascii="Arial" w:cs="Arial" w:eastAsia="Arial" w:hAnsi="Arial"/>
          <w:color w:val="1C2331"/>
          <w:sz w:val="22"/>
          <w:szCs w:val="22"/>
        </w:rPr>
        <w:t xml:space="preserve">GD Score History: Not just the final score but the full trajectory — showing whether communication is improving, declining, or consistent</w:t>
      </w:r>
    </w:p>
    <w:p>
      <w:pPr>
        <w:pStyle w:val="ListParagraph"/>
        <w:numPr>
          <w:ilvl w:val="0"/>
          <w:numId w:val="2"/>
        </w:numPr>
        <w:spacing w:before="40" w:after="55"/>
      </w:pPr>
      <w:r>
        <w:rPr>
          <w:rFonts w:ascii="Arial" w:cs="Arial" w:eastAsia="Arial" w:hAnsi="Arial"/>
          <w:color w:val="1C2331"/>
          <w:sz w:val="22"/>
          <w:szCs w:val="22"/>
        </w:rPr>
        <w:t xml:space="preserve">Candidate Skill Vector vs Job Requirements: Auto-computed match percentage between candidate skills and specific job requirements</w:t>
      </w:r>
    </w:p>
    <w:p>
      <w:pPr>
        <w:pStyle w:val="ListParagraph"/>
        <w:numPr>
          <w:ilvl w:val="0"/>
          <w:numId w:val="2"/>
        </w:numPr>
        <w:spacing w:before="40" w:after="55"/>
      </w:pPr>
      <w:r>
        <w:rPr>
          <w:rFonts w:ascii="Arial" w:cs="Arial" w:eastAsia="Arial" w:hAnsi="Arial"/>
          <w:color w:val="1C2331"/>
          <w:sz w:val="22"/>
          <w:szCs w:val="22"/>
        </w:rPr>
        <w:t xml:space="preserve">Candidate Summary Auto-Generation: AI generates a polished, recruiter-ready candidate summary from profile data — highlighting key achievements, skill strengths, and career trajectory</w:t>
      </w:r>
    </w:p>
    <w:p>
      <w:pPr>
        <w:pStyle w:val="ListParagraph"/>
        <w:numPr>
          <w:ilvl w:val="0"/>
          <w:numId w:val="2"/>
        </w:numPr>
        <w:spacing w:before="40" w:after="55"/>
      </w:pPr>
      <w:r>
        <w:rPr>
          <w:rFonts w:ascii="Arial" w:cs="Arial" w:eastAsia="Arial" w:hAnsi="Arial"/>
          <w:color w:val="1C2331"/>
          <w:sz w:val="22"/>
          <w:szCs w:val="22"/>
        </w:rPr>
        <w:t xml:space="preserve">Hiring Bias Detection: Platform monitors recruiter shortlisting patterns for demographic bias — flagging if shortlisting decisions appear correlated with non-skill factors</w:t>
      </w:r>
    </w:p>
    <w:p>
      <w:pPr>
        <w:pStyle w:val="ListParagraph"/>
        <w:numPr>
          <w:ilvl w:val="0"/>
          <w:numId w:val="2"/>
        </w:numPr>
        <w:spacing w:before="40" w:after="55"/>
      </w:pPr>
      <w:r>
        <w:rPr>
          <w:rFonts w:ascii="Arial" w:cs="Arial" w:eastAsia="Arial" w:hAnsi="Arial"/>
          <w:color w:val="1C2331"/>
          <w:sz w:val="22"/>
          <w:szCs w:val="22"/>
        </w:rPr>
        <w:t xml:space="preserve">Skill proof reports: All skill claims come with verifiable evidence links — assessments, certificates, project records — that recruiters can inspect</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11. Student Progress Dashboard — Candidate View</w:t>
      </w:r>
    </w:p>
    <w:p>
      <w:pPr>
        <w:spacing w:before="60" w:after="80"/>
      </w:pPr>
      <w:r>
        <w:rPr>
          <w:rFonts w:ascii="Arial" w:cs="Arial" w:eastAsia="Arial" w:hAnsi="Arial"/>
          <w:color w:val="1C2331"/>
          <w:sz w:val="22"/>
          <w:szCs w:val="22"/>
        </w:rPr>
        <w:t xml:space="preserve">The Student Progress Dashboard is the candidate's primary interface with the entire Skill Competency System. It aggregates data from all modules into a single, visual, actionable view. It is the most comprehensive representation of a candidate's development on the platform.</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11.1 Dashboard Sections &amp; Features</w:t>
      </w:r>
    </w:p>
    <w:p>
      <w:pPr>
        <w:spacing w:before="220" w:after="80"/>
      </w:pPr>
      <w:r>
        <w:rPr>
          <w:rFonts w:ascii="Arial" w:cs="Arial" w:eastAsia="Arial" w:hAnsi="Arial"/>
          <w:b/>
          <w:bCs/>
          <w:color w:val="0D2B55"/>
          <w:sz w:val="24"/>
          <w:szCs w:val="24"/>
        </w:rPr>
        <w:t xml:space="preserve">Overall Eligibility Score Widget</w:t>
      </w:r>
    </w:p>
    <w:p>
      <w:pPr>
        <w:spacing w:before="60" w:after="80"/>
      </w:pPr>
      <w:r>
        <w:rPr>
          <w:rFonts w:ascii="Arial" w:cs="Arial" w:eastAsia="Arial" w:hAnsi="Arial"/>
          <w:color w:val="1C2331"/>
          <w:sz w:val="22"/>
          <w:szCs w:val="22"/>
        </w:rPr>
        <w:t xml:space="preserve">The dominant visual element of the dashboard. Displays the composite score prominently (0–100) with color coding, trend arrow (improving/declining/stable), and breakdown drill-down access. Score is updated within 24 hours of any platform activity.</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Skill Map Visualization</w:t>
      </w:r>
    </w:p>
    <w:p>
      <w:pPr>
        <w:spacing w:before="60" w:after="80"/>
      </w:pPr>
      <w:r>
        <w:rPr>
          <w:rFonts w:ascii="Arial" w:cs="Arial" w:eastAsia="Arial" w:hAnsi="Arial"/>
          <w:color w:val="1C2331"/>
          <w:sz w:val="22"/>
          <w:szCs w:val="22"/>
        </w:rPr>
        <w:t xml:space="preserve">A visual, interactive map of all the candidate's verified skills organized by taxonomy family. Skills are displayed as nodes with color indicating level (Novice through Master) and size indicating evidence weight. Clicking any node shows the evidence trail for that skill.</w:t>
      </w:r>
    </w:p>
    <w:p>
      <w:pPr>
        <w:spacing w:before="4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Course-based skills: Shown with a book icon — sourced from LMS completions</w:t>
      </w:r>
    </w:p>
    <w:p>
      <w:pPr>
        <w:pStyle w:val="ListParagraph"/>
        <w:numPr>
          <w:ilvl w:val="0"/>
          <w:numId w:val="2"/>
        </w:numPr>
        <w:spacing w:before="40" w:after="55"/>
      </w:pPr>
      <w:r>
        <w:rPr>
          <w:rFonts w:ascii="Arial" w:cs="Arial" w:eastAsia="Arial" w:hAnsi="Arial"/>
          <w:color w:val="1C2331"/>
          <w:sz w:val="22"/>
          <w:szCs w:val="22"/>
        </w:rPr>
        <w:t xml:space="preserve">GD-assessed skills: Shown with a speech bubble icon — communication and leadership skills proven in sessions</w:t>
      </w:r>
    </w:p>
    <w:p>
      <w:pPr>
        <w:pStyle w:val="ListParagraph"/>
        <w:numPr>
          <w:ilvl w:val="0"/>
          <w:numId w:val="2"/>
        </w:numPr>
        <w:spacing w:before="40" w:after="55"/>
      </w:pPr>
      <w:r>
        <w:rPr>
          <w:rFonts w:ascii="Arial" w:cs="Arial" w:eastAsia="Arial" w:hAnsi="Arial"/>
          <w:color w:val="1C2331"/>
          <w:sz w:val="22"/>
          <w:szCs w:val="22"/>
        </w:rPr>
        <w:t xml:space="preserve">Tournament-demonstrated skills: Shown with a trophy icon — competitive performance evidence</w:t>
      </w:r>
    </w:p>
    <w:p>
      <w:pPr>
        <w:pStyle w:val="ListParagraph"/>
        <w:numPr>
          <w:ilvl w:val="0"/>
          <w:numId w:val="2"/>
        </w:numPr>
        <w:spacing w:before="40" w:after="55"/>
      </w:pPr>
      <w:r>
        <w:rPr>
          <w:rFonts w:ascii="Arial" w:cs="Arial" w:eastAsia="Arial" w:hAnsi="Arial"/>
          <w:color w:val="1C2331"/>
          <w:sz w:val="22"/>
          <w:szCs w:val="22"/>
        </w:rPr>
        <w:t xml:space="preserve">Mentor-endorsed skills: Shown with a star icon — human expert validation</w:t>
      </w:r>
    </w:p>
    <w:p>
      <w:pPr>
        <w:pStyle w:val="ListParagraph"/>
        <w:numPr>
          <w:ilvl w:val="0"/>
          <w:numId w:val="2"/>
        </w:numPr>
        <w:spacing w:before="40" w:after="55"/>
      </w:pPr>
      <w:r>
        <w:rPr>
          <w:rFonts w:ascii="Arial" w:cs="Arial" w:eastAsia="Arial" w:hAnsi="Arial"/>
          <w:color w:val="1C2331"/>
          <w:sz w:val="22"/>
          <w:szCs w:val="22"/>
        </w:rPr>
        <w:t xml:space="preserve">Project-demonstrated skills: Shown with a tool icon — applied, real-world evidence</w:t>
      </w:r>
    </w:p>
    <w:p>
      <w:pPr>
        <w:pStyle w:val="ListParagraph"/>
        <w:numPr>
          <w:ilvl w:val="0"/>
          <w:numId w:val="2"/>
        </w:numPr>
        <w:spacing w:before="40" w:after="55"/>
      </w:pPr>
      <w:r>
        <w:rPr>
          <w:rFonts w:ascii="Arial" w:cs="Arial" w:eastAsia="Arial" w:hAnsi="Arial"/>
          <w:color w:val="1C2331"/>
          <w:sz w:val="22"/>
          <w:szCs w:val="22"/>
        </w:rPr>
        <w:t xml:space="preserve">Gray nodes: Skills in the taxonomy that the candidate has not yet demonstrated — gaps visible, inviting action</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LMS Progress Widget</w:t>
      </w:r>
    </w:p>
    <w:p>
      <w:pPr>
        <w:pStyle w:val="ListParagraph"/>
        <w:numPr>
          <w:ilvl w:val="0"/>
          <w:numId w:val="2"/>
        </w:numPr>
        <w:spacing w:before="40" w:after="55"/>
      </w:pPr>
      <w:r>
        <w:rPr>
          <w:rFonts w:ascii="Arial" w:cs="Arial" w:eastAsia="Arial" w:hAnsi="Arial"/>
          <w:color w:val="1C2331"/>
          <w:sz w:val="22"/>
          <w:szCs w:val="22"/>
        </w:rPr>
        <w:t xml:space="preserve">Total courses enrolled, in-progress, and completed with overall completion percentage</w:t>
      </w:r>
    </w:p>
    <w:p>
      <w:pPr>
        <w:pStyle w:val="ListParagraph"/>
        <w:numPr>
          <w:ilvl w:val="0"/>
          <w:numId w:val="2"/>
        </w:numPr>
        <w:spacing w:before="40" w:after="55"/>
      </w:pPr>
      <w:r>
        <w:rPr>
          <w:rFonts w:ascii="Arial" w:cs="Arial" w:eastAsia="Arial" w:hAnsi="Arial"/>
          <w:color w:val="1C2331"/>
          <w:sz w:val="22"/>
          <w:szCs w:val="22"/>
        </w:rPr>
        <w:t xml:space="preserve">Click to drill into each course: lessons completed, time spent, quiz scores, and certificate status</w:t>
      </w:r>
    </w:p>
    <w:p>
      <w:pPr>
        <w:pStyle w:val="ListParagraph"/>
        <w:numPr>
          <w:ilvl w:val="0"/>
          <w:numId w:val="2"/>
        </w:numPr>
        <w:spacing w:before="40" w:after="55"/>
      </w:pPr>
      <w:r>
        <w:rPr>
          <w:rFonts w:ascii="Arial" w:cs="Arial" w:eastAsia="Arial" w:hAnsi="Arial"/>
          <w:color w:val="1C2331"/>
          <w:sz w:val="22"/>
          <w:szCs w:val="22"/>
        </w:rPr>
        <w:t xml:space="preserve">Recommended next courses from ASRA based on current skill gaps</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GD Score History Graph</w:t>
      </w:r>
    </w:p>
    <w:p>
      <w:pPr>
        <w:pStyle w:val="ListParagraph"/>
        <w:numPr>
          <w:ilvl w:val="0"/>
          <w:numId w:val="2"/>
        </w:numPr>
        <w:spacing w:before="40" w:after="55"/>
      </w:pPr>
      <w:r>
        <w:rPr>
          <w:rFonts w:ascii="Arial" w:cs="Arial" w:eastAsia="Arial" w:hAnsi="Arial"/>
          <w:color w:val="1C2331"/>
          <w:sz w:val="22"/>
          <w:szCs w:val="22"/>
        </w:rPr>
        <w:t xml:space="preserve">Line graph of GD scores across all sessions — trend line and session-by-session breakdown</w:t>
      </w:r>
    </w:p>
    <w:p>
      <w:pPr>
        <w:pStyle w:val="ListParagraph"/>
        <w:numPr>
          <w:ilvl w:val="0"/>
          <w:numId w:val="2"/>
        </w:numPr>
        <w:spacing w:before="40" w:after="55"/>
      </w:pPr>
      <w:r>
        <w:rPr>
          <w:rFonts w:ascii="Arial" w:cs="Arial" w:eastAsia="Arial" w:hAnsi="Arial"/>
          <w:color w:val="1C2331"/>
          <w:sz w:val="22"/>
          <w:szCs w:val="22"/>
        </w:rPr>
        <w:t xml:space="preserve">Each data point clickable to see that specific session's detailed round-by-round report</w:t>
      </w:r>
    </w:p>
    <w:p>
      <w:pPr>
        <w:pStyle w:val="ListParagraph"/>
        <w:numPr>
          <w:ilvl w:val="0"/>
          <w:numId w:val="2"/>
        </w:numPr>
        <w:spacing w:before="40" w:after="55"/>
      </w:pPr>
      <w:r>
        <w:rPr>
          <w:rFonts w:ascii="Arial" w:cs="Arial" w:eastAsia="Arial" w:hAnsi="Arial"/>
          <w:color w:val="1C2331"/>
          <w:sz w:val="22"/>
          <w:szCs w:val="22"/>
        </w:rPr>
        <w:t xml:space="preserve">Score shown alongside cohort average line for benchmarking context</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Tournament Participation Summary</w:t>
      </w:r>
    </w:p>
    <w:p>
      <w:pPr>
        <w:pStyle w:val="ListParagraph"/>
        <w:numPr>
          <w:ilvl w:val="0"/>
          <w:numId w:val="2"/>
        </w:numPr>
        <w:spacing w:before="40" w:after="55"/>
      </w:pPr>
      <w:r>
        <w:rPr>
          <w:rFonts w:ascii="Arial" w:cs="Arial" w:eastAsia="Arial" w:hAnsi="Arial"/>
          <w:color w:val="1C2331"/>
          <w:sz w:val="22"/>
          <w:szCs w:val="22"/>
        </w:rPr>
        <w:t xml:space="preserve">All tournaments the candidate has participated in — event name, level, rank achieved, certificate status</w:t>
      </w:r>
    </w:p>
    <w:p>
      <w:pPr>
        <w:pStyle w:val="ListParagraph"/>
        <w:numPr>
          <w:ilvl w:val="0"/>
          <w:numId w:val="2"/>
        </w:numPr>
        <w:spacing w:before="40" w:after="55"/>
      </w:pPr>
      <w:r>
        <w:rPr>
          <w:rFonts w:ascii="Arial" w:cs="Arial" w:eastAsia="Arial" w:hAnsi="Arial"/>
          <w:color w:val="1C2331"/>
          <w:sz w:val="22"/>
          <w:szCs w:val="22"/>
        </w:rPr>
        <w:t xml:space="preserve">Best rank highlighted; ELO rating history graph showing competitive progression over time</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Achievement Timeline</w:t>
      </w:r>
    </w:p>
    <w:p>
      <w:pPr>
        <w:pStyle w:val="ListParagraph"/>
        <w:numPr>
          <w:ilvl w:val="0"/>
          <w:numId w:val="2"/>
        </w:numPr>
        <w:spacing w:before="40" w:after="55"/>
      </w:pPr>
      <w:r>
        <w:rPr>
          <w:rFonts w:ascii="Arial" w:cs="Arial" w:eastAsia="Arial" w:hAnsi="Arial"/>
          <w:color w:val="1C2331"/>
          <w:sz w:val="22"/>
          <w:szCs w:val="22"/>
        </w:rPr>
        <w:t xml:space="preserve">Chronological timeline of all significant achievements: certificates earned, tournaments won, projects completed, belt promotions, skill endorsements received</w:t>
      </w:r>
    </w:p>
    <w:p>
      <w:pPr>
        <w:pStyle w:val="ListParagraph"/>
        <w:numPr>
          <w:ilvl w:val="0"/>
          <w:numId w:val="2"/>
        </w:numPr>
        <w:spacing w:before="40" w:after="55"/>
      </w:pPr>
      <w:r>
        <w:rPr>
          <w:rFonts w:ascii="Arial" w:cs="Arial" w:eastAsia="Arial" w:hAnsi="Arial"/>
          <w:color w:val="1C2331"/>
          <w:sz w:val="22"/>
          <w:szCs w:val="22"/>
        </w:rPr>
        <w:t xml:space="preserve">Each timeline entry is verifiable — clicking opens the evidence record and verification link</w:t>
      </w:r>
    </w:p>
    <w:p>
      <w:pPr>
        <w:pStyle w:val="ListParagraph"/>
        <w:numPr>
          <w:ilvl w:val="0"/>
          <w:numId w:val="2"/>
        </w:numPr>
        <w:spacing w:before="40" w:after="55"/>
      </w:pPr>
      <w:r>
        <w:rPr>
          <w:rFonts w:ascii="Arial" w:cs="Arial" w:eastAsia="Arial" w:hAnsi="Arial"/>
          <w:color w:val="1C2331"/>
          <w:sz w:val="22"/>
          <w:szCs w:val="22"/>
        </w:rPr>
        <w:t xml:space="preserve">Share functionality: Candidate can share the achievement timeline to LinkedIn or generate a shareable link</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Placement Readiness Indicator</w:t>
      </w:r>
    </w:p>
    <w:p>
      <w:pPr>
        <w:pStyle w:val="ListParagraph"/>
        <w:numPr>
          <w:ilvl w:val="0"/>
          <w:numId w:val="2"/>
        </w:numPr>
        <w:spacing w:before="40" w:after="55"/>
      </w:pPr>
      <w:r>
        <w:rPr>
          <w:rFonts w:ascii="Arial" w:cs="Arial" w:eastAsia="Arial" w:hAnsi="Arial"/>
          <w:color w:val="1C2331"/>
          <w:sz w:val="22"/>
          <w:szCs w:val="22"/>
        </w:rPr>
        <w:t xml:space="preserve">GREEN / YELLOW / RED readiness state with specific gap identification</w:t>
      </w:r>
    </w:p>
    <w:p>
      <w:pPr>
        <w:pStyle w:val="ListParagraph"/>
        <w:numPr>
          <w:ilvl w:val="0"/>
          <w:numId w:val="2"/>
        </w:numPr>
        <w:spacing w:before="40" w:after="55"/>
      </w:pPr>
      <w:r>
        <w:rPr>
          <w:rFonts w:ascii="Arial" w:cs="Arial" w:eastAsia="Arial" w:hAnsi="Arial"/>
          <w:color w:val="1C2331"/>
          <w:sz w:val="22"/>
          <w:szCs w:val="22"/>
        </w:rPr>
        <w:t xml:space="preserve">Recruiter preview: Candidate can see exactly what recruiters see when they view the profile</w:t>
      </w:r>
    </w:p>
    <w:p>
      <w:pPr>
        <w:pStyle w:val="ListParagraph"/>
        <w:numPr>
          <w:ilvl w:val="0"/>
          <w:numId w:val="2"/>
        </w:numPr>
        <w:spacing w:before="40" w:after="55"/>
      </w:pPr>
      <w:r>
        <w:rPr>
          <w:rFonts w:ascii="Arial" w:cs="Arial" w:eastAsia="Arial" w:hAnsi="Arial"/>
          <w:color w:val="1C2331"/>
          <w:sz w:val="22"/>
          <w:szCs w:val="22"/>
        </w:rPr>
        <w:t xml:space="preserve">Gap action buttons: Direct links from each identified gap to the recommended action (enroll in course, register for GD, apply for project)</w:t>
      </w:r>
    </w:p>
    <w:p>
      <w:pPr>
        <w:spacing w:before="60" w:after="0"/>
      </w:pPr>
      <w:r>
        <w:rPr>
          <w:rFonts w:ascii="Arial" w:cs="Arial" w:eastAsia="Arial" w:hAnsi="Arial"/>
          <w:color w:val="1C2331"/>
          <w:sz w:val="22"/>
          <w:szCs w:val="22"/>
        </w:rPr>
        <w:t xml:space="preserve"/>
      </w:r>
    </w:p>
    <w:p>
      <w:pPr>
        <w:spacing w:before="220" w:after="80"/>
      </w:pPr>
      <w:r>
        <w:rPr>
          <w:rFonts w:ascii="Arial" w:cs="Arial" w:eastAsia="Arial" w:hAnsi="Arial"/>
          <w:b/>
          <w:bCs/>
          <w:color w:val="0D2B55"/>
          <w:sz w:val="24"/>
          <w:szCs w:val="24"/>
        </w:rPr>
        <w:t xml:space="preserve">Streak &amp; Habit Widget</w:t>
      </w:r>
    </w:p>
    <w:p>
      <w:pPr>
        <w:pStyle w:val="ListParagraph"/>
        <w:numPr>
          <w:ilvl w:val="0"/>
          <w:numId w:val="2"/>
        </w:numPr>
        <w:spacing w:before="40" w:after="55"/>
      </w:pPr>
      <w:r>
        <w:rPr>
          <w:rFonts w:ascii="Arial" w:cs="Arial" w:eastAsia="Arial" w:hAnsi="Arial"/>
          <w:color w:val="1C2331"/>
          <w:sz w:val="22"/>
          <w:szCs w:val="22"/>
        </w:rPr>
        <w:t xml:space="preserve">Current streak ring visualization — prominent, motivating display of daily engagement</w:t>
      </w:r>
    </w:p>
    <w:p>
      <w:pPr>
        <w:pStyle w:val="ListParagraph"/>
        <w:numPr>
          <w:ilvl w:val="0"/>
          <w:numId w:val="2"/>
        </w:numPr>
        <w:spacing w:before="40" w:after="55"/>
      </w:pPr>
      <w:r>
        <w:rPr>
          <w:rFonts w:ascii="Arial" w:cs="Arial" w:eastAsia="Arial" w:hAnsi="Arial"/>
          <w:color w:val="1C2331"/>
          <w:sz w:val="22"/>
          <w:szCs w:val="22"/>
        </w:rPr>
        <w:t xml:space="preserve">Today's recommended action from ASRA — one specific, achievable task</w:t>
      </w:r>
    </w:p>
    <w:p>
      <w:pPr>
        <w:pStyle w:val="ListParagraph"/>
        <w:numPr>
          <w:ilvl w:val="0"/>
          <w:numId w:val="2"/>
        </w:numPr>
        <w:spacing w:before="40" w:after="55"/>
      </w:pPr>
      <w:r>
        <w:rPr>
          <w:rFonts w:ascii="Arial" w:cs="Arial" w:eastAsia="Arial" w:hAnsi="Arial"/>
          <w:color w:val="1C2331"/>
          <w:sz w:val="22"/>
          <w:szCs w:val="22"/>
        </w:rPr>
        <w:t xml:space="preserve">Streak freeze token count — candidate knows how many safety days they have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11.2 Inactive Student Alert — Dropout Prevention</w:t>
      </w:r>
    </w:p>
    <w:p>
      <w:pPr>
        <w:spacing w:before="60" w:after="80"/>
      </w:pPr>
      <w:r>
        <w:rPr>
          <w:rFonts w:ascii="Arial" w:cs="Arial" w:eastAsia="Arial" w:hAnsi="Arial"/>
          <w:color w:val="1C2331"/>
          <w:sz w:val="22"/>
          <w:szCs w:val="22"/>
        </w:rPr>
        <w:t xml:space="preserve">The Inactive Student Alert system monitors candidate engagement continuously and escalates appropriately to prevent dropout before it happens.</w:t>
      </w:r>
    </w:p>
    <w:p>
      <w:pPr>
        <w:spacing w:before="60" w:after="0"/>
      </w:pPr>
      <w:r>
        <w:rPr>
          <w:rFonts w:ascii="Arial" w:cs="Arial" w:eastAsia="Arial" w:hAnsi="Arial"/>
          <w:color w:val="1C2331"/>
          <w:sz w:val="22"/>
          <w:szCs w:val="22"/>
        </w:rPr>
        <w:t xml:space="preserve"/>
      </w:r>
    </w:p>
    <w:p>
      <w:pPr>
        <w:pStyle w:val="ListParagraph"/>
        <w:numPr>
          <w:ilvl w:val="0"/>
          <w:numId w:val="2"/>
        </w:numPr>
        <w:spacing w:before="40" w:after="55"/>
      </w:pPr>
      <w:r>
        <w:rPr>
          <w:rFonts w:ascii="Arial" w:cs="Arial" w:eastAsia="Arial" w:hAnsi="Arial"/>
          <w:color w:val="1C2331"/>
          <w:sz w:val="22"/>
          <w:szCs w:val="22"/>
        </w:rPr>
        <w:t xml:space="preserve">Activity tracking metrics: Last login, LMS lessons opened, Dojo missions completed, GD sessions attended, assignments submitted — inactivity measured across all signals</w:t>
      </w:r>
    </w:p>
    <w:p>
      <w:pPr>
        <w:pStyle w:val="ListParagraph"/>
        <w:numPr>
          <w:ilvl w:val="0"/>
          <w:numId w:val="2"/>
        </w:numPr>
        <w:spacing w:before="40" w:after="55"/>
      </w:pPr>
      <w:r>
        <w:rPr>
          <w:rFonts w:ascii="Arial" w:cs="Arial" w:eastAsia="Arial" w:hAnsi="Arial"/>
          <w:color w:val="1C2331"/>
          <w:sz w:val="22"/>
          <w:szCs w:val="22"/>
        </w:rPr>
        <w:t xml:space="preserve">Tiered alert escalation: 3 days inactive → Class teacher alert. 7 days → HOD alert. 14 days → Principal alert. 21 days → Parent notification + Counseling Cell escalation</w:t>
      </w:r>
    </w:p>
    <w:p>
      <w:pPr>
        <w:pStyle w:val="ListParagraph"/>
        <w:numPr>
          <w:ilvl w:val="0"/>
          <w:numId w:val="2"/>
        </w:numPr>
        <w:spacing w:before="40" w:after="55"/>
      </w:pPr>
      <w:r>
        <w:rPr>
          <w:rFonts w:ascii="Arial" w:cs="Arial" w:eastAsia="Arial" w:hAnsi="Arial"/>
          <w:color w:val="1C2331"/>
          <w:sz w:val="22"/>
          <w:szCs w:val="22"/>
        </w:rPr>
        <w:t xml:space="preserve">Automated student outreach: Friendly reminder sent after 3 days: 'We noticed you haven't been active. Is everything okay? Here's what's waiting for you...'</w:t>
      </w:r>
    </w:p>
    <w:p>
      <w:pPr>
        <w:pStyle w:val="ListParagraph"/>
        <w:numPr>
          <w:ilvl w:val="0"/>
          <w:numId w:val="2"/>
        </w:numPr>
        <w:spacing w:before="40" w:after="55"/>
      </w:pPr>
      <w:r>
        <w:rPr>
          <w:rFonts w:ascii="Arial" w:cs="Arial" w:eastAsia="Arial" w:hAnsi="Arial"/>
          <w:color w:val="1C2331"/>
          <w:sz w:val="22"/>
          <w:szCs w:val="22"/>
        </w:rPr>
        <w:t xml:space="preserve">Recovery tracking: Once a student resumes, marked as 'Recovered' — re-engagement tracked for 30 days. If inactive again, alert immediately re-triggered</w:t>
      </w:r>
    </w:p>
    <w:p>
      <w:pPr>
        <w:pStyle w:val="ListParagraph"/>
        <w:numPr>
          <w:ilvl w:val="0"/>
          <w:numId w:val="2"/>
        </w:numPr>
        <w:spacing w:before="40" w:after="55"/>
      </w:pPr>
      <w:r>
        <w:rPr>
          <w:rFonts w:ascii="Arial" w:cs="Arial" w:eastAsia="Arial" w:hAnsi="Arial"/>
          <w:color w:val="1C2331"/>
          <w:sz w:val="22"/>
          <w:szCs w:val="22"/>
        </w:rPr>
        <w:t xml:space="preserve">Counselor assignment: At-risk students can have a counselor assigned from within the platform — counselor gets the student's activity history and logs counseling sessions</w:t>
      </w:r>
    </w:p>
    <w:p>
      <w:pPr>
        <w:pStyle w:val="ListParagraph"/>
        <w:numPr>
          <w:ilvl w:val="0"/>
          <w:numId w:val="2"/>
        </w:numPr>
        <w:spacing w:before="40" w:after="55"/>
      </w:pPr>
      <w:r>
        <w:rPr>
          <w:rFonts w:ascii="Arial" w:cs="Arial" w:eastAsia="Arial" w:hAnsi="Arial"/>
          <w:color w:val="1C2331"/>
          <w:sz w:val="22"/>
          <w:szCs w:val="22"/>
        </w:rPr>
        <w:t xml:space="preserve">Inactivity reason capture: When reason is identified (family issue, health, financial stress), logged for pattern analysis — helps institutions improve engagement structures</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12. Governance, Security &amp; Data Integrity</w:t>
      </w:r>
    </w:p>
    <w:p>
      <w:pPr>
        <w:spacing w:before="60" w:after="80"/>
      </w:pPr>
      <w:r>
        <w:rPr>
          <w:rFonts w:ascii="Arial" w:cs="Arial" w:eastAsia="Arial" w:hAnsi="Arial"/>
          <w:color w:val="1C2331"/>
          <w:sz w:val="22"/>
          <w:szCs w:val="22"/>
        </w:rPr>
        <w:t xml:space="preserve">The integrity of the Skill Competency System depends on rigorous governance, security, and audit mechanisms. Every assessment, score, certification, and skill record is governed by a set of non-negotiable controls that ensure the system cannot be gamed, manipulated, or exploited.</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12.1 Immutability &amp; Audit Architecture</w:t>
      </w:r>
    </w:p>
    <w:p>
      <w:pPr>
        <w:pStyle w:val="ListParagraph"/>
        <w:numPr>
          <w:ilvl w:val="0"/>
          <w:numId w:val="2"/>
        </w:numPr>
        <w:spacing w:before="40" w:after="55"/>
      </w:pPr>
      <w:r>
        <w:rPr>
          <w:rFonts w:ascii="Arial" w:cs="Arial" w:eastAsia="Arial" w:hAnsi="Arial"/>
          <w:color w:val="1C2331"/>
          <w:sz w:val="22"/>
          <w:szCs w:val="22"/>
        </w:rPr>
        <w:t xml:space="preserve">Append-only skill records: No skill record is ever deleted — the historical record is permanent</w:t>
      </w:r>
    </w:p>
    <w:p>
      <w:pPr>
        <w:pStyle w:val="ListParagraph"/>
        <w:numPr>
          <w:ilvl w:val="0"/>
          <w:numId w:val="2"/>
        </w:numPr>
        <w:spacing w:before="40" w:after="55"/>
      </w:pPr>
      <w:r>
        <w:rPr>
          <w:rFonts w:ascii="Arial" w:cs="Arial" w:eastAsia="Arial" w:hAnsi="Arial"/>
          <w:color w:val="1C2331"/>
          <w:sz w:val="22"/>
          <w:szCs w:val="22"/>
        </w:rPr>
        <w:t xml:space="preserve">Immutable GD scores: Post-save GD scores cannot be modified by any party — only a formal dispute review by the platform governance board can result in adjustment</w:t>
      </w:r>
    </w:p>
    <w:p>
      <w:pPr>
        <w:pStyle w:val="ListParagraph"/>
        <w:numPr>
          <w:ilvl w:val="0"/>
          <w:numId w:val="2"/>
        </w:numPr>
        <w:spacing w:before="40" w:after="55"/>
      </w:pPr>
      <w:r>
        <w:rPr>
          <w:rFonts w:ascii="Arial" w:cs="Arial" w:eastAsia="Arial" w:hAnsi="Arial"/>
          <w:color w:val="1C2331"/>
          <w:sz w:val="22"/>
          <w:szCs w:val="22"/>
        </w:rPr>
        <w:t xml:space="preserve">Score audit trail: Every component of every score — timing logs, token transfers, interrupt logs, silence events — stored at millisecond precision</w:t>
      </w:r>
    </w:p>
    <w:p>
      <w:pPr>
        <w:pStyle w:val="ListParagraph"/>
        <w:numPr>
          <w:ilvl w:val="0"/>
          <w:numId w:val="2"/>
        </w:numPr>
        <w:spacing w:before="40" w:after="55"/>
      </w:pPr>
      <w:r>
        <w:rPr>
          <w:rFonts w:ascii="Arial" w:cs="Arial" w:eastAsia="Arial" w:hAnsi="Arial"/>
          <w:color w:val="1C2331"/>
          <w:sz w:val="22"/>
          <w:szCs w:val="22"/>
        </w:rPr>
        <w:t xml:space="preserve">Belt promotion audit: Every belt promotion generates a complete, signed audit record documenting all evidence reviewed, mentor names, confidence scores, and approval timestamp</w:t>
      </w:r>
    </w:p>
    <w:p>
      <w:pPr>
        <w:pStyle w:val="ListParagraph"/>
        <w:numPr>
          <w:ilvl w:val="0"/>
          <w:numId w:val="2"/>
        </w:numPr>
        <w:spacing w:before="40" w:after="55"/>
      </w:pPr>
      <w:r>
        <w:rPr>
          <w:rFonts w:ascii="Arial" w:cs="Arial" w:eastAsia="Arial" w:hAnsi="Arial"/>
          <w:color w:val="1C2331"/>
          <w:sz w:val="22"/>
          <w:szCs w:val="22"/>
        </w:rPr>
        <w:t xml:space="preserve">XP immutability: XP awards cannot be reversed once granted — they are permanent ledger entries</w:t>
      </w:r>
    </w:p>
    <w:p>
      <w:pPr>
        <w:pStyle w:val="ListParagraph"/>
        <w:numPr>
          <w:ilvl w:val="0"/>
          <w:numId w:val="2"/>
        </w:numPr>
        <w:spacing w:before="40" w:after="55"/>
      </w:pPr>
      <w:r>
        <w:rPr>
          <w:rFonts w:ascii="Arial" w:cs="Arial" w:eastAsia="Arial" w:hAnsi="Arial"/>
          <w:color w:val="1C2331"/>
          <w:sz w:val="22"/>
          <w:szCs w:val="22"/>
        </w:rPr>
        <w:t xml:space="preserve">Certificate audit trail: Every certificate generation event is logged with all parameters — who, what, when, what formula, and what version of the assessment engine</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12.2 Anti-Gaming &amp; Abuse Prevention</w:t>
      </w:r>
    </w:p>
    <w:p>
      <w:pPr>
        <w:pStyle w:val="ListParagraph"/>
        <w:numPr>
          <w:ilvl w:val="0"/>
          <w:numId w:val="2"/>
        </w:numPr>
        <w:spacing w:before="40" w:after="55"/>
      </w:pPr>
      <w:r>
        <w:rPr>
          <w:rFonts w:ascii="Arial" w:cs="Arial" w:eastAsia="Arial" w:hAnsi="Arial"/>
          <w:color w:val="1C2331"/>
          <w:sz w:val="22"/>
          <w:szCs w:val="22"/>
        </w:rPr>
        <w:t xml:space="preserve">Anti-farming rules: Repeating low-difficulty activities to accumulate XP is detected and penalized — XP yield drops exponentially on repeated identical actions</w:t>
      </w:r>
    </w:p>
    <w:p>
      <w:pPr>
        <w:pStyle w:val="ListParagraph"/>
        <w:numPr>
          <w:ilvl w:val="0"/>
          <w:numId w:val="2"/>
        </w:numPr>
        <w:spacing w:before="40" w:after="55"/>
      </w:pPr>
      <w:r>
        <w:rPr>
          <w:rFonts w:ascii="Arial" w:cs="Arial" w:eastAsia="Arial" w:hAnsi="Arial"/>
          <w:color w:val="1C2331"/>
          <w:sz w:val="22"/>
          <w:szCs w:val="22"/>
        </w:rPr>
        <w:t xml:space="preserve">Multi-account detection: The system detects when candidates operate multiple accounts to game the system — device fingerprinting, IP analysis, and behavioral pattern matching</w:t>
      </w:r>
    </w:p>
    <w:p>
      <w:pPr>
        <w:pStyle w:val="ListParagraph"/>
        <w:numPr>
          <w:ilvl w:val="0"/>
          <w:numId w:val="2"/>
        </w:numPr>
        <w:spacing w:before="40" w:after="55"/>
      </w:pPr>
      <w:r>
        <w:rPr>
          <w:rFonts w:ascii="Arial" w:cs="Arial" w:eastAsia="Arial" w:hAnsi="Arial"/>
          <w:color w:val="1C2331"/>
          <w:sz w:val="22"/>
          <w:szCs w:val="22"/>
        </w:rPr>
        <w:t xml:space="preserve">Rating manipulation detection: ELO patterns that suggest coordinated losing/winning are automatically flagged for investigation</w:t>
      </w:r>
    </w:p>
    <w:p>
      <w:pPr>
        <w:pStyle w:val="ListParagraph"/>
        <w:numPr>
          <w:ilvl w:val="0"/>
          <w:numId w:val="2"/>
        </w:numPr>
        <w:spacing w:before="40" w:after="55"/>
      </w:pPr>
      <w:r>
        <w:rPr>
          <w:rFonts w:ascii="Arial" w:cs="Arial" w:eastAsia="Arial" w:hAnsi="Arial"/>
          <w:color w:val="1C2331"/>
          <w:sz w:val="22"/>
          <w:szCs w:val="22"/>
        </w:rPr>
        <w:t xml:space="preserve">GD collusion detection: If a group of candidates consistently give each other unusually high peer scores, a collusion flag is raised — scores are weighted against peers' historical scoring behavior</w:t>
      </w:r>
    </w:p>
    <w:p>
      <w:pPr>
        <w:pStyle w:val="ListParagraph"/>
        <w:numPr>
          <w:ilvl w:val="0"/>
          <w:numId w:val="2"/>
        </w:numPr>
        <w:spacing w:before="40" w:after="55"/>
      </w:pPr>
      <w:r>
        <w:rPr>
          <w:rFonts w:ascii="Arial" w:cs="Arial" w:eastAsia="Arial" w:hAnsi="Arial"/>
          <w:color w:val="1C2331"/>
          <w:sz w:val="22"/>
          <w:szCs w:val="22"/>
        </w:rPr>
        <w:t xml:space="preserve">Certificate falsification: The Certificate Authenticity Classifier validates all third-party certificates submitted — falsified credentials are flagged and may result in account action</w:t>
      </w:r>
    </w:p>
    <w:p>
      <w:pPr>
        <w:pStyle w:val="ListParagraph"/>
        <w:numPr>
          <w:ilvl w:val="0"/>
          <w:numId w:val="2"/>
        </w:numPr>
        <w:spacing w:before="40" w:after="55"/>
      </w:pPr>
      <w:r>
        <w:rPr>
          <w:rFonts w:ascii="Arial" w:cs="Arial" w:eastAsia="Arial" w:hAnsi="Arial"/>
          <w:color w:val="1C2331"/>
          <w:sz w:val="22"/>
          <w:szCs w:val="22"/>
        </w:rPr>
        <w:t xml:space="preserve">Skill fraud detection: SEC actively identifies skill claims that are inconsistent with behavioral evidence — flagged for review before passport entry</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12.3 Privacy &amp; Candidate Rights</w:t>
      </w:r>
    </w:p>
    <w:p>
      <w:pPr>
        <w:pStyle w:val="ListParagraph"/>
        <w:numPr>
          <w:ilvl w:val="0"/>
          <w:numId w:val="2"/>
        </w:numPr>
        <w:spacing w:before="40" w:after="55"/>
      </w:pPr>
      <w:r>
        <w:rPr>
          <w:rFonts w:ascii="Arial" w:cs="Arial" w:eastAsia="Arial" w:hAnsi="Arial"/>
          <w:color w:val="1C2331"/>
          <w:sz w:val="22"/>
          <w:szCs w:val="22"/>
        </w:rPr>
        <w:t xml:space="preserve">Data minimization: Platform collects only what is necessary for each specific function — no data collected 'just in case'</w:t>
      </w:r>
    </w:p>
    <w:p>
      <w:pPr>
        <w:pStyle w:val="ListParagraph"/>
        <w:numPr>
          <w:ilvl w:val="0"/>
          <w:numId w:val="2"/>
        </w:numPr>
        <w:spacing w:before="40" w:after="55"/>
      </w:pPr>
      <w:r>
        <w:rPr>
          <w:rFonts w:ascii="Arial" w:cs="Arial" w:eastAsia="Arial" w:hAnsi="Arial"/>
          <w:color w:val="1C2331"/>
          <w:sz w:val="22"/>
          <w:szCs w:val="22"/>
        </w:rPr>
        <w:t xml:space="preserve">GD session privacy: Participant identities may be anonymized in cross-institute sessions per privacy governance rules</w:t>
      </w:r>
    </w:p>
    <w:p>
      <w:pPr>
        <w:pStyle w:val="ListParagraph"/>
        <w:numPr>
          <w:ilvl w:val="0"/>
          <w:numId w:val="2"/>
        </w:numPr>
        <w:spacing w:before="40" w:after="55"/>
      </w:pPr>
      <w:r>
        <w:rPr>
          <w:rFonts w:ascii="Arial" w:cs="Arial" w:eastAsia="Arial" w:hAnsi="Arial"/>
          <w:color w:val="1C2331"/>
          <w:sz w:val="22"/>
          <w:szCs w:val="22"/>
        </w:rPr>
        <w:t xml:space="preserve">Transcript privacy redaction: Personal information is redacted from stored transcripts before storage</w:t>
      </w:r>
    </w:p>
    <w:p>
      <w:pPr>
        <w:pStyle w:val="ListParagraph"/>
        <w:numPr>
          <w:ilvl w:val="0"/>
          <w:numId w:val="2"/>
        </w:numPr>
        <w:spacing w:before="40" w:after="55"/>
      </w:pPr>
      <w:r>
        <w:rPr>
          <w:rFonts w:ascii="Arial" w:cs="Arial" w:eastAsia="Arial" w:hAnsi="Arial"/>
          <w:color w:val="1C2331"/>
          <w:sz w:val="22"/>
          <w:szCs w:val="22"/>
        </w:rPr>
        <w:t xml:space="preserve">Consent management: Candidates control which data can be shared with which parties — granular consent controls</w:t>
      </w:r>
    </w:p>
    <w:p>
      <w:pPr>
        <w:pStyle w:val="ListParagraph"/>
        <w:numPr>
          <w:ilvl w:val="0"/>
          <w:numId w:val="2"/>
        </w:numPr>
        <w:spacing w:before="40" w:after="55"/>
      </w:pPr>
      <w:r>
        <w:rPr>
          <w:rFonts w:ascii="Arial" w:cs="Arial" w:eastAsia="Arial" w:hAnsi="Arial"/>
          <w:color w:val="1C2331"/>
          <w:sz w:val="22"/>
          <w:szCs w:val="22"/>
        </w:rPr>
        <w:t xml:space="preserve">Right to access: Candidates can download their complete data record at any time</w:t>
      </w:r>
    </w:p>
    <w:p>
      <w:pPr>
        <w:pStyle w:val="ListParagraph"/>
        <w:numPr>
          <w:ilvl w:val="0"/>
          <w:numId w:val="2"/>
        </w:numPr>
        <w:spacing w:before="40" w:after="55"/>
      </w:pPr>
      <w:r>
        <w:rPr>
          <w:rFonts w:ascii="Arial" w:cs="Arial" w:eastAsia="Arial" w:hAnsi="Arial"/>
          <w:color w:val="1C2331"/>
          <w:sz w:val="22"/>
          <w:szCs w:val="22"/>
        </w:rPr>
        <w:t xml:space="preserve">Right to dispute: Candidates can formally dispute any assessment outcome — dispute enters a governed review queue with defined SLA periods</w:t>
      </w:r>
    </w:p>
    <w:p>
      <w:pPr>
        <w:pStyle w:val="ListParagraph"/>
        <w:numPr>
          <w:ilvl w:val="0"/>
          <w:numId w:val="2"/>
        </w:numPr>
        <w:spacing w:before="40" w:after="55"/>
      </w:pPr>
      <w:r>
        <w:rPr>
          <w:rFonts w:ascii="Arial" w:cs="Arial" w:eastAsia="Arial" w:hAnsi="Arial"/>
          <w:color w:val="1C2331"/>
          <w:sz w:val="22"/>
          <w:szCs w:val="22"/>
        </w:rPr>
        <w:t xml:space="preserve">Parent visibility: For minor candidates, parents receive read-only visibility into skill progress — not access to assessment detail</w:t>
      </w:r>
    </w:p>
    <w:p>
      <w:pPr>
        <w:spacing w:before="80" w:after="0"/>
      </w:pPr>
      <w:r>
        <w:rPr>
          <w:rFonts w:ascii="Arial" w:cs="Arial" w:eastAsia="Arial" w:hAnsi="Arial"/>
          <w:color w:val="1C2331"/>
          <w:sz w:val="22"/>
          <w:szCs w:val="22"/>
        </w:rPr>
        <w:t xml:space="preserve"/>
      </w:r>
    </w:p>
    <w:p>
      <w:pPr>
        <w:pStyle w:val="Heading2"/>
        <w:spacing w:before="300" w:after="120"/>
      </w:pPr>
      <w:r>
        <w:rPr>
          <w:rFonts w:ascii="Arial" w:cs="Arial" w:eastAsia="Arial" w:hAnsi="Arial"/>
          <w:b/>
          <w:bCs/>
          <w:color w:val="0B6E6E"/>
          <w:sz w:val="30"/>
          <w:szCs w:val="30"/>
        </w:rPr>
        <w:t xml:space="preserve">12.4 RBAC &amp; Entitlement Governance</w:t>
      </w:r>
    </w:p>
    <w:p>
      <w:pPr>
        <w:pStyle w:val="ListParagraph"/>
        <w:numPr>
          <w:ilvl w:val="0"/>
          <w:numId w:val="2"/>
        </w:numPr>
        <w:spacing w:before="40" w:after="55"/>
      </w:pPr>
      <w:r>
        <w:rPr>
          <w:rFonts w:ascii="Arial" w:cs="Arial" w:eastAsia="Arial" w:hAnsi="Arial"/>
          <w:color w:val="1C2331"/>
          <w:sz w:val="22"/>
          <w:szCs w:val="22"/>
        </w:rPr>
        <w:t xml:space="preserve">Role-based access: Every feature is governed by a role permission — candidates, mentors, recruiter, institute admin, and platform admin each see only what their role permits</w:t>
      </w:r>
    </w:p>
    <w:p>
      <w:pPr>
        <w:pStyle w:val="ListParagraph"/>
        <w:numPr>
          <w:ilvl w:val="0"/>
          <w:numId w:val="2"/>
        </w:numPr>
        <w:spacing w:before="40" w:after="55"/>
      </w:pPr>
      <w:r>
        <w:rPr>
          <w:rFonts w:ascii="Arial" w:cs="Arial" w:eastAsia="Arial" w:hAnsi="Arial"/>
          <w:color w:val="1C2331"/>
          <w:sz w:val="22"/>
          <w:szCs w:val="22"/>
        </w:rPr>
        <w:t xml:space="preserve">Subscription entitlement: Feature access is tied to the candidate's subscription plan — API-level enforcement ensures no feature can be accessed without the appropriate plan</w:t>
      </w:r>
    </w:p>
    <w:p>
      <w:pPr>
        <w:pStyle w:val="ListParagraph"/>
        <w:numPr>
          <w:ilvl w:val="0"/>
          <w:numId w:val="2"/>
        </w:numPr>
        <w:spacing w:before="40" w:after="55"/>
      </w:pPr>
      <w:r>
        <w:rPr>
          <w:rFonts w:ascii="Arial" w:cs="Arial" w:eastAsia="Arial" w:hAnsi="Arial"/>
          <w:color w:val="1C2331"/>
          <w:sz w:val="22"/>
          <w:szCs w:val="22"/>
        </w:rPr>
        <w:t xml:space="preserve">Tenant isolation: Institute A's candidate data cannot be accessed by Institute B — enforced at database, service, and API levels simultaneously</w:t>
      </w:r>
    </w:p>
    <w:p>
      <w:pPr>
        <w:pStyle w:val="ListParagraph"/>
        <w:numPr>
          <w:ilvl w:val="0"/>
          <w:numId w:val="2"/>
        </w:numPr>
        <w:spacing w:before="40" w:after="55"/>
      </w:pPr>
      <w:r>
        <w:rPr>
          <w:rFonts w:ascii="Arial" w:cs="Arial" w:eastAsia="Arial" w:hAnsi="Arial"/>
          <w:color w:val="1C2331"/>
          <w:sz w:val="22"/>
          <w:szCs w:val="22"/>
        </w:rPr>
        <w:t xml:space="preserve">Domain isolation: Arts domain skills cannot pollute Science domain assessments — domain walls are enforced in the skill vector computation</w:t>
      </w:r>
    </w:p>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13. System Integration Map — How All Components Connect</w:t>
      </w:r>
    </w:p>
    <w:p>
      <w:pPr>
        <w:spacing w:before="60" w:after="80"/>
      </w:pPr>
      <w:r>
        <w:rPr>
          <w:rFonts w:ascii="Arial" w:cs="Arial" w:eastAsia="Arial" w:hAnsi="Arial"/>
          <w:color w:val="1C2331"/>
          <w:sz w:val="22"/>
          <w:szCs w:val="22"/>
        </w:rPr>
        <w:t xml:space="preserve">The Skill Competency System is not a standalone feature — it is deeply integrated with every other major system on the EcoSkiller platform. Understanding how these integrations work explains why the SCS is the connective tissue of the entire platform.</w:t>
      </w:r>
    </w:p>
    <w:p>
      <w:pPr>
        <w:spacing w:before="8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rPr>
          <w:tblHeader/>
        </w:trPr>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Connected System</w:t>
            </w:r>
          </w:p>
        </w:tc>
        <w:tc>
          <w:tcPr>
            <w:tcW w:type="dxa" w:w="29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Integration Point</w:t>
            </w:r>
          </w:p>
        </w:tc>
        <w:tc>
          <w:tcPr>
            <w:tcW w:type="dxa" w:w="40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Exchange</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Job Matching Engine</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Vector → Job Requirements matching</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Candidate's skill vector is the primary input to all job matching algorithms; match score drives application 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Recruiter Interface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Passport data → Recruiter dashboard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Recruiters see verified skill records, GD history, tournament achievements — all sourced from the SCS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Campus Drive Eligibility</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Eligibility Score → Recruiter filter</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Institute uses Eligibility Score as the primary filter for which candidates see each campus drive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Project Marketplace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Vector → Project matching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Projects are matched to candidates based on skill vector alignment and minimum belt level requirements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Engine</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Belt level → Tournament seeding</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Belt level and ELO rating determine tournament bracket placement and difficulty calibration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Billing &amp; Subscription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Belt level → Feature entitlement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Subscription plan governs which SCS features a candidate can access; belt level governs tournament tier access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Certificate Issuance</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Assessment events → Certificate trigger</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Every qualifying assessment event automatically triggers certificate generation and DigiLocker push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Notification System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events → Candidate notifications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Score saves, belt promotions, XP milestones, streak achievements, and obsolescence warnings all trigger notifications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DigiLocker</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Certificates → Government storage</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Platform pushes all issued certificates to the candidate's DigiLocker within 24 hours of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Parent Portal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Progress data → Parent read-only view</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Parents of minor candidates see skill progress, Eligibility Score, and achievement milestones in read-only view</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Alumni Network</w:t>
            </w:r>
          </w:p>
        </w:tc>
        <w:tc>
          <w:tcPr>
            <w:tcW w:type="dxa" w:w="2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Career stage transitions → Alumni feed</w:t>
            </w:r>
          </w:p>
        </w:tc>
        <w:tc>
          <w:tcPr>
            <w:tcW w:type="dxa" w:w="4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When a candidate transitions from Student to Professional, their skill record becomes part of the alumni placement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Analytics &amp; Reporting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All SCS data → Department/Institute reports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Gap Reports, Cohort Analysis, and Placement Readiness Reports are all generated from SCS data</w:t>
            </w:r>
          </w:p>
        </w:tc>
      </w:tr>
    </w:tbl>
    <w:p>
      <w:pPr>
        <w:spacing w:before="160" w:after="0"/>
      </w:pPr>
      <w:r>
        <w:rPr>
          <w:rFonts w:ascii="Arial" w:cs="Arial" w:eastAsia="Arial" w:hAnsi="Arial"/>
          <w:color w:val="1C2331"/>
          <w:sz w:val="22"/>
          <w:szCs w:val="22"/>
        </w:rPr>
        <w:t xml:space="preserve"/>
      </w:r>
    </w:p>
    <w:p>
      <w:r>
        <w:br w:type="page"/>
      </w:r>
    </w:p>
    <w:p>
      <w:pPr>
        <w:pStyle w:val="Heading1"/>
        <w:pBdr>
          <w:bottom w:val="single" w:color="0D2B55" w:sz="10" w:space="4"/>
        </w:pBdr>
        <w:spacing w:before="400" w:after="200"/>
      </w:pPr>
      <w:r>
        <w:rPr>
          <w:rFonts w:ascii="Arial" w:cs="Arial" w:eastAsia="Arial" w:hAnsi="Arial"/>
          <w:b/>
          <w:bCs/>
          <w:color w:val="0D2B55"/>
          <w:sz w:val="40"/>
          <w:szCs w:val="40"/>
        </w:rPr>
        <w:t xml:space="preserve">14. Closing — System Summary</w:t>
      </w:r>
    </w:p>
    <w:p>
      <w:pPr>
        <w:spacing w:before="80" w:after="0"/>
      </w:pPr>
      <w:r>
        <w:rPr>
          <w:rFonts w:ascii="Arial" w:cs="Arial" w:eastAsia="Arial" w:hAnsi="Arial"/>
          <w:color w:val="1C233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Component</w:t>
            </w:r>
          </w:p>
        </w:tc>
        <w:tc>
          <w:tcPr>
            <w:tcW w:type="dxa" w:w="6960"/>
            <w:tcBorders>
              <w:top w:val="single" w:color="999999" w:sz="1"/>
              <w:left w:val="single" w:color="999999" w:sz="1"/>
              <w:bottom w:val="single" w:color="999999" w:sz="1"/>
              <w:right w:val="single" w:color="999999" w:sz="1"/>
            </w:tcBorders>
            <w:shd w:fill="0D2B5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Summary</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Taxonomy</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16 locked competency families; 3-level hierarchy (Family → Domain → Skill Node); v1.0 immutable; domain-isolated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Extraction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SEC Agent parses resumes, course completions, projects, GD transcripts, and tournament results into taxonomy nodes with confidence scores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Vector Model</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Multi-dimensional vector per candidate; includes proficiency level, confidence, evidence count, XP, belt, and last-active date per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GD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Deterministic formula scoring communication across 5 rounds; millisecond audit trail; auto-save within 5 minutes; variance anomaly detection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Tournament Assessment</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4-level competitive hierarchy (Institute→District→State→National); anti-cheat behavioral model; ELO-rated competitive performance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Project Assessment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Milestone-based evidence collection; mentor certification per milestone; portfolio auto-build on completion</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Belt Progression</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8 belt levels (White→Black); multi-criteria promotion (XP + matches + score + mentor + audit); auto-promotion forbidden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Confidence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Probabilistic confidence scores per belt assignment; inter-rater reliability tracking; mentor bias detection; promotion gates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ELO Ranking</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Chess-standard ELO for competitive skill ratings; strength-of-schedule adjusted; Swiss/double elimination/round-robin formats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XP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Inflation-resistant behavioral economics model; 16+ action types weighted by difficulty; streak engine; 8 level thresholds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Skill Passport</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Permanent, immutable, hash-signed records; multi-source verification; DigiLocker integration; real-time verification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Obsolescence Predictor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6-signal detection; 4 prediction horizons; S-curve + Gartner hype cycle models; successor technology mapping; reskilling triggers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AI Feedback (7-Layer)</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Immediate → Summary → Strengths → Gaps → Action Plan → Trend → Career Alignment; 3:1 actionable:critical ratio; psychologically safe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Improvement Planner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4-horizon planning (2-week sprint → 12-month vision); prerequisite-sequenced; realistic timelines; burnout prevention; course correction triggers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ASRA Recommendation</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10-signal weighted engine; prescriptive next-action; confidence score mandatory; trust gate required; 24hr recruiter signal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Market Benchmark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11-dimensional skill market intelligence; statistical significance required; weekly updates; salary prediction with confidence intervals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Eligibility Score</w:t>
            </w:r>
          </w:p>
        </w:tc>
        <w:tc>
          <w:tcPr>
            <w:tcW w:type="dxa" w:w="69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6-component composite (LMS 25%, GD 20%, Tournament 15%, Projects 20%, Attendance 10%, Endorsements 10%); real-time; recruiter-visible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Placement Readiness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331"/>
                <w:sz w:val="20"/>
                <w:szCs w:val="20"/>
              </w:rPr>
              <w:t xml:space="preserve">GREEN/YELLOW/RED states with specific gap identification; peer benchmarking; recruiter preview; direct action links from each gap</w:t>
            </w:r>
          </w:p>
        </w:tc>
      </w:tr>
    </w:tbl>
    <w:p>
      <w:pPr>
        <w:spacing w:before="200" w:after="0"/>
      </w:pPr>
      <w:r>
        <w:rPr>
          <w:rFonts w:ascii="Arial" w:cs="Arial" w:eastAsia="Arial" w:hAnsi="Arial"/>
          <w:color w:val="1C2331"/>
          <w:sz w:val="22"/>
          <w:szCs w:val="22"/>
        </w:rPr>
        <w:t xml:space="preserve"/>
      </w:r>
    </w:p>
    <w:p>
      <w:pPr>
        <w:pBdr>
          <w:bottom w:val="single" w:color="0D2B55" w:sz="4" w:space="2"/>
        </w:pBdr>
        <w:spacing w:before="80" w:after="80"/>
      </w:pPr>
      <w:r>
        <w:rPr>
          <w:rFonts w:ascii="Arial" w:cs="Arial" w:eastAsia="Arial" w:hAnsi="Arial"/>
          <w:color w:val="1C2331"/>
          <w:sz w:val="22"/>
          <w:szCs w:val="22"/>
        </w:rPr>
        <w:t xml:space="preserve"/>
      </w:r>
    </w:p>
    <w:p>
      <w:pPr>
        <w:spacing w:before="80" w:after="0"/>
      </w:pPr>
      <w:r>
        <w:rPr>
          <w:rFonts w:ascii="Arial" w:cs="Arial" w:eastAsia="Arial" w:hAnsi="Arial"/>
          <w:color w:val="1C2331"/>
          <w:sz w:val="22"/>
          <w:szCs w:val="22"/>
        </w:rPr>
        <w:t xml:space="preserve"/>
      </w:r>
    </w:p>
    <w:p>
      <w:pPr>
        <w:jc w:val="center"/>
      </w:pPr>
      <w:r>
        <w:rPr>
          <w:rFonts w:ascii="Arial" w:cs="Arial" w:eastAsia="Arial" w:hAnsi="Arial"/>
          <w:color w:val="666666"/>
          <w:sz w:val="20"/>
          <w:szCs w:val="20"/>
        </w:rPr>
        <w:t xml:space="preserve">ECOSKILLER  |  Skill Competency System — Candidate Feature Guide  |  Version 1.0  |  2026</w:t>
      </w:r>
    </w:p>
    <w:p>
      <w:pPr>
        <w:spacing w:before="60" w:after="0"/>
        <w:jc w:val="center"/>
      </w:pPr>
      <w:r>
        <w:rPr>
          <w:rFonts w:ascii="Arial" w:cs="Arial" w:eastAsia="Arial" w:hAnsi="Arial"/>
          <w:i/>
          <w:iCs/>
          <w:color w:val="0B6E6E"/>
          <w:sz w:val="22"/>
          <w:szCs w:val="22"/>
        </w:rPr>
        <w:t xml:space="preserve">Every skill earned. Every proof preserved. Every career advanced.</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EcoSkiller Platform  |  Skill Competency System — Candidate Feature Guide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0D2B55" w:sz="6"/>
        <w:right w:val="none"/>
        <w:insideH w:val="single" w:color="auto" w:sz="4"/>
        <w:insideV w:val="single" w:color="auto" w:sz="4"/>
      </w:tblBorders>
    </w:tblPr>
    <w:tblGrid>
      <w:gridCol w:w="7000"/>
      <w:gridCol w:w="2720"/>
    </w:tblGrid>
    <w:tr>
      <w:tc>
        <w:tcPr>
          <w:tcW w:type="dxa" w:w="7000"/>
          <w:tcBorders>
            <w:top w:val="none"/>
            <w:left w:val="none"/>
            <w:bottom w:val="none"/>
            <w:right w:val="none"/>
          </w:tcBorders>
          <w:shd w:fill="FFFFFF" w:val="clear"/>
          <w:tcMar>
            <w:top w:type="dxa" w:w="60"/>
            <w:left w:type="dxa" w:w="0"/>
            <w:bottom w:type="dxa" w:w="60"/>
            <w:right w:type="dxa" w:w="0"/>
          </w:tcMar>
        </w:tcPr>
        <w:p>
          <w:r>
            <w:rPr>
              <w:rFonts w:ascii="Arial" w:cs="Arial" w:eastAsia="Arial" w:hAnsi="Arial"/>
              <w:b/>
              <w:bCs/>
              <w:color w:val="0D2B55"/>
              <w:sz w:val="28"/>
              <w:szCs w:val="28"/>
            </w:rPr>
            <w:t xml:space="preserve">ECOSKILLER</w:t>
          </w:r>
          <w:r>
            <w:rPr>
              <w:rFonts w:ascii="Arial" w:cs="Arial" w:eastAsia="Arial" w:hAnsi="Arial"/>
              <w:color w:val="666666"/>
              <w:sz w:val="21"/>
              <w:szCs w:val="21"/>
            </w:rPr>
            <w:t xml:space="preserve">  |  Skill Competency System for Candidate</w:t>
          </w:r>
        </w:p>
      </w:tc>
      <w:tc>
        <w:tcPr>
          <w:tcW w:type="dxa" w:w="2720"/>
          <w:tcBorders>
            <w:top w:val="none"/>
            <w:left w:val="none"/>
            <w:bottom w:val="none"/>
            <w:right w:val="none"/>
          </w:tcBorders>
          <w:shd w:fill="FFFFFF" w:val="clear"/>
          <w:tcMar>
            <w:top w:type="dxa" w:w="60"/>
            <w:left w:type="dxa" w:w="0"/>
            <w:bottom w:type="dxa" w:w="60"/>
            <w:right w:type="dxa" w:w="0"/>
          </w:tcMar>
        </w:tcPr>
        <w:p>
          <w:pPr>
            <w:jc w:val="right"/>
          </w:pPr>
          <w:r>
            <w:rPr>
              <w:rFonts w:ascii="Arial" w:cs="Arial" w:eastAsia="Arial" w:hAnsi="Arial"/>
              <w:color w:val="888888"/>
              <w:sz w:val="18"/>
              <w:szCs w:val="18"/>
            </w:rPr>
            <w:t xml:space="preserve">v1.0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2B55"/>
      <w:sz w:val="40"/>
      <w:szCs w:val="40"/>
    </w:rPr>
  </w:style>
  <w:style w:type="paragraph" w:styleId="Heading2">
    <w:name w:val="Heading 2"/>
    <w:basedOn w:val="Normal"/>
    <w:next w:val="Normal"/>
    <w:qFormat/>
    <w:pPr>
      <w:spacing w:before="300" w:after="120"/>
      <w:outlineLvl w:val="1"/>
    </w:pPr>
    <w:rPr>
      <w:rFonts w:ascii="Arial" w:cs="Arial" w:eastAsia="Arial" w:hAnsi="Arial"/>
      <w:b/>
      <w:bCs/>
      <w:color w:val="0B6E6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2026-03-10T07:50:25.152Z</dcterms:created>
  <dcterms:modified xsi:type="dcterms:W3CDTF">2026-03-10T07:50:25.153Z</dcterms:modified>
</cp:coreProperties>
</file>

<file path=docProps/custom.xml><?xml version="1.0" encoding="utf-8"?>
<Properties xmlns="http://schemas.openxmlformats.org/officeDocument/2006/custom-properties" xmlns:vt="http://schemas.openxmlformats.org/officeDocument/2006/docPropsVTypes"/>
</file>