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rFonts w:ascii="Arial" w:cs="Arial" w:eastAsia="Arial" w:hAnsi="Arial"/>
          <w:b/>
          <w:bCs/>
          <w:color w:val="1A6B47"/>
          <w:sz w:val="64"/>
          <w:szCs w:val="64"/>
        </w:rPr>
        <w:t xml:space="preserve">ECOSKILLER</w:t>
      </w:r>
    </w:p>
    <w:p>
      <w:pPr>
        <w:spacing w:before="0" w:after="80"/>
        <w:jc w:val="center"/>
      </w:pPr>
      <w:r>
        <w:rPr>
          <w:rFonts w:ascii="Arial" w:cs="Arial" w:eastAsia="Arial" w:hAnsi="Arial"/>
          <w:b/>
          <w:bCs/>
          <w:color w:val="0D3B26"/>
          <w:sz w:val="38"/>
          <w:szCs w:val="38"/>
        </w:rPr>
        <w:t xml:space="preserve">Candidate Subscription Plans</w:t>
      </w:r>
    </w:p>
    <w:p>
      <w:pPr>
        <w:spacing w:before="0" w:after="300"/>
        <w:jc w:val="center"/>
      </w:pPr>
      <w:r>
        <w:rPr>
          <w:rFonts w:ascii="Arial" w:cs="Arial" w:eastAsia="Arial" w:hAnsi="Arial"/>
          <w:i/>
          <w:iCs/>
          <w:color w:val="64748B"/>
          <w:sz w:val="22"/>
          <w:szCs w:val="22"/>
        </w:rPr>
        <w:t xml:space="preserve">In-Depth Analysis &amp; 30 Viral Organic Growth Ideas  |  Candidate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0D3B2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FREE</w:t>
            </w:r>
          </w:p>
        </w:tc>
        <w:tc>
          <w:tcPr>
            <w:tcW w:type="dxa" w:w="2340"/>
            <w:tcBorders>
              <w:top w:val="single" w:color="CBD5E1" w:sz="4"/>
              <w:left w:val="single" w:color="CBD5E1" w:sz="4"/>
              <w:bottom w:val="single" w:color="CBD5E1" w:sz="4"/>
              <w:right w:val="single" w:color="CBD5E1" w:sz="4"/>
            </w:tcBorders>
            <w:shd w:fill="1A6B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BASIC</w:t>
            </w:r>
          </w:p>
        </w:tc>
        <w:tc>
          <w:tcPr>
            <w:tcW w:type="dxa" w:w="2340"/>
            <w:tcBorders>
              <w:top w:val="single" w:color="CBD5E1" w:sz="4"/>
              <w:left w:val="single" w:color="CBD5E1" w:sz="4"/>
              <w:bottom w:val="single" w:color="CBD5E1" w:sz="4"/>
              <w:right w:val="single" w:color="CBD5E1" w:sz="4"/>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w:t>
            </w:r>
          </w:p>
        </w:tc>
        <w:tc>
          <w:tcPr>
            <w:tcW w:type="dxa" w:w="2340"/>
            <w:tcBorders>
              <w:top w:val="single" w:color="CBD5E1" w:sz="4"/>
              <w:left w:val="single" w:color="CBD5E1" w:sz="4"/>
              <w:bottom w:val="single" w:color="CBD5E1" w:sz="4"/>
              <w:right w:val="single" w:color="CBD5E1" w:sz="4"/>
            </w:tcBorders>
            <w:shd w:fill="D9770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ELITE</w:t>
            </w:r>
          </w:p>
        </w:tc>
      </w:tr>
      <w:tr>
        <w:tc>
          <w:tcPr>
            <w:tcW w:type="dxa" w:w="2340"/>
            <w:tcBorders>
              <w:top w:val="single" w:color="CBD5E1" w:sz="4"/>
              <w:left w:val="single" w:color="CBD5E1" w:sz="4"/>
              <w:bottom w:val="single" w:color="CBD5E1" w:sz="4"/>
              <w:right w:val="single" w:color="CBD5E1" w:sz="4"/>
            </w:tcBorders>
            <w:shd w:fill="E6F4EE" w:val="clear"/>
            <w:tcMar>
              <w:top w:type="dxa" w:w="100"/>
              <w:left w:type="dxa" w:w="140"/>
              <w:bottom w:type="dxa" w:w="100"/>
              <w:right w:type="dxa" w:w="140"/>
            </w:tcMar>
          </w:tcPr>
          <w:p>
            <w:pPr>
              <w:jc w:val="center"/>
            </w:pPr>
            <w:r>
              <w:rPr>
                <w:rFonts w:ascii="Arial" w:cs="Arial" w:eastAsia="Arial" w:hAnsi="Arial"/>
                <w:b w:val="false"/>
                <w:bCs w:val="false"/>
                <w:color w:val="1E293B"/>
                <w:sz w:val="18"/>
                <w:szCs w:val="18"/>
              </w:rPr>
              <w:t xml:space="preserve">Explore &amp; Discover</w:t>
            </w:r>
          </w:p>
        </w:tc>
        <w:tc>
          <w:tcPr>
            <w:tcW w:type="dxa" w:w="2340"/>
            <w:tcBorders>
              <w:top w:val="single" w:color="CBD5E1" w:sz="4"/>
              <w:left w:val="single" w:color="CBD5E1" w:sz="4"/>
              <w:bottom w:val="single" w:color="CBD5E1" w:sz="4"/>
              <w:right w:val="single" w:color="CBD5E1" w:sz="4"/>
            </w:tcBorders>
            <w:shd w:fill="E6F4EE" w:val="clear"/>
            <w:tcMar>
              <w:top w:type="dxa" w:w="100"/>
              <w:left w:type="dxa" w:w="140"/>
              <w:bottom w:type="dxa" w:w="100"/>
              <w:right w:type="dxa" w:w="140"/>
            </w:tcMar>
          </w:tcPr>
          <w:p>
            <w:pPr>
              <w:jc w:val="center"/>
            </w:pPr>
            <w:r>
              <w:rPr>
                <w:rFonts w:ascii="Arial" w:cs="Arial" w:eastAsia="Arial" w:hAnsi="Arial"/>
                <w:b w:val="false"/>
                <w:bCs w:val="false"/>
                <w:color w:val="1E293B"/>
                <w:sz w:val="18"/>
                <w:szCs w:val="18"/>
              </w:rPr>
              <w:t xml:space="preserve">Build &amp; Apply</w:t>
            </w:r>
          </w:p>
        </w:tc>
        <w:tc>
          <w:tcPr>
            <w:tcW w:type="dxa" w:w="234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40"/>
            </w:tcMar>
          </w:tcPr>
          <w:p>
            <w:pPr>
              <w:jc w:val="center"/>
            </w:pPr>
            <w:r>
              <w:rPr>
                <w:rFonts w:ascii="Arial" w:cs="Arial" w:eastAsia="Arial" w:hAnsi="Arial"/>
                <w:b w:val="false"/>
                <w:bCs w:val="false"/>
                <w:color w:val="1E293B"/>
                <w:sz w:val="18"/>
                <w:szCs w:val="18"/>
              </w:rPr>
              <w:t xml:space="preserve">Compete &amp; Grow</w:t>
            </w:r>
          </w:p>
        </w:tc>
        <w:tc>
          <w:tcPr>
            <w:tcW w:type="dxa" w:w="234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jc w:val="center"/>
            </w:pPr>
            <w:r>
              <w:rPr>
                <w:rFonts w:ascii="Arial" w:cs="Arial" w:eastAsia="Arial" w:hAnsi="Arial"/>
                <w:b w:val="false"/>
                <w:bCs w:val="false"/>
                <w:color w:val="1E293B"/>
                <w:sz w:val="18"/>
                <w:szCs w:val="18"/>
              </w:rPr>
              <w:t xml:space="preserve">Lead &amp; Master</w:t>
            </w:r>
          </w:p>
        </w:tc>
      </w:tr>
    </w:tbl>
    <w:p>
      <w:pPr>
        <w:spacing w:before="300" w:after="0"/>
      </w:pPr>
      <w:r>
        <w:t xml:space="preserve"/>
      </w:r>
    </w:p>
    <w:p>
      <w:pPr>
        <w:pBdr>
          <w:bottom w:val="single" w:color="1A6B47" w:sz="8" w:space="4"/>
        </w:pBdr>
        <w:spacing w:before="340" w:after="140"/>
      </w:pPr>
      <w:r>
        <w:rPr>
          <w:rFonts w:ascii="Arial" w:cs="Arial" w:eastAsia="Arial" w:hAnsi="Arial"/>
          <w:b/>
          <w:bCs/>
          <w:color w:val="0D3B26"/>
          <w:sz w:val="30"/>
          <w:szCs w:val="30"/>
        </w:rPr>
        <w:t xml:space="preserve">PART 1 — CRITICAL ANALYSIS: CANDIDATE SUBSCRIPTION PLANS</w:t>
      </w:r>
    </w:p>
    <w:p>
      <w:pPr>
        <w:spacing w:before="60" w:after="80"/>
        <w:jc w:val="left"/>
      </w:pPr>
      <w:r>
        <w:rPr>
          <w:rFonts w:ascii="Arial" w:cs="Arial" w:eastAsia="Arial" w:hAnsi="Arial"/>
          <w:b w:val="false"/>
          <w:bCs w:val="false"/>
          <w:i w:val="false"/>
          <w:iCs w:val="false"/>
          <w:color w:val="64748B"/>
          <w:sz w:val="20"/>
          <w:szCs w:val="20"/>
        </w:rPr>
        <w:t xml:space="preserve">EcoSkiller's 4-tier subscription architecture is a well-designed career-acceleration funnel. Each tier doesn't merely add features — it unlocks a fundamentally different career capability. This analysis evaluates the system across five critical dimensions: architecture logic, value density per tier, conversion mechanics, competitive positioning, and gaps requiring action.</w:t>
      </w:r>
    </w:p>
    <w:p>
      <w:pPr>
        <w:spacing w:before="80" w:after="0"/>
      </w:pPr>
      <w:r>
        <w:t xml:space="preserve"/>
      </w:r>
    </w:p>
    <w:p>
      <w:pPr>
        <w:spacing w:before="220" w:after="100"/>
      </w:pPr>
      <w:r>
        <w:rPr>
          <w:rFonts w:ascii="Arial" w:cs="Arial" w:eastAsia="Arial" w:hAnsi="Arial"/>
          <w:b/>
          <w:bCs/>
          <w:color w:val="1A6B47"/>
          <w:sz w:val="24"/>
          <w:szCs w:val="24"/>
        </w:rPr>
        <w:t xml:space="preserve">1.1  Architecture Logic — The Four-Tier Funnel</w:t>
      </w:r>
    </w:p>
    <w:p>
      <w:pPr>
        <w:spacing w:before="60" w:after="80"/>
        <w:jc w:val="left"/>
      </w:pPr>
      <w:r>
        <w:rPr>
          <w:rFonts w:ascii="Arial" w:cs="Arial" w:eastAsia="Arial" w:hAnsi="Arial"/>
          <w:b w:val="false"/>
          <w:bCs w:val="false"/>
          <w:i w:val="false"/>
          <w:iCs w:val="false"/>
          <w:color w:val="1E293B"/>
          <w:sz w:val="20"/>
          <w:szCs w:val="20"/>
        </w:rPr>
        <w:t xml:space="preserve">The subscription model follows a classic SaaS freemium structure, but with a critical differentiator: each tier shifts the candidate's positioning in a recruiter's eyes, not just their access to platform features. This is the system's primary strategic strength.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c>
          <w:tcPr>
            <w:tcW w:type="dxa" w:w="15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Plan</w:t>
            </w:r>
          </w:p>
        </w:tc>
        <w:tc>
          <w:tcPr>
            <w:tcW w:type="dxa" w:w="26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Core Unlock</w:t>
            </w:r>
          </w:p>
        </w:tc>
        <w:tc>
          <w:tcPr>
            <w:tcW w:type="dxa" w:w="52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Role in Conversion Funnel</w:t>
            </w:r>
          </w:p>
        </w:tc>
      </w:tr>
      <w:tr>
        <w:tc>
          <w:tcPr>
            <w:tcW w:type="dxa" w:w="1500"/>
            <w:tcBorders>
              <w:top w:val="single" w:color="CBD5E1" w:sz="4"/>
              <w:left w:val="single" w:color="CBD5E1" w:sz="4"/>
              <w:bottom w:val="single" w:color="CBD5E1" w:sz="4"/>
              <w:right w:val="single" w:color="CBD5E1" w:sz="4"/>
            </w:tcBorders>
            <w:shd w:fill="E6F4EE" w:val="clear"/>
            <w:tcMar>
              <w:top w:type="dxa" w:w="100"/>
              <w:left w:type="dxa" w:w="140"/>
              <w:bottom w:type="dxa" w:w="100"/>
              <w:right w:type="dxa" w:w="140"/>
            </w:tcMar>
          </w:tcPr>
          <w:p>
            <w:pPr>
              <w:jc w:val="left"/>
            </w:pPr>
            <w:r>
              <w:rPr>
                <w:rFonts w:ascii="Arial" w:cs="Arial" w:eastAsia="Arial" w:hAnsi="Arial"/>
                <w:b/>
                <w:bCs/>
                <w:color w:val="1E293B"/>
                <w:sz w:val="18"/>
                <w:szCs w:val="18"/>
              </w:rPr>
              <w:t xml:space="preserve">FREE</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Discovery + Curiosity Gap</w:t>
            </w:r>
          </w:p>
        </w:tc>
        <w:tc>
          <w:tcPr>
            <w:tcW w:type="dxa" w:w="5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Acquisition engine. 5-application limit and blurred passport features create the curiosity gap that makes upgrading feel necessary, not optional.</w:t>
            </w:r>
          </w:p>
        </w:tc>
      </w:tr>
      <w:tr>
        <w:tc>
          <w:tcPr>
            <w:tcW w:type="dxa" w:w="1500"/>
            <w:tcBorders>
              <w:top w:val="single" w:color="CBD5E1" w:sz="4"/>
              <w:left w:val="single" w:color="CBD5E1" w:sz="4"/>
              <w:bottom w:val="single" w:color="CBD5E1" w:sz="4"/>
              <w:right w:val="single" w:color="CBD5E1" w:sz="4"/>
            </w:tcBorders>
            <w:shd w:fill="E6F4EE" w:val="clear"/>
            <w:tcMar>
              <w:top w:type="dxa" w:w="100"/>
              <w:left w:type="dxa" w:w="140"/>
              <w:bottom w:type="dxa" w:w="100"/>
              <w:right w:type="dxa" w:w="140"/>
            </w:tcMar>
          </w:tcPr>
          <w:p>
            <w:pPr>
              <w:jc w:val="left"/>
            </w:pPr>
            <w:r>
              <w:rPr>
                <w:rFonts w:ascii="Arial" w:cs="Arial" w:eastAsia="Arial" w:hAnsi="Arial"/>
                <w:b/>
                <w:bCs/>
                <w:color w:val="1E293B"/>
                <w:sz w:val="18"/>
                <w:szCs w:val="18"/>
              </w:rPr>
              <w:t xml:space="preserve">BASIC</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Verified Identity + Active Application</w:t>
            </w:r>
          </w:p>
        </w:tc>
        <w:tc>
          <w:tcPr>
            <w:tcW w:type="dxa" w:w="5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Trust establishment. The Verified Badge and 25 applications make the candidate credible to recruiters. Key conversion from passive visitor to active job seeker.</w:t>
            </w:r>
          </w:p>
        </w:tc>
      </w:tr>
      <w:tr>
        <w:tc>
          <w:tcPr>
            <w:tcW w:type="dxa" w:w="15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40"/>
            </w:tcMar>
          </w:tcPr>
          <w:p>
            <w:pPr>
              <w:jc w:val="left"/>
            </w:pPr>
            <w:r>
              <w:rPr>
                <w:rFonts w:ascii="Arial" w:cs="Arial" w:eastAsia="Arial" w:hAnsi="Arial"/>
                <w:b/>
                <w:bCs/>
                <w:color w:val="1E293B"/>
                <w:sz w:val="18"/>
                <w:szCs w:val="18"/>
              </w:rPr>
              <w:t xml:space="preserve">PRO</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Full Competitive Capability</w:t>
            </w:r>
          </w:p>
        </w:tc>
        <w:tc>
          <w:tcPr>
            <w:tcW w:type="dxa" w:w="5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Value maximisation. Unlimited applications + AI matching + certifications + tournaments + project marketplace = complete career acceleration ecosystem. This is the commercial core.</w:t>
            </w:r>
          </w:p>
        </w:tc>
      </w:tr>
      <w:tr>
        <w:tc>
          <w:tcPr>
            <w:tcW w:type="dxa" w:w="15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jc w:val="left"/>
            </w:pPr>
            <w:r>
              <w:rPr>
                <w:rFonts w:ascii="Arial" w:cs="Arial" w:eastAsia="Arial" w:hAnsi="Arial"/>
                <w:b/>
                <w:bCs/>
                <w:color w:val="1E293B"/>
                <w:sz w:val="18"/>
                <w:szCs w:val="18"/>
              </w:rPr>
              <w:t xml:space="preserve">ELITE</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Platform Leadership + Revenue</w:t>
            </w:r>
          </w:p>
        </w:tc>
        <w:tc>
          <w:tcPr>
            <w:tcW w:type="dxa" w:w="52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Retention + lifetime value. Revenue share, immutable passport, IP protection, and mentoring rights create switching costs so high that churning becomes irrational.</w:t>
            </w:r>
          </w:p>
        </w:tc>
      </w:tr>
    </w:tbl>
    <w:p>
      <w:pPr>
        <w:spacing w:before="120" w:after="0"/>
      </w:pPr>
      <w:r>
        <w:t xml:space="preserve"/>
      </w:r>
    </w:p>
    <w:p>
      <w:pPr>
        <w:spacing w:before="220" w:after="100"/>
      </w:pPr>
      <w:r>
        <w:rPr>
          <w:rFonts w:ascii="Arial" w:cs="Arial" w:eastAsia="Arial" w:hAnsi="Arial"/>
          <w:b/>
          <w:bCs/>
          <w:color w:val="1A6B47"/>
          <w:sz w:val="24"/>
          <w:szCs w:val="24"/>
        </w:rPr>
        <w:t xml:space="preserve">1.2  Strengths — What Works Very Well</w:t>
      </w:r>
    </w:p>
    <w:p>
      <w:pPr>
        <w:pStyle w:val="ListParagraph"/>
        <w:numPr>
          <w:ilvl w:val="0"/>
          <w:numId w:val="2"/>
        </w:numPr>
        <w:spacing w:before="40" w:after="60"/>
      </w:pPr>
      <w:r>
        <w:rPr>
          <w:rFonts w:ascii="Arial" w:cs="Arial" w:eastAsia="Arial" w:hAnsi="Arial"/>
          <w:b/>
          <w:bCs/>
          <w:color w:val="1A6B47"/>
          <w:sz w:val="20"/>
          <w:szCs w:val="20"/>
        </w:rPr>
        <w:t xml:space="preserve">Career Stage Automation: </w:t>
      </w:r>
      <w:r>
        <w:rPr>
          <w:rFonts w:ascii="Arial" w:cs="Arial" w:eastAsia="Arial" w:hAnsi="Arial"/>
          <w:color w:val="1E293B"/>
          <w:sz w:val="20"/>
          <w:szCs w:val="20"/>
        </w:rPr>
        <w:t xml:space="preserve">The Career Lifecycle State Machine (Student → Job Seeker → Professional → Mentor → Retired) that auto-transitions based on real data events is a genuine innovation. No competitor does this with this level of automation — it makes the platform feel alive and responsive to the candidate's real situation.</w:t>
      </w:r>
    </w:p>
    <w:p>
      <w:pPr>
        <w:pStyle w:val="ListParagraph"/>
        <w:numPr>
          <w:ilvl w:val="0"/>
          <w:numId w:val="2"/>
        </w:numPr>
        <w:spacing w:before="40" w:after="60"/>
      </w:pPr>
      <w:r>
        <w:rPr>
          <w:rFonts w:ascii="Arial" w:cs="Arial" w:eastAsia="Arial" w:hAnsi="Arial"/>
          <w:b/>
          <w:bCs/>
          <w:color w:val="1A6B47"/>
          <w:sz w:val="20"/>
          <w:szCs w:val="20"/>
        </w:rPr>
        <w:t xml:space="preserve">Immutable Skill Passport: </w:t>
      </w:r>
      <w:r>
        <w:rPr>
          <w:rFonts w:ascii="Arial" w:cs="Arial" w:eastAsia="Arial" w:hAnsi="Arial"/>
          <w:color w:val="1E293B"/>
          <w:sz w:val="20"/>
          <w:szCs w:val="20"/>
        </w:rPr>
        <w:t xml:space="preserve">The Lifetime Skill Passport's append-only, hash-signed, DigiLocker-integrated architecture makes it a credible alternative to academic transcripts. Employers can verify records in real time via API. This is a structural trust moat that cannot be replicated quickly by competitors.</w:t>
      </w:r>
    </w:p>
    <w:p>
      <w:pPr>
        <w:pStyle w:val="ListParagraph"/>
        <w:numPr>
          <w:ilvl w:val="0"/>
          <w:numId w:val="2"/>
        </w:numPr>
        <w:spacing w:before="40" w:after="60"/>
      </w:pPr>
      <w:r>
        <w:rPr>
          <w:rFonts w:ascii="Arial" w:cs="Arial" w:eastAsia="Arial" w:hAnsi="Arial"/>
          <w:b/>
          <w:bCs/>
          <w:color w:val="1A6B47"/>
          <w:sz w:val="20"/>
          <w:szCs w:val="20"/>
        </w:rPr>
        <w:t xml:space="preserve">Bias-Free GD Evaluation: </w:t>
      </w:r>
      <w:r>
        <w:rPr>
          <w:rFonts w:ascii="Arial" w:cs="Arial" w:eastAsia="Arial" w:hAnsi="Arial"/>
          <w:color w:val="1E293B"/>
          <w:sz w:val="20"/>
          <w:szCs w:val="20"/>
        </w:rPr>
        <w:t xml:space="preserve">The Dojo GD System's deterministic formula (Turns × 10 + Time × 10 − Interrupts × 2 − Silences × 3 + Open Discussion Bonus) eliminates the #1 complaint about GD evaluation in Indian placements: human bias. Objective, reproducible scoring is a structural differentiator.</w:t>
      </w:r>
    </w:p>
    <w:p>
      <w:pPr>
        <w:pStyle w:val="ListParagraph"/>
        <w:numPr>
          <w:ilvl w:val="0"/>
          <w:numId w:val="2"/>
        </w:numPr>
        <w:spacing w:before="40" w:after="60"/>
      </w:pPr>
      <w:r>
        <w:rPr>
          <w:rFonts w:ascii="Arial" w:cs="Arial" w:eastAsia="Arial" w:hAnsi="Arial"/>
          <w:b/>
          <w:bCs/>
          <w:color w:val="1A6B47"/>
          <w:sz w:val="20"/>
          <w:szCs w:val="20"/>
        </w:rPr>
        <w:t xml:space="preserve">Free Tier Value Density: </w:t>
      </w:r>
      <w:r>
        <w:rPr>
          <w:rFonts w:ascii="Arial" w:cs="Arial" w:eastAsia="Arial" w:hAnsi="Arial"/>
          <w:color w:val="1E293B"/>
          <w:sz w:val="20"/>
          <w:szCs w:val="20"/>
        </w:rPr>
        <w:t xml:space="preserve">Free plan candidates experience real platform value — job browsing, passport viewing, profile completeness scoring — before any payment decision. This reduces risk perception, which is the primary adoption barrier for rural and first-generation candidates.</w:t>
      </w:r>
    </w:p>
    <w:p>
      <w:pPr>
        <w:pStyle w:val="ListParagraph"/>
        <w:numPr>
          <w:ilvl w:val="0"/>
          <w:numId w:val="2"/>
        </w:numPr>
        <w:spacing w:before="40" w:after="60"/>
      </w:pPr>
      <w:r>
        <w:rPr>
          <w:rFonts w:ascii="Arial" w:cs="Arial" w:eastAsia="Arial" w:hAnsi="Arial"/>
          <w:b/>
          <w:bCs/>
          <w:color w:val="1A6B47"/>
          <w:sz w:val="20"/>
          <w:szCs w:val="20"/>
        </w:rPr>
        <w:t xml:space="preserve">Progressive Value Stacking: </w:t>
      </w:r>
      <w:r>
        <w:rPr>
          <w:rFonts w:ascii="Arial" w:cs="Arial" w:eastAsia="Arial" w:hAnsi="Arial"/>
          <w:color w:val="1E293B"/>
          <w:sz w:val="20"/>
          <w:szCs w:val="20"/>
        </w:rPr>
        <w:t xml:space="preserve">Every tier builds on the previous. Skill Passport records and belt achievements from lower tiers carry forward on upgrade, creating accumulated value that makes the upgrade a continuation, not a restart. This architecture prevents the 'start over' perception that kills conversion.</w:t>
      </w:r>
    </w:p>
    <w:p>
      <w:pPr>
        <w:pStyle w:val="ListParagraph"/>
        <w:numPr>
          <w:ilvl w:val="0"/>
          <w:numId w:val="2"/>
        </w:numPr>
        <w:spacing w:before="40" w:after="60"/>
      </w:pPr>
      <w:r>
        <w:rPr>
          <w:rFonts w:ascii="Arial" w:cs="Arial" w:eastAsia="Arial" w:hAnsi="Arial"/>
          <w:b/>
          <w:bCs/>
          <w:color w:val="1A6B47"/>
          <w:sz w:val="20"/>
          <w:szCs w:val="20"/>
        </w:rPr>
        <w:t xml:space="preserve">Phone-Based Dojo Access: </w:t>
      </w:r>
      <w:r>
        <w:rPr>
          <w:rFonts w:ascii="Arial" w:cs="Arial" w:eastAsia="Arial" w:hAnsi="Arial"/>
          <w:color w:val="1E293B"/>
          <w:sz w:val="20"/>
          <w:szCs w:val="20"/>
        </w:rPr>
        <w:t xml:space="preserve">The PSTN bridge that lets candidates join Dojo GD sessions via phone call (no internet required) directly expands TAM into rural areas where internet quality is unreliable. This is a rural inclusion feature that no competitor offers.</w:t>
      </w:r>
    </w:p>
    <w:p>
      <w:pPr>
        <w:spacing w:before="100" w:after="0"/>
      </w:pPr>
      <w:r>
        <w:t xml:space="preserve"/>
      </w:r>
    </w:p>
    <w:p>
      <w:pPr>
        <w:spacing w:before="220" w:after="100"/>
      </w:pPr>
      <w:r>
        <w:rPr>
          <w:rFonts w:ascii="Arial" w:cs="Arial" w:eastAsia="Arial" w:hAnsi="Arial"/>
          <w:b/>
          <w:bCs/>
          <w:color w:val="1A6B47"/>
          <w:sz w:val="24"/>
          <w:szCs w:val="24"/>
        </w:rPr>
        <w:t xml:space="preserve">1.3  Weaknesses &amp; Gaps — What Needs Addressing</w:t>
      </w:r>
    </w:p>
    <w:p>
      <w:pPr>
        <w:pStyle w:val="ListParagraph"/>
        <w:numPr>
          <w:ilvl w:val="0"/>
          <w:numId w:val="2"/>
        </w:numPr>
        <w:spacing w:before="40" w:after="60"/>
      </w:pPr>
      <w:r>
        <w:rPr>
          <w:rFonts w:ascii="Arial" w:cs="Arial" w:eastAsia="Arial" w:hAnsi="Arial"/>
          <w:b/>
          <w:bCs/>
          <w:color w:val="1A6B47"/>
          <w:sz w:val="20"/>
          <w:szCs w:val="20"/>
        </w:rPr>
        <w:t xml:space="preserve">No Pricing Stated: </w:t>
      </w:r>
      <w:r>
        <w:rPr>
          <w:rFonts w:ascii="Arial" w:cs="Arial" w:eastAsia="Arial" w:hAnsi="Arial"/>
          <w:color w:val="1E293B"/>
          <w:sz w:val="20"/>
          <w:szCs w:val="20"/>
        </w:rPr>
        <w:t xml:space="preserve">The document does not state pricing for any tier. Without an anchored price, the upgrade narrative has no 'cost vs. value' trigger. Indian candidates make fine-grained financial calculations — the ROI argument requires a specific number to close.</w:t>
      </w:r>
    </w:p>
    <w:p>
      <w:pPr>
        <w:pStyle w:val="ListParagraph"/>
        <w:numPr>
          <w:ilvl w:val="0"/>
          <w:numId w:val="2"/>
        </w:numPr>
        <w:spacing w:before="40" w:after="60"/>
      </w:pPr>
      <w:r>
        <w:rPr>
          <w:rFonts w:ascii="Arial" w:cs="Arial" w:eastAsia="Arial" w:hAnsi="Arial"/>
          <w:b/>
          <w:bCs/>
          <w:color w:val="1A6B47"/>
          <w:sz w:val="20"/>
          <w:szCs w:val="20"/>
        </w:rPr>
        <w:t xml:space="preserve">Upgrade Trigger UX Missing: </w:t>
      </w:r>
      <w:r>
        <w:rPr>
          <w:rFonts w:ascii="Arial" w:cs="Arial" w:eastAsia="Arial" w:hAnsi="Arial"/>
          <w:color w:val="1E293B"/>
          <w:sz w:val="20"/>
          <w:szCs w:val="20"/>
        </w:rPr>
        <w:t xml:space="preserve">The upgrade prompt strategy is undefined. What specific message appears when a Free candidate submits their 5th application? What shows when they try their 4th Dojo session? The upgrade moment UX design is absent and is the most critical conversion lever.</w:t>
      </w:r>
    </w:p>
    <w:p>
      <w:pPr>
        <w:pStyle w:val="ListParagraph"/>
        <w:numPr>
          <w:ilvl w:val="0"/>
          <w:numId w:val="2"/>
        </w:numPr>
        <w:spacing w:before="40" w:after="60"/>
      </w:pPr>
      <w:r>
        <w:rPr>
          <w:rFonts w:ascii="Arial" w:cs="Arial" w:eastAsia="Arial" w:hAnsi="Arial"/>
          <w:b/>
          <w:bCs/>
          <w:color w:val="1A6B47"/>
          <w:sz w:val="20"/>
          <w:szCs w:val="20"/>
        </w:rPr>
        <w:t xml:space="preserve">Elite On-Ramp Unclear: </w:t>
      </w:r>
      <w:r>
        <w:rPr>
          <w:rFonts w:ascii="Arial" w:cs="Arial" w:eastAsia="Arial" w:hAnsi="Arial"/>
          <w:color w:val="1E293B"/>
          <w:sz w:val="20"/>
          <w:szCs w:val="20"/>
        </w:rPr>
        <w:t xml:space="preserve">Elite plan features (IP protection, royalty engine, co-teaching) require the candidate to already have content and reputation to monetise. For most entering candidates, Elite is aspirational but distant. A concrete 'you're almost Elite-ready' signal is missing from the Pro → Elite transition.</w:t>
      </w:r>
    </w:p>
    <w:p>
      <w:pPr>
        <w:pStyle w:val="ListParagraph"/>
        <w:numPr>
          <w:ilvl w:val="0"/>
          <w:numId w:val="2"/>
        </w:numPr>
        <w:spacing w:before="40" w:after="60"/>
      </w:pPr>
      <w:r>
        <w:rPr>
          <w:rFonts w:ascii="Arial" w:cs="Arial" w:eastAsia="Arial" w:hAnsi="Arial"/>
          <w:b/>
          <w:bCs/>
          <w:color w:val="1A6B47"/>
          <w:sz w:val="20"/>
          <w:szCs w:val="20"/>
        </w:rPr>
        <w:t xml:space="preserve">No Recommendation Logic: </w:t>
      </w:r>
      <w:r>
        <w:rPr>
          <w:rFonts w:ascii="Arial" w:cs="Arial" w:eastAsia="Arial" w:hAnsi="Arial"/>
          <w:color w:val="1E293B"/>
          <w:sz w:val="20"/>
          <w:szCs w:val="20"/>
        </w:rPr>
        <w:t xml:space="preserve">The document describes features but never recommends a plan for specific candidate archetypes. A 'For final-year CSE students: Pro is your plan' recommendation at signup would significantly improve conversion by removing decision paralysis.</w:t>
      </w:r>
    </w:p>
    <w:p>
      <w:pPr>
        <w:pStyle w:val="ListParagraph"/>
        <w:numPr>
          <w:ilvl w:val="0"/>
          <w:numId w:val="2"/>
        </w:numPr>
        <w:spacing w:before="40" w:after="60"/>
      </w:pPr>
      <w:r>
        <w:rPr>
          <w:rFonts w:ascii="Arial" w:cs="Arial" w:eastAsia="Arial" w:hAnsi="Arial"/>
          <w:b/>
          <w:bCs/>
          <w:color w:val="1A6B47"/>
          <w:sz w:val="20"/>
          <w:szCs w:val="20"/>
        </w:rPr>
        <w:t xml:space="preserve">Streak Freeze Mechanics: </w:t>
      </w:r>
      <w:r>
        <w:rPr>
          <w:rFonts w:ascii="Arial" w:cs="Arial" w:eastAsia="Arial" w:hAnsi="Arial"/>
          <w:color w:val="1E293B"/>
          <w:sz w:val="20"/>
          <w:szCs w:val="20"/>
        </w:rPr>
        <w:t xml:space="preserve">Streak Freeze Tokens are mentioned as a retention mechanism but their earn mechanics are not fully defined. If candidates cannot clearly understand how to protect streaks during exam periods, this becomes a source of frustration rather than a loyalty feature.</w:t>
      </w:r>
    </w:p>
    <w:p>
      <w:pPr>
        <w:spacing w:before="100" w:after="0"/>
      </w:pPr>
      <w:r>
        <w:t xml:space="preserve"/>
      </w:r>
    </w:p>
    <w:p>
      <w:pPr>
        <w:spacing w:before="220" w:after="100"/>
      </w:pPr>
      <w:r>
        <w:rPr>
          <w:rFonts w:ascii="Arial" w:cs="Arial" w:eastAsia="Arial" w:hAnsi="Arial"/>
          <w:b/>
          <w:bCs/>
          <w:color w:val="1A6B47"/>
          <w:sz w:val="24"/>
          <w:szCs w:val="24"/>
        </w:rPr>
        <w:t xml:space="preserve">1.4  Plan-by-Plan Value Density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6460"/>
      </w:tblGrid>
      <w:tr>
        <w:tc>
          <w:tcPr>
            <w:tcW w:type="dxa" w:w="15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Plan</w:t>
            </w:r>
          </w:p>
        </w:tc>
        <w:tc>
          <w:tcPr>
            <w:tcW w:type="dxa" w:w="14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Score</w:t>
            </w:r>
          </w:p>
        </w:tc>
        <w:tc>
          <w:tcPr>
            <w:tcW w:type="dxa" w:w="64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Key Insight</w:t>
            </w:r>
          </w:p>
        </w:tc>
      </w:tr>
      <w:tr>
        <w:tc>
          <w:tcPr>
            <w:tcW w:type="dxa" w:w="1500"/>
            <w:tcBorders>
              <w:top w:val="single" w:color="CBD5E1" w:sz="4"/>
              <w:left w:val="single" w:color="CBD5E1" w:sz="4"/>
              <w:bottom w:val="single" w:color="CBD5E1" w:sz="4"/>
              <w:right w:val="single" w:color="CBD5E1" w:sz="4"/>
            </w:tcBorders>
            <w:shd w:fill="E6F4EE" w:val="clear"/>
            <w:tcMar>
              <w:top w:type="dxa" w:w="100"/>
              <w:left w:type="dxa" w:w="140"/>
              <w:bottom w:type="dxa" w:w="100"/>
              <w:right w:type="dxa" w:w="140"/>
            </w:tcMar>
          </w:tcPr>
          <w:p>
            <w:pPr>
              <w:jc w:val="left"/>
            </w:pPr>
            <w:r>
              <w:rPr>
                <w:rFonts w:ascii="Arial" w:cs="Arial" w:eastAsia="Arial" w:hAnsi="Arial"/>
                <w:b/>
                <w:bCs/>
                <w:color w:val="1E293B"/>
                <w:sz w:val="18"/>
                <w:szCs w:val="18"/>
              </w:rPr>
              <w:t xml:space="preserve">FREE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bCs/>
                <w:color w:val="1A6B47"/>
                <w:sz w:val="18"/>
                <w:szCs w:val="18"/>
              </w:rPr>
              <w:t xml:space="preserve">★★★☆☆</w:t>
            </w:r>
          </w:p>
        </w:tc>
        <w:tc>
          <w:tcPr>
            <w:tcW w:type="dxa" w:w="6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Excellent discovery tier. Primary risk: candidates feel limited too quickly without a clear, emotionally compelling upgrade path shown at precisely the right moment.</w:t>
            </w:r>
          </w:p>
        </w:tc>
      </w:tr>
      <w:tr>
        <w:tc>
          <w:tcPr>
            <w:tcW w:type="dxa" w:w="1500"/>
            <w:tcBorders>
              <w:top w:val="single" w:color="CBD5E1" w:sz="4"/>
              <w:left w:val="single" w:color="CBD5E1" w:sz="4"/>
              <w:bottom w:val="single" w:color="CBD5E1" w:sz="4"/>
              <w:right w:val="single" w:color="CBD5E1" w:sz="4"/>
            </w:tcBorders>
            <w:shd w:fill="E6F4EE" w:val="clear"/>
            <w:tcMar>
              <w:top w:type="dxa" w:w="100"/>
              <w:left w:type="dxa" w:w="140"/>
              <w:bottom w:type="dxa" w:w="100"/>
              <w:right w:type="dxa" w:w="140"/>
            </w:tcMar>
          </w:tcPr>
          <w:p>
            <w:pPr>
              <w:jc w:val="left"/>
            </w:pPr>
            <w:r>
              <w:rPr>
                <w:rFonts w:ascii="Arial" w:cs="Arial" w:eastAsia="Arial" w:hAnsi="Arial"/>
                <w:b/>
                <w:bCs/>
                <w:color w:val="1E293B"/>
                <w:sz w:val="18"/>
                <w:szCs w:val="18"/>
              </w:rPr>
              <w:t xml:space="preserve">BASIC</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bCs/>
                <w:color w:val="1A6B47"/>
                <w:sz w:val="18"/>
                <w:szCs w:val="18"/>
              </w:rPr>
              <w:t xml:space="preserve">★★★★☆</w:t>
            </w:r>
          </w:p>
        </w:tc>
        <w:tc>
          <w:tcPr>
            <w:tcW w:type="dxa" w:w="6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Strong value for active job seekers. The Verified Badge alone is a meaningful trust upgrade. 3 Dojo sessions/month creates enough taste of structured GD practice to build desire for unlimited Pro access.</w:t>
            </w:r>
          </w:p>
        </w:tc>
      </w:tr>
      <w:tr>
        <w:tc>
          <w:tcPr>
            <w:tcW w:type="dxa" w:w="15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40"/>
            </w:tcMar>
          </w:tcPr>
          <w:p>
            <w:pPr>
              <w:jc w:val="left"/>
            </w:pPr>
            <w:r>
              <w:rPr>
                <w:rFonts w:ascii="Arial" w:cs="Arial" w:eastAsia="Arial" w:hAnsi="Arial"/>
                <w:b/>
                <w:bCs/>
                <w:color w:val="1E293B"/>
                <w:sz w:val="18"/>
                <w:szCs w:val="18"/>
              </w:rPr>
              <w:t xml:space="preserve">PRO</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bCs/>
                <w:color w:val="1E40AF"/>
                <w:sz w:val="18"/>
                <w:szCs w:val="18"/>
              </w:rPr>
              <w:t xml:space="preserve">★★★★★</w:t>
            </w:r>
          </w:p>
        </w:tc>
        <w:tc>
          <w:tcPr>
            <w:tcW w:type="dxa" w:w="6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Highest value density. Unlimited applications + AI matching + certifications + tournaments + project marketplace is a complete career ecosystem at one price. This is where most conversion investment should focus.</w:t>
            </w:r>
          </w:p>
        </w:tc>
      </w:tr>
      <w:tr>
        <w:tc>
          <w:tcPr>
            <w:tcW w:type="dxa" w:w="15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jc w:val="left"/>
            </w:pPr>
            <w:r>
              <w:rPr>
                <w:rFonts w:ascii="Arial" w:cs="Arial" w:eastAsia="Arial" w:hAnsi="Arial"/>
                <w:b/>
                <w:bCs/>
                <w:color w:val="1E293B"/>
                <w:sz w:val="18"/>
                <w:szCs w:val="18"/>
              </w:rPr>
              <w:t xml:space="preserve">ELITE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bCs/>
                <w:color w:val="D97706"/>
                <w:sz w:val="18"/>
                <w:szCs w:val="18"/>
              </w:rPr>
              <w:t xml:space="preserve">★★★★☆</w:t>
            </w:r>
          </w:p>
        </w:tc>
        <w:tc>
          <w:tcPr>
            <w:tcW w:type="dxa" w:w="6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Exceptional for top performers. Revenue share and IP protection are genuinely rare in the Indian edtech market. Needs a clearer 'are you ready for Elite?' diagnostic to prevent premature upgrades.</w:t>
            </w:r>
          </w:p>
        </w:tc>
      </w:tr>
    </w:tbl>
    <w:p>
      <w:pPr>
        <w:spacing w:before="120" w:after="0"/>
      </w:pPr>
      <w:r>
        <w:t xml:space="preserve"/>
      </w:r>
    </w:p>
    <w:p>
      <w:pPr>
        <w:spacing w:before="220" w:after="100"/>
      </w:pPr>
      <w:r>
        <w:rPr>
          <w:rFonts w:ascii="Arial" w:cs="Arial" w:eastAsia="Arial" w:hAnsi="Arial"/>
          <w:b/>
          <w:bCs/>
          <w:color w:val="1A6B47"/>
          <w:sz w:val="24"/>
          <w:szCs w:val="24"/>
        </w:rPr>
        <w:t xml:space="preserve">1.5  Competitive Positioning</w:t>
      </w:r>
    </w:p>
    <w:p>
      <w:pPr>
        <w:pBdr>
          <w:left w:val="single" w:color="1A6B47" w:sz="16" w:space="8"/>
        </w:pBdr>
        <w:spacing w:before="100" w:after="100"/>
        <w:ind w:left="400"/>
      </w:pPr>
      <w:r>
        <w:rPr>
          <w:rFonts w:ascii="Arial" w:cs="Arial" w:eastAsia="Arial" w:hAnsi="Arial"/>
          <w:i/>
          <w:iCs/>
          <w:color w:val="1E293B"/>
          <w:sz w:val="20"/>
          <w:szCs w:val="20"/>
        </w:rPr>
        <w:t xml:space="preserve">EcoSkiller's subscription architecture is the only evidence-forward career platform in India. While BYJU's and Unacademy sell learning content, EcoSkiller sells career proof — a fundamentally different and more defensible value proposition for the Indian job market.</w:t>
      </w:r>
    </w:p>
    <w:p>
      <w:pPr>
        <w:spacing w:before="80" w:after="0"/>
      </w:pPr>
      <w:r>
        <w:t xml:space="preserve"/>
      </w:r>
    </w:p>
    <w:p>
      <w:pPr>
        <w:pStyle w:val="ListParagraph"/>
        <w:numPr>
          <w:ilvl w:val="0"/>
          <w:numId w:val="2"/>
        </w:numPr>
        <w:spacing w:before="40" w:after="60"/>
      </w:pPr>
      <w:r>
        <w:rPr>
          <w:rFonts w:ascii="Arial" w:cs="Arial" w:eastAsia="Arial" w:hAnsi="Arial"/>
          <w:b/>
          <w:bCs/>
          <w:color w:val="1A6B47"/>
          <w:sz w:val="20"/>
          <w:szCs w:val="20"/>
        </w:rPr>
        <w:t xml:space="preserve">vs. LinkedIn Premium: </w:t>
      </w:r>
      <w:r>
        <w:rPr>
          <w:rFonts w:ascii="Arial" w:cs="Arial" w:eastAsia="Arial" w:hAnsi="Arial"/>
          <w:color w:val="1E293B"/>
          <w:sz w:val="20"/>
          <w:szCs w:val="20"/>
        </w:rPr>
        <w:t xml:space="preserve">No GD evaluation system, no skill belt progression, no verified skill passport, no project marketplace. EcoSkiller Pro delivers more placement-relevant features at a fraction of the price point.</w:t>
      </w:r>
    </w:p>
    <w:p>
      <w:pPr>
        <w:pStyle w:val="ListParagraph"/>
        <w:numPr>
          <w:ilvl w:val="0"/>
          <w:numId w:val="2"/>
        </w:numPr>
        <w:spacing w:before="40" w:after="60"/>
      </w:pPr>
      <w:r>
        <w:rPr>
          <w:rFonts w:ascii="Arial" w:cs="Arial" w:eastAsia="Arial" w:hAnsi="Arial"/>
          <w:b/>
          <w:bCs/>
          <w:color w:val="1A6B47"/>
          <w:sz w:val="20"/>
          <w:szCs w:val="20"/>
        </w:rPr>
        <w:t xml:space="preserve">vs. Naukri Black: </w:t>
      </w:r>
      <w:r>
        <w:rPr>
          <w:rFonts w:ascii="Arial" w:cs="Arial" w:eastAsia="Arial" w:hAnsi="Arial"/>
          <w:color w:val="1E293B"/>
          <w:sz w:val="20"/>
          <w:szCs w:val="20"/>
        </w:rPr>
        <w:t xml:space="preserve">Resume-visibility focused, with self-declared skills. No structured assessment, no GD practice, no tournament system. Candidates are judged on what they claim, not what they have proven.</w:t>
      </w:r>
    </w:p>
    <w:p>
      <w:pPr>
        <w:pStyle w:val="ListParagraph"/>
        <w:numPr>
          <w:ilvl w:val="0"/>
          <w:numId w:val="2"/>
        </w:numPr>
        <w:spacing w:before="40" w:after="60"/>
      </w:pPr>
      <w:r>
        <w:rPr>
          <w:rFonts w:ascii="Arial" w:cs="Arial" w:eastAsia="Arial" w:hAnsi="Arial"/>
          <w:b/>
          <w:bCs/>
          <w:color w:val="1A6B47"/>
          <w:sz w:val="20"/>
          <w:szCs w:val="20"/>
        </w:rPr>
        <w:t xml:space="preserve">vs. Coursera Plus: </w:t>
      </w:r>
      <w:r>
        <w:rPr>
          <w:rFonts w:ascii="Arial" w:cs="Arial" w:eastAsia="Arial" w:hAnsi="Arial"/>
          <w:color w:val="1E293B"/>
          <w:sz w:val="20"/>
          <w:szCs w:val="20"/>
        </w:rPr>
        <w:t xml:space="preserve">Content-only. No placement pipeline, no GD system, no recruiter integration, no verified passport. Learning without placement infrastructure.</w:t>
      </w:r>
    </w:p>
    <w:p>
      <w:pPr>
        <w:spacing w:before="80" w:after="0"/>
      </w:pPr>
      <w:r>
        <w:t xml:space="preserve"/>
      </w:r>
    </w:p>
    <w:p>
      <w:pPr>
        <w:spacing w:before="220" w:after="100"/>
      </w:pPr>
      <w:r>
        <w:rPr>
          <w:rFonts w:ascii="Arial" w:cs="Arial" w:eastAsia="Arial" w:hAnsi="Arial"/>
          <w:b/>
          <w:bCs/>
          <w:color w:val="1A6B47"/>
          <w:sz w:val="24"/>
          <w:szCs w:val="24"/>
        </w:rPr>
        <w:t xml:space="preserve">1.6  Critical Conversion Moments</w:t>
      </w:r>
    </w:p>
    <w:p>
      <w:pPr>
        <w:pStyle w:val="ListParagraph"/>
        <w:numPr>
          <w:ilvl w:val="0"/>
          <w:numId w:val="2"/>
        </w:numPr>
        <w:spacing w:before="40" w:after="60"/>
      </w:pPr>
      <w:r>
        <w:rPr>
          <w:rFonts w:ascii="Arial" w:cs="Arial" w:eastAsia="Arial" w:hAnsi="Arial"/>
          <w:b/>
          <w:bCs/>
          <w:color w:val="1A6B47"/>
          <w:sz w:val="20"/>
          <w:szCs w:val="20"/>
        </w:rPr>
        <w:t xml:space="preserve">Free → Basic: </w:t>
      </w:r>
      <w:r>
        <w:rPr>
          <w:rFonts w:ascii="Arial" w:cs="Arial" w:eastAsia="Arial" w:hAnsi="Arial"/>
          <w:color w:val="1E293B"/>
          <w:sz w:val="20"/>
          <w:szCs w:val="20"/>
        </w:rPr>
        <w:t xml:space="preserve">The 5-application monthly limit is a precisely timed friction point — active job seekers hit this wall within 2–3 weeks. The upgrade trigger should appear at application 4, not 5, to catch the candidate before frustration peaks.</w:t>
      </w:r>
    </w:p>
    <w:p>
      <w:pPr>
        <w:pStyle w:val="ListParagraph"/>
        <w:numPr>
          <w:ilvl w:val="0"/>
          <w:numId w:val="2"/>
        </w:numPr>
        <w:spacing w:before="40" w:after="60"/>
      </w:pPr>
      <w:r>
        <w:rPr>
          <w:rFonts w:ascii="Arial" w:cs="Arial" w:eastAsia="Arial" w:hAnsi="Arial"/>
          <w:b/>
          <w:bCs/>
          <w:color w:val="1A6B47"/>
          <w:sz w:val="20"/>
          <w:szCs w:val="20"/>
        </w:rPr>
        <w:t xml:space="preserve">Basic → Pro: </w:t>
      </w:r>
      <w:r>
        <w:rPr>
          <w:rFonts w:ascii="Arial" w:cs="Arial" w:eastAsia="Arial" w:hAnsi="Arial"/>
          <w:color w:val="1E293B"/>
          <w:sz w:val="20"/>
          <w:szCs w:val="20"/>
        </w:rPr>
        <w:t xml:space="preserve">The 3 GD sessions per month limit is hit quickly by any student seriously preparing for placements. The Pro upgrade message should be: 'Unlimited GD practice before your placement season — no session cap, no waiting.' Certification access is the secondary hook.</w:t>
      </w:r>
    </w:p>
    <w:p>
      <w:pPr>
        <w:pStyle w:val="ListParagraph"/>
        <w:numPr>
          <w:ilvl w:val="0"/>
          <w:numId w:val="2"/>
        </w:numPr>
        <w:spacing w:before="40" w:after="60"/>
      </w:pPr>
      <w:r>
        <w:rPr>
          <w:rFonts w:ascii="Arial" w:cs="Arial" w:eastAsia="Arial" w:hAnsi="Arial"/>
          <w:b/>
          <w:bCs/>
          <w:color w:val="1A6B47"/>
          <w:sz w:val="20"/>
          <w:szCs w:val="20"/>
        </w:rPr>
        <w:t xml:space="preserve">Pro → Elite: </w:t>
      </w:r>
      <w:r>
        <w:rPr>
          <w:rFonts w:ascii="Arial" w:cs="Arial" w:eastAsia="Arial" w:hAnsi="Arial"/>
          <w:color w:val="1E293B"/>
          <w:sz w:val="20"/>
          <w:szCs w:val="20"/>
        </w:rPr>
        <w:t xml:space="preserve">Driven by revenue generation and IP ambition — a later-career trigger. The platform should identify Pro candidates who are informally mentoring others and surface the Elite mentoring income potential as a personalised prompt.</w:t>
      </w:r>
    </w:p>
    <w:p>
      <w:pPr>
        <w:spacing w:before="160" w:after="0"/>
      </w:pPr>
      <w:r>
        <w:t xml:space="preserve"/>
      </w:r>
    </w:p>
    <w:p>
      <w:r>
        <w:br w:type="page"/>
      </w:r>
    </w:p>
    <w:p>
      <w:pPr>
        <w:pBdr>
          <w:bottom w:val="single" w:color="1A6B47" w:sz="8" w:space="4"/>
        </w:pBdr>
        <w:spacing w:before="340" w:after="140"/>
      </w:pPr>
      <w:r>
        <w:rPr>
          <w:rFonts w:ascii="Arial" w:cs="Arial" w:eastAsia="Arial" w:hAnsi="Arial"/>
          <w:b/>
          <w:bCs/>
          <w:color w:val="0D3B26"/>
          <w:sz w:val="30"/>
          <w:szCs w:val="30"/>
        </w:rPr>
        <w:t xml:space="preserve">PART 2 — 30 VIRAL ORGANIC GROWTH IDEAS: CANDIDATE SUBSCRIPTION</w:t>
      </w:r>
    </w:p>
    <w:p>
      <w:pPr>
        <w:spacing w:before="60" w:after="80"/>
        <w:jc w:val="left"/>
      </w:pPr>
      <w:r>
        <w:rPr>
          <w:rFonts w:ascii="Arial" w:cs="Arial" w:eastAsia="Arial" w:hAnsi="Arial"/>
          <w:b w:val="false"/>
          <w:bCs w:val="false"/>
          <w:i w:val="false"/>
          <w:iCs w:val="false"/>
          <w:color w:val="64748B"/>
          <w:sz w:val="20"/>
          <w:szCs w:val="20"/>
        </w:rPr>
        <w:t xml:space="preserve">Every idea below is anchored in the specific psychology of Indian candidates — their relationship with competitive rankings, family validation, peer comparison, salary anxiety, and the deep desire for verifiable proof of their worth in an intensely competitive job market.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3200"/>
        <w:gridCol w:w="3800"/>
      </w:tblGrid>
      <w:tr>
        <w:tc>
          <w:tcPr>
            <w:tcW w:type="dxa" w:w="3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0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Idea Title</w:t>
            </w:r>
          </w:p>
        </w:tc>
        <w:tc>
          <w:tcPr>
            <w:tcW w:type="dxa" w:w="32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What &amp; How</w:t>
            </w:r>
          </w:p>
        </w:tc>
        <w:tc>
          <w:tcPr>
            <w:tcW w:type="dxa" w:w="38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 It Works (Indian Psychology)</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Plan Upgrade FOMO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Free user hits their 5th application, show a pop-up with a shareable WhatsApp card: 'I just hit my job-application limit — upgrading to Pro on EcoSkiller. Here's why.' Include their national percentile and locked features.</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5-application wall is the sharpest pain point in the Free plan. Converting that frustration into a shareable peer moment turns a product limitation into an organic referral engine. Indians share their decisions with peer groups before making them.</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'₹149 Se Naukri' ISA Feature Reel</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Short video: a student from a Tier-3 town signs up for the Pay-After-Placement plan, uses Pro features, gets hired, and pays from their first salary. Tagline: 'Pehle job, phir fees.' Target WhatsApp and YouTube Shorts.</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Zero upfront financial risk removes the #1 adoption barrier for rural and first-generation candidates. Framing the ISA as 'pay from your salary, not from savings' resonates deeply with families that cannot risk spending money before income arrives.</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Belt Level WhatsApp Status Kit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 earns Orange, Green, Blue, or Purple belt, auto-generate a WhatsApp-status-sized card showing belt colour, national rank jump, and a single stat ('My GD score just hit 78 — Green Belt unlocked'). One-tap share.</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Belt promotions are emotionally equivalent to getting a result you've worked months for. Indians instinctively share visible rank promotions. A beautifully formatted, branded card removes all friction between the achievement and the share.</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'Mera Salary Prediction' Screenshot Challenge</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Prompt Pro users to screenshot their AI salary prediction ('EcoSkiller predicts my salary at ₹64,000/month by 2027 based on my current skill path') and share it with the hashtag #MeraSalaryGoal. Feature top stories on the platform feed.</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Salary data is the most-discussed career topic in Indian peer groups. A personalised, data-backed prediction grounded in the candidate's own skills — not generic averages — is the most shareable career content possible.</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Annual Plan 'Save the Cost of Your Textbooks' Calculator</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On the billing page, auto-calculate: 'Annual Pro = ₹X. Monthly × 12 = ₹Y. You save ₹Z — enough for [N] textbooks / an exam fee / a month's internet.' Show in regional context. Add a timer for placement season.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Rural and Tier-2 candidates evaluate every rupee against tangible alternatives. Framing annual savings in local, concrete terms ('enough for N textbooks') converts the hesitation into a simple maths decision.</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Career Stage Transition Celebratory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the platform auto-transitions a candidate from Student to Job Seeker, send a celebratory notification and a shareable card: 'EcoSkiller officially recognises me as Job Seeker ready. My career journey just moved to the next stage.'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In Indian culture, life-stage transitions are publicly celebrated. The platform acknowledging a student's readiness to enter the job market — with a verifiable, shareable card — becomes a social moment that the candidate wants to share with family on WhatsApp.</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Verified Badge 'Blue Tick' Campaign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Run a pre-placement campaign: 'Get your EcoSkiller Verified Badge before your campus drive. Recruiters filter verified candidates first.' Show the recruiter dashboard filter as a screenshot. Create urgency: 'Badge takes 10 minutes to earn.'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verified badge's cultural equivalent — the social-media blue tick — is deeply understood by Indian youth as a signal of seriousness and priority. A badge that demonstrably shifts your position in a recruiter's view converts candidates who understand competitive filtering.</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8</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'5 Applications Kya Hua' Micro-Story Series</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Weekly micro-content: a Free user's exact 5 applications — 2 rejections, 2 silences, 1 callback — then the same candidate's first week on Pro: 47 applications, 6 callbacks. Real data, real outcomes, no fabrication.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Concrete before/after stories outperform feature lists 10:1 in Indian edtech. The specific contrast between constrained and unconstrained job searching makes the upgrade decision feel inevitable rather than optional.</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9</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GD Score vs. Interview Rate Data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Publish platform data: 'Candidates with GD scores above 75 receive interview calls at 3.1× the rate of those below 65.' Show distribution chart. Link directly to the Dojo GD upgrade prompt. Update monthly.</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Indians respond to statistical proof that connects a specific action to a career outcome. A verified correlation between a measurable score and interview callbacks is the most rational case for platform engagement — especially for analytically-minded engineering students.</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'Placement Season Countdown' Urgency Campaign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60 days before the typical campus placement season, start a daily countdown campaign: 'Placement season in 60 days. Pro users are currently 47% more placement-ready than Free users. Today is the best day to upgrade.'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Placement season is the most emotionally charged professional event in any Indian student's life. Urgency tied to a deadline the candidate already knows and fears converts far better than generic prompts.</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11</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'Mera Rejection Reason' Transparency Feature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Share content: 'EcoSkiller Pro shows you the exact reason a recruiter rejected your application — in writing. Three candidates identified the same 1-skill gap and were hired by the same company the next month.' Show redacted screenshot.</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Rejection without explanation is India's most frustrating job-search experience. A platform that shows precisely why you were rejected — and maps the fix — provides emotional resolution that candidates are willing to pay for.</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12</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Parent ROI Card — '₹149 Kya Laata Hai?'</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Design a WhatsApp-optimised card for parents: 'EcoSkiller Pro at ₹149/month: Verified Badge. Unlimited job applications. AI salary prediction. Skill Passport. Certificate download. First month ROI: 1 recruiter callback.'</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For many Indian candidates, a parent or older sibling pays the subscription. A card that translates the monthly fee into specific career outcomes — designed for a parent's mindset, not a student's — converts sceptical family gatekeepers.</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13</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Elite Revenue Share 'Mera Pehla Payment'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an Elite candidate receives their first platform royalty or project revenue, auto-generate a card: 'I just received my first EcoSkiller platform payment — ₹[amount]. From student to platform earner.' With Elite badge.</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transition from student to earner is one of the most emotionally charged moments for first-generation professionals. Publicly marking this transition — with a verifiable payment record — is extremely motivating for aspirants below the Elite tier.</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14</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'Priority Lane' Visual Campaign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Create a simple visual: two candidates with identical skills applying for the same role. Candidate A (Pro): application surfaces first in recruiter dashboard. Candidate B (Free): same stack, visible later. One-line caption: 'Same skills. Different queue.'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Queue position in any competitive process is viscerally understood by Indians who navigate admission queues, government processes, and waiting lists. Priority placement framed as 'skipping the queue with the same skills' is immediately motivating.</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15</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Tournament Winner Placed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tournament champion receives a job offer within 90 days, publish: 'National GD Champion → Placed at [Company] in [N] weeks. No entrance exam. No coaching. Just performance — verified by EcoSkiller.'</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aspiration of being hired for pure performance — not college brand — resonates deeply with non-IIT, non-metro candidates. A documented tournament-to-placement story is the most powerful message for the large majority of candidates from non-elite institutions.</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16</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Streak Counter as Recruiter Signal</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Add the learning streak prominently to the public Skill Passport: 'Ravi — 52-day consecutive learning streak. National rank improved by 3,400 positions in this period.' Make it the first stat recruiters see.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Indians are acutely aware of consistency as a signal of character. A streak counter visible to recruiters converts daily discipline into career-relevant evidence — something no traditional resume can show.</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17</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Offer Letter Verification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candidate's offer letter is verified through the platform, auto-generate: 'My offer from [Company] has been verified as authentic by EcoSkiller — salary within published market range.' Shareable to family WhatsApp.</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Fake offer letters are a documented problem in Indian hiring. A platform that verifies the offer is real — before the student stops applying elsewhere — removes a genuine fear moment and creates deep loyalty among newly placed candidates.</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18</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'Plan Bandho, Belt Badho' Monthly Momentum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Monthly platform stat card: '1,847 belt upgrades this month. 432 placements confirmed. 12,000+ applications sent. The ecosystem is moving — are you?' Include a district-level stat for localised relevance.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Indians trust platforms that visibly grow and move. A monthly count of real candidates progressing creates belonging pressure — the fear of being left behind by a cohort that is clearly moving forward is a powerful conversion trigger.</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19</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Cohort Comparison Re-Engagement Notification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candidate's batchmates improve significantly (e.g., cohort average GD score rises 8 points), send a personalised notification: 'Your batch average GD score just hit 72. Yours is 63. Want to close the gap before placement season?'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Cohort comparison is the most personally targeted form of competitive pressure. Indians are acutely aware of peer progress — a specific, factual comparison between your score and your batch creates immediate re-engagement better than any generic prompt.</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Skill Passport QR at Campus Drive</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Partner with 3 colleges: during placement drives, recruiters scan candidates' EcoSkiller Skill Passport QR codes instead of collecting resume PDFs. Post the video/photo on social. Let the visual do the work.</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Physical, visible proof of a platform being used at a real placement event travels faster than any digital claim. A photo of a recruiter scanning a QR code at an actual campus drive validates the entire platform promise in one moment.</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21</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ISA Placement Story — 'Gaon Se Google'</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Document the journey of a rural candidate who joined on the ISA plan, completed Pro features, won a district tournament, and was placed in a recognized company. Full story, consented details, shareable across media.</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aspirational story of 'village to top company' is the most powerful narrative in Indian edtech. A verified, specific story with real data points (district rank, GD score, company name) becomes a reference post that circulates for months in WhatsApp groups.</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22</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'Unlimited Applications vs 5' Split Visualisation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Post platform aggregate data visually: 'Last month, Pro users sent an average of 47 applications. Free users: 5. Pro users received 4.3× more interview callbacks.' No individual data disclosed — platform aggregate only.</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Volume-to-outcome correlation is the simplest possible case for upgrading. Showing platform-level aggregate data that connects unlimited applications to measurable outcomes removes every rational objection to the Pro subscription.</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23</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National Percentile First-Check Hook</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In the Free onboarding flow, before any upgrade prompt, show the candidate their national percentile from their first free assessment: 'You're in the top 28% nationally on Logical Intelligence. See how high you can go — your full intelligence radar is one step away.'</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Showing a real national rank before any paywall creates emotional investment in the platform before any financial ask. Indians who see a promising percentile feel ownership over their position and desire to see it improve — the upgrade feels like a natural next step.</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24</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'Ek Saal Baad' One-Year Transformation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On a candidate's one-year anniversary, auto-generate: '[Name] — 1 year ago: White Belt, ELO 1000, national rank 180,000. Today: Green Belt, ELO 1210, rank 71,400, 2 offer letters received.' Shareable with family WhatsApp CTA.</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The one-year transformation format is the most consistently viral career content. For Indian families, a quantified, verifiable 1-year growth summary validates a year of investment with data that parents can understand and share at family gatherings.</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25</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Placement Office Institutional Endorsement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Secure 3 placement officers to publicly recommend EcoSkiller Pro for final-year students. Social post: 'Our placement team now recommends all final-year students complete their EcoSkiller Pro profile before our drive season begins.'</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placement officer is the highest-authority figure for final-year students. An institutional instruction to use the platform is more powerful than any advertising — it reframes EcoSkiller as mandatory preparation, not optional improvement.</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26</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'Skill Passport Dekha Recruiter Ne' Live Alert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verified recruiter views a Pro or Elite candidate's Skill Passport, send a real-time in-app alert: 'A recruiter at [Company Name] just viewed your Skill Passport. Your profile is working for you.' Time-stamped.</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Real-time recruiter attention is the strongest possible retention signal for a career platform. Knowing a hiring manager is looking at your verified record right now creates a visceral sense of the platform's value that no static feature description can replicate.</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27</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'EcoSkiller vs Naukri' Comparison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Direct comparison: 'Naukri profile: self-declared skills, no verification. EcoSkiller Pro: GD score, belt level, skill passport, tournament rank, AI salary match. Recruiters can verify everything in 30 seconds — no phone call required.'</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Indian candidates know Naukri intimately. A feature comparison that directly names the platform they currently use creates a concrete value contrast. The 'verify in 30 seconds' message addresses the recruiter's real problem — time — not just the candidate's.</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28</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District Pride Leaderboard Campaign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Launch monthly district-level leaderboards: 'Top 10 candidates in Nashik District this month.' Tag the local college, share in regional WhatsApp groups, celebrate with a digital certificate for top rankers.</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District identity is a powerful motivator in Tier-2 and Tier-3 India. Being the top candidate in your district is a socially meaningful achievement that local communities celebrate — it drives peer engagement that national leaderboards cannot.</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29</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Streak Freeze Token 'Exam Week Survival' Feature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Post specifically timed to semester exam weeks: 'EcoSkiller knows exam week is brutal. Pro and Elite users get Streak Freeze Tokens — your learning streak is protected during exams. Your progress won't disappear when you need to focus elsewhere.'</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Indian students feel intense guilt about not studying for career certifications during exam weeks. A feature that explicitly protects their progress — acknowledging the real tension between academic and career preparation — creates genuine loyalty and reduces churn at the most vulnerable moment.</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0D3B26"/>
                <w:sz w:val="18"/>
                <w:szCs w:val="18"/>
              </w:rPr>
              <w:t xml:space="preserve">'Resume Bhejo Mat, QR Bhejo' Campaign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Short video: candidate walks into an interview, hands over a business card with their EcoSkiller Skill Passport QR code instead of a resume PDF. Interviewer scans it. Reaction: 'This is the most complete candidate profile I've seen.'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The physical-digital bridge of a QR code replacing a resume PDF is a dramatic, memorable visual that every Indian job seeker can immediately imagine using. It reframes the entire subscription as an investment in a new kind of professional identity — not just another online profile.</w:t>
            </w:r>
          </w:p>
        </w:tc>
      </w:tr>
      <w:tr>
        <w:tc>
          <w:tcPr>
            <w:tcW w:type="dxa" w:w="360"/>
            <w:tcBorders>
              <w:top w:val="single" w:color="CBD5E1" w:sz="4"/>
              <w:left w:val="single" w:color="CBD5E1" w:sz="4"/>
              <w:bottom w:val="single" w:color="CBD5E1" w:sz="4"/>
              <w:right w:val="single" w:color="CBD5E1" w:sz="4"/>
            </w:tcBorders>
            <w:shd w:fill="1A6B4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31</w:t>
            </w:r>
          </w:p>
        </w:tc>
        <w:tc>
          <w:tcPr>
            <w:tcW w:type="dxa" w:w="2000"/>
            <w:tcBorders>
              <w:top w:val="single" w:color="CBD5E1" w:sz="4"/>
              <w:left w:val="single" w:color="CBD5E1" w:sz="4"/>
              <w:bottom w:val="single" w:color="CBD5E1" w:sz="4"/>
              <w:right w:val="single" w:color="CBD5E1" w:sz="4"/>
            </w:tcBorders>
            <w:shd w:fill="E6F4EE" w:val="clear"/>
            <w:tcMar>
              <w:top w:type="dxa" w:w="100"/>
              <w:left w:type="dxa" w:w="130"/>
              <w:bottom w:type="dxa" w:w="100"/>
              <w:right w:type="dxa" w:w="130"/>
            </w:tcMar>
          </w:tcPr>
          <w:p>
            <w:r>
              <w:rPr>
                <w:rFonts w:ascii="Arial" w:cs="Arial" w:eastAsia="Arial" w:hAnsi="Arial"/>
                <w:b/>
                <w:bCs/>
                <w:color w:val="0D3B26"/>
                <w:sz w:val="18"/>
                <w:szCs w:val="18"/>
              </w:rPr>
              <w:t xml:space="preserve">Elite IP Protection 'Mera Idea Lock Ho Gaya'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Feature an Elite candidate who submitted a business idea to the platform and received a timestamped, hash-signed Idea DNA certificate. Post: 'My idea now has a date-stamped proof of origin. No one can claim they thought of it first.'</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Intellectual property fear is acute among young Indian innovators who have seen peers' ideas appropriated. An 'idea lock' feature that provides provable timestamped ownership addresses a real, emotionally charged problem — and Elite plan's IP protection becomes a unique selling point no competitor offers.</w:t>
            </w:r>
          </w:p>
        </w:tc>
      </w:tr>
    </w:tbl>
    <w:p>
      <w:pPr>
        <w:spacing w:before="160" w:after="0"/>
      </w:pPr>
      <w:r>
        <w:t xml:space="preserve"/>
      </w:r>
    </w:p>
    <w:p>
      <w:r>
        <w:br w:type="page"/>
      </w:r>
    </w:p>
    <w:p>
      <w:pPr>
        <w:pBdr>
          <w:bottom w:val="single" w:color="1A6B47" w:sz="8" w:space="4"/>
        </w:pBdr>
        <w:spacing w:before="340" w:after="140"/>
      </w:pPr>
      <w:r>
        <w:rPr>
          <w:rFonts w:ascii="Arial" w:cs="Arial" w:eastAsia="Arial" w:hAnsi="Arial"/>
          <w:b/>
          <w:bCs/>
          <w:color w:val="0D3B26"/>
          <w:sz w:val="30"/>
          <w:szCs w:val="30"/>
        </w:rPr>
        <w:t xml:space="preserve">PART 3 — POSITIONING FRAMEWORK &amp; PRIORITY MATRIX</w:t>
      </w:r>
    </w:p>
    <w:p>
      <w:pPr>
        <w:spacing w:before="220" w:after="100"/>
      </w:pPr>
      <w:r>
        <w:rPr>
          <w:rFonts w:ascii="Arial" w:cs="Arial" w:eastAsia="Arial" w:hAnsi="Arial"/>
          <w:b/>
          <w:bCs/>
          <w:color w:val="1A6B47"/>
          <w:sz w:val="24"/>
          <w:szCs w:val="24"/>
        </w:rPr>
        <w:t xml:space="preserve">5 Core Positioning Narratives for the Indian Candidate Mind</w:t>
      </w:r>
    </w:p>
    <w:p>
      <w:pPr>
        <w:spacing w:before="40" w:after="0"/>
      </w:pPr>
      <w:r>
        <w:t xml:space="preserve"/>
      </w:r>
    </w:p>
    <w:p>
      <w:pPr>
        <w:spacing w:before="60" w:after="80"/>
        <w:jc w:val="left"/>
      </w:pPr>
      <w:r>
        <w:rPr>
          <w:rFonts w:ascii="Arial" w:cs="Arial" w:eastAsia="Arial" w:hAnsi="Arial"/>
          <w:b/>
          <w:bCs/>
          <w:i w:val="false"/>
          <w:iCs w:val="false"/>
          <w:color w:val="0D3B26"/>
          <w:sz w:val="20"/>
          <w:szCs w:val="20"/>
        </w:rPr>
        <w:t xml:space="preserve">Narrative 1: 'Prove It, Don't Just Say It'</w:t>
      </w:r>
    </w:p>
    <w:p>
      <w:pPr>
        <w:spacing w:before="60" w:after="80"/>
        <w:jc w:val="left"/>
      </w:pPr>
      <w:r>
        <w:rPr>
          <w:rFonts w:ascii="Arial" w:cs="Arial" w:eastAsia="Arial" w:hAnsi="Arial"/>
          <w:b w:val="false"/>
          <w:bCs w:val="false"/>
          <w:i w:val="false"/>
          <w:iCs w:val="false"/>
          <w:color w:val="1E293B"/>
          <w:sz w:val="20"/>
          <w:szCs w:val="20"/>
        </w:rPr>
        <w:t xml:space="preserve">Every Indian candidate has been told 'your degree doesn't matter, show us your skills.' EcoSkiller's subscription turns this advice into an achievable action. The Skill Passport, belt system, and GD score make proof the product, not just the promise.</w:t>
      </w:r>
    </w:p>
    <w:p>
      <w:pPr>
        <w:spacing w:before="60" w:after="0"/>
      </w:pPr>
      <w:r>
        <w:t xml:space="preserve"/>
      </w:r>
    </w:p>
    <w:p>
      <w:pPr>
        <w:spacing w:before="60" w:after="80"/>
        <w:jc w:val="left"/>
      </w:pPr>
      <w:r>
        <w:rPr>
          <w:rFonts w:ascii="Arial" w:cs="Arial" w:eastAsia="Arial" w:hAnsi="Arial"/>
          <w:b/>
          <w:bCs/>
          <w:i w:val="false"/>
          <w:iCs w:val="false"/>
          <w:color w:val="0D3B26"/>
          <w:sz w:val="20"/>
          <w:szCs w:val="20"/>
        </w:rPr>
        <w:t xml:space="preserve">Narrative 2: 'Your Recruiter Is Already Watching'</w:t>
      </w:r>
    </w:p>
    <w:p>
      <w:pPr>
        <w:spacing w:before="60" w:after="80"/>
        <w:jc w:val="left"/>
      </w:pPr>
      <w:r>
        <w:rPr>
          <w:rFonts w:ascii="Arial" w:cs="Arial" w:eastAsia="Arial" w:hAnsi="Arial"/>
          <w:b w:val="false"/>
          <w:bCs w:val="false"/>
          <w:i w:val="false"/>
          <w:iCs w:val="false"/>
          <w:color w:val="1E293B"/>
          <w:sz w:val="20"/>
          <w:szCs w:val="20"/>
        </w:rPr>
        <w:t xml:space="preserve">The platform's real-time notification system (Skill Passport viewed by recruiter) creates tangible urgency. Pro and Elite candidates know when they are being evaluated. Free candidates don't. That information asymmetry is the upgrade narrative.</w:t>
      </w:r>
    </w:p>
    <w:p>
      <w:pPr>
        <w:spacing w:before="60" w:after="0"/>
      </w:pPr>
      <w:r>
        <w:t xml:space="preserve"/>
      </w:r>
    </w:p>
    <w:p>
      <w:pPr>
        <w:spacing w:before="60" w:after="80"/>
        <w:jc w:val="left"/>
      </w:pPr>
      <w:r>
        <w:rPr>
          <w:rFonts w:ascii="Arial" w:cs="Arial" w:eastAsia="Arial" w:hAnsi="Arial"/>
          <w:b/>
          <w:bCs/>
          <w:i w:val="false"/>
          <w:iCs w:val="false"/>
          <w:color w:val="0D3B26"/>
          <w:sz w:val="20"/>
          <w:szCs w:val="20"/>
        </w:rPr>
        <w:t xml:space="preserve">Narrative 3: 'Same Skills, Different Queue'</w:t>
      </w:r>
    </w:p>
    <w:p>
      <w:pPr>
        <w:spacing w:before="60" w:after="80"/>
        <w:jc w:val="left"/>
      </w:pPr>
      <w:r>
        <w:rPr>
          <w:rFonts w:ascii="Arial" w:cs="Arial" w:eastAsia="Arial" w:hAnsi="Arial"/>
          <w:b w:val="false"/>
          <w:bCs w:val="false"/>
          <w:i w:val="false"/>
          <w:iCs w:val="false"/>
          <w:color w:val="1E293B"/>
          <w:sz w:val="20"/>
          <w:szCs w:val="20"/>
        </w:rPr>
        <w:t xml:space="preserve">Priority placement for Pro and Elite candidates is not a vague benefit — it is a literal queue position. Indian candidates understand queues intimately. Priority placement framed as 'your application is seen first, with the same skills' is immediately concrete.</w:t>
      </w:r>
    </w:p>
    <w:p>
      <w:pPr>
        <w:spacing w:before="60" w:after="0"/>
      </w:pPr>
      <w:r>
        <w:t xml:space="preserve"/>
      </w:r>
    </w:p>
    <w:p>
      <w:pPr>
        <w:spacing w:before="60" w:after="80"/>
        <w:jc w:val="left"/>
      </w:pPr>
      <w:r>
        <w:rPr>
          <w:rFonts w:ascii="Arial" w:cs="Arial" w:eastAsia="Arial" w:hAnsi="Arial"/>
          <w:b/>
          <w:bCs/>
          <w:i w:val="false"/>
          <w:iCs w:val="false"/>
          <w:color w:val="0D3B26"/>
          <w:sz w:val="20"/>
          <w:szCs w:val="20"/>
        </w:rPr>
        <w:t xml:space="preserve">Narrative 4: 'Pay Nothing Until You're Earning'</w:t>
      </w:r>
    </w:p>
    <w:p>
      <w:pPr>
        <w:spacing w:before="60" w:after="80"/>
        <w:jc w:val="left"/>
      </w:pPr>
      <w:r>
        <w:rPr>
          <w:rFonts w:ascii="Arial" w:cs="Arial" w:eastAsia="Arial" w:hAnsi="Arial"/>
          <w:b w:val="false"/>
          <w:bCs w:val="false"/>
          <w:i w:val="false"/>
          <w:iCs w:val="false"/>
          <w:color w:val="1E293B"/>
          <w:sz w:val="20"/>
          <w:szCs w:val="20"/>
        </w:rPr>
        <w:t xml:space="preserve">The ISA / Pay-After-Placement option reframes the subscription not as an expense but as a zero-downside career investment. This narrative is the most powerful conversion tool for rural and first-generation students whose families cannot risk pre-income expenditure.</w:t>
      </w:r>
    </w:p>
    <w:p>
      <w:pPr>
        <w:spacing w:before="60" w:after="0"/>
      </w:pPr>
      <w:r>
        <w:t xml:space="preserve"/>
      </w:r>
    </w:p>
    <w:p>
      <w:pPr>
        <w:spacing w:before="60" w:after="80"/>
        <w:jc w:val="left"/>
      </w:pPr>
      <w:r>
        <w:rPr>
          <w:rFonts w:ascii="Arial" w:cs="Arial" w:eastAsia="Arial" w:hAnsi="Arial"/>
          <w:b/>
          <w:bCs/>
          <w:i w:val="false"/>
          <w:iCs w:val="false"/>
          <w:color w:val="0D3B26"/>
          <w:sz w:val="20"/>
          <w:szCs w:val="20"/>
        </w:rPr>
        <w:t xml:space="preserve">Narrative 5: 'Your Batch Is Moving — Are You?'</w:t>
      </w:r>
    </w:p>
    <w:p>
      <w:pPr>
        <w:spacing w:before="60" w:after="80"/>
        <w:jc w:val="left"/>
      </w:pPr>
      <w:r>
        <w:rPr>
          <w:rFonts w:ascii="Arial" w:cs="Arial" w:eastAsia="Arial" w:hAnsi="Arial"/>
          <w:b w:val="false"/>
          <w:bCs w:val="false"/>
          <w:i w:val="false"/>
          <w:iCs w:val="false"/>
          <w:color w:val="1E293B"/>
          <w:sz w:val="20"/>
          <w:szCs w:val="20"/>
        </w:rPr>
        <w:t xml:space="preserve">Cohort comparison notifications and monthly platform momentum posts create belonging pressure. The fear of being left behind by peers who are visibly progressing converts hesitant candidates more reliably than any feature description.</w:t>
      </w:r>
    </w:p>
    <w:p>
      <w:pPr>
        <w:spacing w:before="120" w:after="0"/>
      </w:pPr>
      <w:r>
        <w:t xml:space="preserve"/>
      </w:r>
    </w:p>
    <w:p>
      <w:pPr>
        <w:spacing w:before="220" w:after="100"/>
      </w:pPr>
      <w:r>
        <w:rPr>
          <w:rFonts w:ascii="Arial" w:cs="Arial" w:eastAsia="Arial" w:hAnsi="Arial"/>
          <w:b/>
          <w:bCs/>
          <w:color w:val="1A6B47"/>
          <w:sz w:val="24"/>
          <w:szCs w:val="24"/>
        </w:rPr>
        <w:t xml:space="preserve">Priority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D3B26"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Quick Wins — Launch This Week</w:t>
            </w:r>
          </w:p>
        </w:tc>
        <w:tc>
          <w:tcPr>
            <w:tcW w:type="dxa" w:w="3120"/>
            <w:tcBorders>
              <w:top w:val="single" w:color="CBD5E1" w:sz="4"/>
              <w:left w:val="single" w:color="CBD5E1" w:sz="4"/>
              <w:bottom w:val="single" w:color="CBD5E1" w:sz="4"/>
              <w:right w:val="single" w:color="CBD5E1" w:sz="4"/>
            </w:tcBorders>
            <w:shd w:fill="1E40A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Growth Plays — Month 2–3</w:t>
            </w:r>
          </w:p>
        </w:tc>
        <w:tc>
          <w:tcPr>
            <w:tcW w:type="dxa" w:w="3120"/>
            <w:tcBorders>
              <w:top w:val="single" w:color="CBD5E1" w:sz="4"/>
              <w:left w:val="single" w:color="CBD5E1" w:sz="4"/>
              <w:bottom w:val="single" w:color="CBD5E1" w:sz="4"/>
              <w:right w:val="single" w:color="CBD5E1" w:sz="4"/>
            </w:tcBorders>
            <w:shd w:fill="D97706"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Long-Game Builders — Ongoing</w:t>
            </w:r>
          </w:p>
        </w:tc>
      </w:tr>
      <w:tr>
        <w:tc>
          <w:tcPr>
            <w:tcW w:type="dxa" w:w="3120"/>
            <w:tcBorders>
              <w:top w:val="single" w:color="CBD5E1" w:sz="4"/>
              <w:left w:val="single" w:color="CBD5E1" w:sz="4"/>
              <w:bottom w:val="single" w:color="CBD5E1" w:sz="4"/>
              <w:right w:val="single" w:color="CBD5E1" w:sz="4"/>
            </w:tcBorders>
            <w:shd w:fill="E6F4EE" w:val="clear"/>
            <w:tcMar>
              <w:top w:type="dxa" w:w="100"/>
              <w:left w:type="dxa" w:w="140"/>
              <w:bottom w:type="dxa" w:w="100"/>
              <w:right w:type="dxa" w:w="140"/>
            </w:tcMar>
          </w:tcPr>
          <w:p>
            <w:pPr>
              <w:pStyle w:val="ListParagraph"/>
              <w:numPr>
                <w:ilvl w:val="0"/>
                <w:numId w:val="2"/>
              </w:numPr>
              <w:spacing w:before="30" w:after="40"/>
            </w:pPr>
            <w:r>
              <w:rPr>
                <w:rFonts w:ascii="Arial" w:cs="Arial" w:eastAsia="Arial" w:hAnsi="Arial"/>
                <w:sz w:val="18"/>
                <w:szCs w:val="18"/>
              </w:rPr>
              <w:t xml:space="preserve">#1 Plan Upgrade FOMO Card</w:t>
            </w:r>
          </w:p>
          <w:p>
            <w:pPr>
              <w:pStyle w:val="ListParagraph"/>
              <w:numPr>
                <w:ilvl w:val="0"/>
                <w:numId w:val="2"/>
              </w:numPr>
              <w:spacing w:before="30" w:after="40"/>
            </w:pPr>
            <w:r>
              <w:rPr>
                <w:rFonts w:ascii="Arial" w:cs="Arial" w:eastAsia="Arial" w:hAnsi="Arial"/>
                <w:sz w:val="18"/>
                <w:szCs w:val="18"/>
              </w:rPr>
              <w:t xml:space="preserve">#3 Belt Level WhatsApp Kit</w:t>
            </w:r>
          </w:p>
          <w:p>
            <w:pPr>
              <w:pStyle w:val="ListParagraph"/>
              <w:numPr>
                <w:ilvl w:val="0"/>
                <w:numId w:val="2"/>
              </w:numPr>
              <w:spacing w:before="30" w:after="40"/>
            </w:pPr>
            <w:r>
              <w:rPr>
                <w:rFonts w:ascii="Arial" w:cs="Arial" w:eastAsia="Arial" w:hAnsi="Arial"/>
                <w:sz w:val="18"/>
                <w:szCs w:val="18"/>
              </w:rPr>
              <w:t xml:space="preserve">#7 Verified Badge Campaign</w:t>
            </w:r>
          </w:p>
          <w:p>
            <w:pPr>
              <w:pStyle w:val="ListParagraph"/>
              <w:numPr>
                <w:ilvl w:val="0"/>
                <w:numId w:val="2"/>
              </w:numPr>
              <w:spacing w:before="30" w:after="40"/>
            </w:pPr>
            <w:r>
              <w:rPr>
                <w:rFonts w:ascii="Arial" w:cs="Arial" w:eastAsia="Arial" w:hAnsi="Arial"/>
                <w:sz w:val="18"/>
                <w:szCs w:val="18"/>
              </w:rPr>
              <w:t xml:space="preserve">#8 '5 Applications' Story</w:t>
            </w:r>
          </w:p>
          <w:p>
            <w:pPr>
              <w:pStyle w:val="ListParagraph"/>
              <w:numPr>
                <w:ilvl w:val="0"/>
                <w:numId w:val="2"/>
              </w:numPr>
              <w:spacing w:before="30" w:after="40"/>
            </w:pPr>
            <w:r>
              <w:rPr>
                <w:rFonts w:ascii="Arial" w:cs="Arial" w:eastAsia="Arial" w:hAnsi="Arial"/>
                <w:sz w:val="18"/>
                <w:szCs w:val="18"/>
              </w:rPr>
              <w:t xml:space="preserve">#23 National Percentile Hook</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pStyle w:val="ListParagraph"/>
              <w:numPr>
                <w:ilvl w:val="0"/>
                <w:numId w:val="2"/>
              </w:numPr>
              <w:spacing w:before="30" w:after="40"/>
            </w:pPr>
            <w:r>
              <w:rPr>
                <w:rFonts w:ascii="Arial" w:cs="Arial" w:eastAsia="Arial" w:hAnsi="Arial"/>
                <w:sz w:val="18"/>
                <w:szCs w:val="18"/>
              </w:rPr>
              <w:t xml:space="preserve">#4 Salary Prediction Challenge</w:t>
            </w:r>
          </w:p>
          <w:p>
            <w:pPr>
              <w:pStyle w:val="ListParagraph"/>
              <w:numPr>
                <w:ilvl w:val="0"/>
                <w:numId w:val="2"/>
              </w:numPr>
              <w:spacing w:before="30" w:after="40"/>
            </w:pPr>
            <w:r>
              <w:rPr>
                <w:rFonts w:ascii="Arial" w:cs="Arial" w:eastAsia="Arial" w:hAnsi="Arial"/>
                <w:sz w:val="18"/>
                <w:szCs w:val="18"/>
              </w:rPr>
              <w:t xml:space="preserve">#9 GD Score Correlation Post</w:t>
            </w:r>
          </w:p>
          <w:p>
            <w:pPr>
              <w:pStyle w:val="ListParagraph"/>
              <w:numPr>
                <w:ilvl w:val="0"/>
                <w:numId w:val="2"/>
              </w:numPr>
              <w:spacing w:before="30" w:after="40"/>
            </w:pPr>
            <w:r>
              <w:rPr>
                <w:rFonts w:ascii="Arial" w:cs="Arial" w:eastAsia="Arial" w:hAnsi="Arial"/>
                <w:sz w:val="18"/>
                <w:szCs w:val="18"/>
              </w:rPr>
              <w:t xml:space="preserve">#14 Priority Lane Visual</w:t>
            </w:r>
          </w:p>
          <w:p>
            <w:pPr>
              <w:pStyle w:val="ListParagraph"/>
              <w:numPr>
                <w:ilvl w:val="0"/>
                <w:numId w:val="2"/>
              </w:numPr>
              <w:spacing w:before="30" w:after="40"/>
            </w:pPr>
            <w:r>
              <w:rPr>
                <w:rFonts w:ascii="Arial" w:cs="Arial" w:eastAsia="Arial" w:hAnsi="Arial"/>
                <w:sz w:val="18"/>
                <w:szCs w:val="18"/>
              </w:rPr>
              <w:t xml:space="preserve">#22 Unlimited vs 5 Data Post</w:t>
            </w:r>
          </w:p>
          <w:p>
            <w:pPr>
              <w:pStyle w:val="ListParagraph"/>
              <w:numPr>
                <w:ilvl w:val="0"/>
                <w:numId w:val="2"/>
              </w:numPr>
              <w:spacing w:before="30" w:after="40"/>
            </w:pPr>
            <w:r>
              <w:rPr>
                <w:rFonts w:ascii="Arial" w:cs="Arial" w:eastAsia="Arial" w:hAnsi="Arial"/>
                <w:sz w:val="18"/>
                <w:szCs w:val="18"/>
              </w:rPr>
              <w:t xml:space="preserve">#28 District Pride Leaderboard</w:t>
            </w:r>
          </w:p>
        </w:tc>
        <w:tc>
          <w:tcPr>
            <w:tcW w:type="dxa" w:w="312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pStyle w:val="ListParagraph"/>
              <w:numPr>
                <w:ilvl w:val="0"/>
                <w:numId w:val="2"/>
              </w:numPr>
              <w:spacing w:before="30" w:after="40"/>
            </w:pPr>
            <w:r>
              <w:rPr>
                <w:rFonts w:ascii="Arial" w:cs="Arial" w:eastAsia="Arial" w:hAnsi="Arial"/>
                <w:sz w:val="18"/>
                <w:szCs w:val="18"/>
              </w:rPr>
              <w:t xml:space="preserve">#16 Streak Counter Signal</w:t>
            </w:r>
          </w:p>
          <w:p>
            <w:pPr>
              <w:pStyle w:val="ListParagraph"/>
              <w:numPr>
                <w:ilvl w:val="0"/>
                <w:numId w:val="2"/>
              </w:numPr>
              <w:spacing w:before="30" w:after="40"/>
            </w:pPr>
            <w:r>
              <w:rPr>
                <w:rFonts w:ascii="Arial" w:cs="Arial" w:eastAsia="Arial" w:hAnsi="Arial"/>
                <w:sz w:val="18"/>
                <w:szCs w:val="18"/>
              </w:rPr>
              <w:t xml:space="preserve">#19 Cohort Re-Engagement</w:t>
            </w:r>
          </w:p>
          <w:p>
            <w:pPr>
              <w:pStyle w:val="ListParagraph"/>
              <w:numPr>
                <w:ilvl w:val="0"/>
                <w:numId w:val="2"/>
              </w:numPr>
              <w:spacing w:before="30" w:after="40"/>
            </w:pPr>
            <w:r>
              <w:rPr>
                <w:rFonts w:ascii="Arial" w:cs="Arial" w:eastAsia="Arial" w:hAnsi="Arial"/>
                <w:sz w:val="18"/>
                <w:szCs w:val="18"/>
              </w:rPr>
              <w:t xml:space="preserve">#24 '1-Year Transformation'</w:t>
            </w:r>
          </w:p>
          <w:p>
            <w:pPr>
              <w:pStyle w:val="ListParagraph"/>
              <w:numPr>
                <w:ilvl w:val="0"/>
                <w:numId w:val="2"/>
              </w:numPr>
              <w:spacing w:before="30" w:after="40"/>
            </w:pPr>
            <w:r>
              <w:rPr>
                <w:rFonts w:ascii="Arial" w:cs="Arial" w:eastAsia="Arial" w:hAnsi="Arial"/>
                <w:sz w:val="18"/>
                <w:szCs w:val="18"/>
              </w:rPr>
              <w:t xml:space="preserve">#26 Recruiter 'Saw Your Passport'</w:t>
            </w:r>
          </w:p>
          <w:p>
            <w:pPr>
              <w:pStyle w:val="ListParagraph"/>
              <w:numPr>
                <w:ilvl w:val="0"/>
                <w:numId w:val="2"/>
              </w:numPr>
              <w:spacing w:before="30" w:after="40"/>
            </w:pPr>
            <w:r>
              <w:rPr>
                <w:rFonts w:ascii="Arial" w:cs="Arial" w:eastAsia="Arial" w:hAnsi="Arial"/>
                <w:sz w:val="18"/>
                <w:szCs w:val="18"/>
              </w:rPr>
              <w:t xml:space="preserve">#30 Elite IP Lock Post</w:t>
            </w:r>
          </w:p>
        </w:tc>
      </w:tr>
    </w:tbl>
    <w:p>
      <w:pPr>
        <w:spacing w:before="200" w:after="0"/>
      </w:pPr>
      <w:r>
        <w:t xml:space="preserve"/>
      </w:r>
    </w:p>
    <w:p>
      <w:pPr>
        <w:pBdr>
          <w:top w:val="single" w:color="CBD5E1" w:sz="4" w:space="8"/>
        </w:pBdr>
        <w:spacing w:before="160" w:after="0"/>
        <w:jc w:val="center"/>
      </w:pPr>
      <w:r>
        <w:rPr>
          <w:rFonts w:ascii="Arial" w:cs="Arial" w:eastAsia="Arial" w:hAnsi="Arial"/>
          <w:i/>
          <w:iCs/>
          <w:color w:val="64748B"/>
          <w:sz w:val="16"/>
          <w:szCs w:val="16"/>
        </w:rPr>
        <w:t xml:space="preserve">ECOSKILLER  |  Candidate Subscription — Analysis &amp; Growth Strategy  |  Confidential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2026-03-12T07:48:34.720Z</dcterms:created>
  <dcterms:modified xsi:type="dcterms:W3CDTF">2026-03-12T07:48:34.721Z</dcterms:modified>
</cp:coreProperties>
</file>

<file path=docProps/custom.xml><?xml version="1.0" encoding="utf-8"?>
<Properties xmlns="http://schemas.openxmlformats.org/officeDocument/2006/custom-properties" xmlns:vt="http://schemas.openxmlformats.org/officeDocument/2006/docPropsVTypes"/>
</file>