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rPr>
          <w:rFonts w:ascii="Arial" w:cs="Arial" w:eastAsia="Arial" w:hAnsi="Arial"/>
          <w:b/>
          <w:bCs/>
          <w:color w:val="1B5E9B"/>
          <w:sz w:val="60"/>
          <w:szCs w:val="60"/>
        </w:rPr>
        <w:t xml:space="preserve">Offer Management</w:t>
      </w:r>
    </w:p>
    <w:p>
      <w:pPr>
        <w:spacing w:before="0" w:after="80"/>
        <w:jc w:val="center"/>
      </w:pPr>
      <w:r>
        <w:rPr>
          <w:rFonts w:ascii="Arial" w:cs="Arial" w:eastAsia="Arial" w:hAnsi="Arial"/>
          <w:i/>
          <w:iCs/>
          <w:color w:val="6B7280"/>
          <w:sz w:val="26"/>
          <w:szCs w:val="26"/>
        </w:rPr>
        <w:t xml:space="preserve">Complete Feature Specifications &amp; In-Depth Descriptions</w:t>
      </w:r>
    </w:p>
    <w:p>
      <w:pPr>
        <w:pBdr>
          <w:bottom w:val="single" w:color="2E75B6" w:sz="8" w:space="8"/>
        </w:pBdr>
        <w:spacing w:before="0" w:after="600"/>
        <w:jc w:val="center"/>
      </w:pPr>
      <w:r>
        <w:rPr>
          <w:rFonts w:ascii="Arial" w:cs="Arial" w:eastAsia="Arial" w:hAnsi="Arial"/>
          <w:b/>
          <w:bCs/>
          <w:color w:val="1B5E9B"/>
          <w:sz w:val="22"/>
          <w:szCs w:val="22"/>
        </w:rPr>
        <w:t xml:space="preserve">9 Modules  •  28 Features  •  Platform Reference Guide</w:t>
      </w:r>
    </w:p>
    <w:p>
      <w:pPr>
        <w:spacing w:before="200" w:after="0"/>
      </w:pPr>
      <w:r>
        <w:t xml:space="preserve"/>
      </w:r>
    </w:p>
    <w:p>
      <w:pPr>
        <w:pStyle w:val="Heading1"/>
        <w:pBdr>
          <w:bottom w:val="single" w:color="2E75B6" w:sz="10" w:space="6"/>
        </w:pBdr>
        <w:spacing w:before="480" w:after="160"/>
      </w:pPr>
      <w:r>
        <w:rPr>
          <w:rFonts w:ascii="Arial" w:cs="Arial" w:eastAsia="Arial" w:hAnsi="Arial"/>
          <w:b/>
          <w:bCs/>
          <w:color w:val="1B5E9B"/>
          <w:sz w:val="38"/>
          <w:szCs w:val="38"/>
        </w:rPr>
        <w:t xml:space="preserve">1. Offer Creation &amp; Management</w:t>
      </w:r>
    </w:p>
    <w:p>
      <w:pPr>
        <w:spacing w:before="60" w:after="100"/>
      </w:pPr>
      <w:r>
        <w:rPr>
          <w:rFonts w:ascii="Arial" w:cs="Arial" w:eastAsia="Arial" w:hAnsi="Arial"/>
          <w:color w:val="2D2D2D"/>
          <w:sz w:val="22"/>
          <w:szCs w:val="22"/>
        </w:rPr>
        <w:t xml:space="preserve">The Offer Creation &amp; Management module is the operational heart of the entire offer lifecycle. It transforms what has traditionally been a manually intensive, error-prone process — assembling offer letters in Word documents, copying candidate details by hand, and emailing PDFs for approval — into a structured, automated, and auditable workflow. Every element of an offer, from the candidate's name to a complex equity vesting schedule, is captured in structured data fields that drive both the document the candidate receives and the downstream systems that process their employment.</w:t>
      </w:r>
    </w:p>
    <w:p>
      <w:pPr>
        <w:spacing w:before="80" w:after="0"/>
      </w:pPr>
      <w:r>
        <w:t xml:space="preserve"/>
      </w:r>
    </w:p>
    <w:p>
      <w:pPr>
        <w:pStyle w:val="Heading2"/>
        <w:spacing w:before="320" w:after="120"/>
      </w:pPr>
      <w:r>
        <w:rPr>
          <w:rFonts w:ascii="Arial" w:cs="Arial" w:eastAsia="Arial" w:hAnsi="Arial"/>
          <w:b/>
          <w:bCs/>
          <w:color w:val="1A1A2E"/>
          <w:sz w:val="27"/>
          <w:szCs w:val="27"/>
        </w:rPr>
        <w:t xml:space="preserve">1.1 Offer Letter Builder</w:t>
      </w:r>
    </w:p>
    <w:p>
      <w:pPr>
        <w:spacing w:before="60" w:after="100"/>
      </w:pPr>
      <w:r>
        <w:rPr>
          <w:rFonts w:ascii="Arial" w:cs="Arial" w:eastAsia="Arial" w:hAnsi="Arial"/>
          <w:color w:val="2D2D2D"/>
          <w:sz w:val="22"/>
          <w:szCs w:val="22"/>
        </w:rPr>
        <w:t xml:space="preserve">The Offer Letter Builder is a purpose-built document authoring environment that goes far beyond a standard word processor. It understands the anatomy of an employment offer — the required clauses, the mandatory disclosures, the compensation structure — and provides a guided authoring experience that ensures every offer letter produced is complete, professionally formatted, and legally defensible.</w:t>
      </w:r>
    </w:p>
    <w:p>
      <w:pPr>
        <w:pStyle w:val="ListParagraph"/>
        <w:numPr>
          <w:ilvl w:val="0"/>
          <w:numId w:val="2"/>
        </w:numPr>
        <w:spacing w:before="40" w:after="40"/>
      </w:pPr>
      <w:r>
        <w:rPr>
          <w:rFonts w:ascii="Arial" w:cs="Arial" w:eastAsia="Arial" w:hAnsi="Arial"/>
          <w:color w:val="2D2D2D"/>
          <w:sz w:val="22"/>
          <w:szCs w:val="22"/>
        </w:rPr>
        <w:t xml:space="preserve">Section-by-section guided composition: the builder presents offer letter content in named, structured sections — Role &amp; Reporting Structure, Compensation Package, Start Date &amp; Location, Employment Conditions, Benefits Summary, Confidentiality &amp; Non-Disclosure, Intellectual Property Assignment, At-Will Employment Disclaimer (where applicable), and Acceptance Instructions. Each section has instructional placeholder text that guides the author through required content without leaving gaps.</w:t>
      </w:r>
    </w:p>
    <w:p>
      <w:pPr>
        <w:pStyle w:val="ListParagraph"/>
        <w:numPr>
          <w:ilvl w:val="0"/>
          <w:numId w:val="2"/>
        </w:numPr>
        <w:spacing w:before="40" w:after="40"/>
      </w:pPr>
      <w:r>
        <w:rPr>
          <w:rFonts w:ascii="Arial" w:cs="Arial" w:eastAsia="Arial" w:hAnsi="Arial"/>
          <w:color w:val="2D2D2D"/>
          <w:sz w:val="22"/>
          <w:szCs w:val="22"/>
        </w:rPr>
        <w:t xml:space="preserve">Rich text formatting with brand compliance: the editor supports headers, body text, bold and italic emphasis, ordered and unordered lists, tables (for compensation breakdowns), and hyperlinks. Brand compliance controls allow HR administrators to lock font families, font sizes, and color palettes to the organization's style guide, preventing individual recruiters from producing off-brand offer documents.</w:t>
      </w:r>
    </w:p>
    <w:p>
      <w:pPr>
        <w:pStyle w:val="ListParagraph"/>
        <w:numPr>
          <w:ilvl w:val="0"/>
          <w:numId w:val="2"/>
        </w:numPr>
        <w:spacing w:before="40" w:after="40"/>
      </w:pPr>
      <w:r>
        <w:rPr>
          <w:rFonts w:ascii="Arial" w:cs="Arial" w:eastAsia="Arial" w:hAnsi="Arial"/>
          <w:color w:val="2D2D2D"/>
          <w:sz w:val="22"/>
          <w:szCs w:val="22"/>
        </w:rPr>
        <w:t xml:space="preserve">Real-time rendered preview: a live preview pane renders the offer letter as a formatted PDF-equivalent as the author types, eliminating layout surprises discovered only after the document is generated. The preview reflects the actual candidate-facing document, not an approximation.</w:t>
      </w:r>
    </w:p>
    <w:p>
      <w:pPr>
        <w:pStyle w:val="ListParagraph"/>
        <w:numPr>
          <w:ilvl w:val="0"/>
          <w:numId w:val="2"/>
        </w:numPr>
        <w:spacing w:before="40" w:after="40"/>
      </w:pPr>
      <w:r>
        <w:rPr>
          <w:rFonts w:ascii="Arial" w:cs="Arial" w:eastAsia="Arial" w:hAnsi="Arial"/>
          <w:color w:val="2D2D2D"/>
          <w:sz w:val="22"/>
          <w:szCs w:val="22"/>
        </w:rPr>
        <w:t xml:space="preserve">Conditional content blocks: sections of the offer letter can be configured to appear or hide based on offer attributes — e.g., the ESOP vesting schedule section appears only when stock options are included in the compensation package; the relocation allowance clause appears only when the role requires relocation. This prevents cluttered offers full of 'N/A' sections and reduces legal risk from inapplicable clauses.</w:t>
      </w:r>
    </w:p>
    <w:p>
      <w:pPr>
        <w:pStyle w:val="ListParagraph"/>
        <w:numPr>
          <w:ilvl w:val="0"/>
          <w:numId w:val="2"/>
        </w:numPr>
        <w:spacing w:before="40" w:after="40"/>
      </w:pPr>
      <w:r>
        <w:rPr>
          <w:rFonts w:ascii="Arial" w:cs="Arial" w:eastAsia="Arial" w:hAnsi="Arial"/>
          <w:color w:val="2D2D2D"/>
          <w:sz w:val="22"/>
          <w:szCs w:val="22"/>
        </w:rPr>
        <w:t xml:space="preserve">Multi-language offer generation: for international hires, offers can be generated in the candidate's preferred language using the platform's localized template library, with jurisdiction-specific legal language automatically applied based on the employment location.</w:t>
      </w:r>
    </w:p>
    <w:p>
      <w:pPr>
        <w:pStyle w:val="ListParagraph"/>
        <w:numPr>
          <w:ilvl w:val="0"/>
          <w:numId w:val="2"/>
        </w:numPr>
        <w:spacing w:before="40" w:after="40"/>
      </w:pPr>
      <w:r>
        <w:rPr>
          <w:rFonts w:ascii="Arial" w:cs="Arial" w:eastAsia="Arial" w:hAnsi="Arial"/>
          <w:color w:val="2D2D2D"/>
          <w:sz w:val="22"/>
          <w:szCs w:val="22"/>
        </w:rPr>
        <w:t xml:space="preserve">PDF and Word export: finalized offers are exported as professionally formatted PDFs for e-signature delivery or as Word documents for organizations that require a specific internal format for HR file storage — with all dynamic fields fully resolved in the exported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BF3FB" w:val="clear"/>
            <w:tcMar>
              <w:top w:type="dxa" w:w="120"/>
              <w:left w:type="dxa" w:w="220"/>
              <w:bottom w:type="dxa" w:w="120"/>
              <w:right w:type="dxa" w:w="220"/>
            </w:tcMar>
          </w:tcPr>
          <w:p>
            <w:pPr>
              <w:spacing w:before="0" w:after="0"/>
            </w:pPr>
            <w:r>
              <w:rPr>
                <w:rFonts w:ascii="Arial" w:cs="Arial" w:eastAsia="Arial" w:hAnsi="Arial"/>
                <w:b/>
                <w:bCs/>
                <w:color w:val="1B5E9B"/>
                <w:sz w:val="20"/>
                <w:szCs w:val="20"/>
              </w:rPr>
              <w:t xml:space="preserve">Business Impact:  </w:t>
            </w:r>
            <w:r>
              <w:rPr>
                <w:rFonts w:ascii="Arial" w:cs="Arial" w:eastAsia="Arial" w:hAnsi="Arial"/>
                <w:i/>
                <w:iCs/>
                <w:color w:val="374151"/>
                <w:sz w:val="20"/>
                <w:szCs w:val="20"/>
              </w:rPr>
              <w:t xml:space="preserve">Structured offer letter builders reduce average offer preparation time from 3–4 hours to under 30 minutes, while simultaneously reducing offer letter error rates by over 70% through elimination of manual data entry.</w:t>
            </w:r>
          </w:p>
        </w:tc>
      </w:tr>
    </w:tbl>
    <w:p>
      <w:pPr>
        <w:spacing w:before="120" w:after="0"/>
      </w:pPr>
      <w:r>
        <w:t xml:space="preserve"/>
      </w:r>
    </w:p>
    <w:p>
      <w:pPr>
        <w:pStyle w:val="Heading2"/>
        <w:spacing w:before="320" w:after="120"/>
      </w:pPr>
      <w:r>
        <w:rPr>
          <w:rFonts w:ascii="Arial" w:cs="Arial" w:eastAsia="Arial" w:hAnsi="Arial"/>
          <w:b/>
          <w:bCs/>
          <w:color w:val="1A1A2E"/>
          <w:sz w:val="27"/>
          <w:szCs w:val="27"/>
        </w:rPr>
        <w:t xml:space="preserve">1.2 Offer Letter Templates</w:t>
      </w:r>
    </w:p>
    <w:p>
      <w:pPr>
        <w:spacing w:before="60" w:after="100"/>
      </w:pPr>
      <w:r>
        <w:rPr>
          <w:rFonts w:ascii="Arial" w:cs="Arial" w:eastAsia="Arial" w:hAnsi="Arial"/>
          <w:color w:val="2D2D2D"/>
          <w:sz w:val="22"/>
          <w:szCs w:val="22"/>
        </w:rPr>
        <w:t xml:space="preserve">Creating a new offer letter from scratch for every hire introduces variability, inconsistency, and unnecessary time cost. Offer letter templates encode approved, legally reviewed language into reusable structures that serve as the starting point for every offer — ensuring quality, consistency, and compliance from the first character.</w:t>
      </w:r>
    </w:p>
    <w:p>
      <w:pPr>
        <w:pStyle w:val="ListParagraph"/>
        <w:numPr>
          <w:ilvl w:val="0"/>
          <w:numId w:val="2"/>
        </w:numPr>
        <w:spacing w:before="40" w:after="40"/>
      </w:pPr>
      <w:r>
        <w:rPr>
          <w:rFonts w:ascii="Arial" w:cs="Arial" w:eastAsia="Arial" w:hAnsi="Arial"/>
          <w:color w:val="2D2D2D"/>
          <w:sz w:val="22"/>
          <w:szCs w:val="22"/>
        </w:rPr>
        <w:t xml:space="preserve">Role-type template library: the platform ships with a foundational template library covering the most common employment arrangements — Full-Time Permanent Employee, Part-Time Employee, Fixed-Term Contract Employee, Independent Contractor / Consultant, Intern / Apprentice, C-Suite Executive (with enhanced provisions for severance, COBRA, and equity), and Rehire. Each template includes the appropriate legal framework for its employment type.</w:t>
      </w:r>
    </w:p>
    <w:p>
      <w:pPr>
        <w:pStyle w:val="ListParagraph"/>
        <w:numPr>
          <w:ilvl w:val="0"/>
          <w:numId w:val="2"/>
        </w:numPr>
        <w:spacing w:before="40" w:after="40"/>
      </w:pPr>
      <w:r>
        <w:rPr>
          <w:rFonts w:ascii="Arial" w:cs="Arial" w:eastAsia="Arial" w:hAnsi="Arial"/>
          <w:color w:val="2D2D2D"/>
          <w:sz w:val="22"/>
          <w:szCs w:val="22"/>
        </w:rPr>
        <w:t xml:space="preserve">Jurisdiction-specific template variants: for organizations hiring across multiple countries or US states, each template has jurisdiction-specific variants that incorporate locally required language — e.g., California-specific at-will language, UK employment contract statutory particulars (as required by the Employment Rights Act 1996), EU written statement requirements, or specific Australian Fair Work Act provisions.</w:t>
      </w:r>
    </w:p>
    <w:p>
      <w:pPr>
        <w:pStyle w:val="ListParagraph"/>
        <w:numPr>
          <w:ilvl w:val="0"/>
          <w:numId w:val="2"/>
        </w:numPr>
        <w:spacing w:before="40" w:after="40"/>
      </w:pPr>
      <w:r>
        <w:rPr>
          <w:rFonts w:ascii="Arial" w:cs="Arial" w:eastAsia="Arial" w:hAnsi="Arial"/>
          <w:color w:val="2D2D2D"/>
          <w:sz w:val="22"/>
          <w:szCs w:val="22"/>
        </w:rPr>
        <w:t xml:space="preserve">Template governance and approval workflow: new templates and template revisions require approval from legal counsel or HR leadership before activation. A template approval workflow routes draft templates to designated reviewers, records approval decisions with timestamps and reviewer identity, and activates the template only upon full approval — ensuring unauthorized template versions never reach candidates.</w:t>
      </w:r>
    </w:p>
    <w:p>
      <w:pPr>
        <w:pStyle w:val="ListParagraph"/>
        <w:numPr>
          <w:ilvl w:val="0"/>
          <w:numId w:val="2"/>
        </w:numPr>
        <w:spacing w:before="40" w:after="40"/>
      </w:pPr>
      <w:r>
        <w:rPr>
          <w:rFonts w:ascii="Arial" w:cs="Arial" w:eastAsia="Arial" w:hAnsi="Arial"/>
          <w:color w:val="2D2D2D"/>
          <w:sz w:val="22"/>
          <w:szCs w:val="22"/>
        </w:rPr>
        <w:t xml:space="preserve">Template versioning and deprecation: when an existing template is updated — due to a legal change, policy update, or compensation structure revision — the new version is published with a version number while the previous version is preserved in an archive. Active offers derived from the old template continue to reference the version they were created from; new offers use the current version.</w:t>
      </w:r>
    </w:p>
    <w:p>
      <w:pPr>
        <w:pStyle w:val="ListParagraph"/>
        <w:numPr>
          <w:ilvl w:val="0"/>
          <w:numId w:val="2"/>
        </w:numPr>
        <w:spacing w:before="40" w:after="40"/>
      </w:pPr>
      <w:r>
        <w:rPr>
          <w:rFonts w:ascii="Arial" w:cs="Arial" w:eastAsia="Arial" w:hAnsi="Arial"/>
          <w:color w:val="2D2D2D"/>
          <w:sz w:val="22"/>
          <w:szCs w:val="22"/>
        </w:rPr>
        <w:t xml:space="preserve">Template performance tracking: the system records which template each offer was derived from and tracks offer acceptance rates by template, enabling HR teams to identify whether template variants (e.g., different benefit presentation formats, different compensation disclosure styles) are influencing candidate decision-making.</w:t>
      </w:r>
    </w:p>
    <w:p>
      <w:pPr>
        <w:spacing w:before="120" w:after="0"/>
      </w:pPr>
      <w:r>
        <w:t xml:space="preserve"/>
      </w:r>
    </w:p>
    <w:p>
      <w:pPr>
        <w:pStyle w:val="Heading2"/>
        <w:spacing w:before="320" w:after="120"/>
      </w:pPr>
      <w:r>
        <w:rPr>
          <w:rFonts w:ascii="Arial" w:cs="Arial" w:eastAsia="Arial" w:hAnsi="Arial"/>
          <w:b/>
          <w:bCs/>
          <w:color w:val="1A1A2E"/>
          <w:sz w:val="27"/>
          <w:szCs w:val="27"/>
        </w:rPr>
        <w:t xml:space="preserve">1.3 Dynamic Offer Fields</w:t>
      </w:r>
    </w:p>
    <w:p>
      <w:pPr>
        <w:spacing w:before="60" w:after="100"/>
      </w:pPr>
      <w:r>
        <w:rPr>
          <w:rFonts w:ascii="Arial" w:cs="Arial" w:eastAsia="Arial" w:hAnsi="Arial"/>
          <w:color w:val="2D2D2D"/>
          <w:sz w:val="22"/>
          <w:szCs w:val="22"/>
        </w:rPr>
        <w:t xml:space="preserve">Dynamic offer fields are the mechanism by which the platform eliminates the manual, error-prone process of copying candidate and role data into offer letters. Instead of a recruiter manually typing a candidate's name, offer salary, and start date into a Word document — with all the associated risk of typos, stale data, and inconsistencies — the platform's field binding system populates every data point automatically from the candidate's record and the role's configuration.</w:t>
      </w:r>
    </w:p>
    <w:p>
      <w:pPr>
        <w:pStyle w:val="ListParagraph"/>
        <w:numPr>
          <w:ilvl w:val="0"/>
          <w:numId w:val="2"/>
        </w:numPr>
        <w:spacing w:before="40" w:after="40"/>
      </w:pPr>
      <w:r>
        <w:rPr>
          <w:rFonts w:ascii="Arial" w:cs="Arial" w:eastAsia="Arial" w:hAnsi="Arial"/>
          <w:color w:val="2D2D2D"/>
          <w:sz w:val="22"/>
          <w:szCs w:val="22"/>
        </w:rPr>
        <w:t xml:space="preserve">Comprehensive auto-population field set: the platform automatically resolves a rich set of offer fields at document generation time — Candidate Legal Full Name, Preferred Name, Current Address, Job Title, Department, Team, Reporting Manager Name and Title, Work Location (including remote work designation), Employment Start Date, Employment Type, Probationary Period Duration, Work Authorization Status, Recruiter Name and Contact, HR Business Partner Name, and all compensation fields.</w:t>
      </w:r>
    </w:p>
    <w:p>
      <w:pPr>
        <w:pStyle w:val="ListParagraph"/>
        <w:numPr>
          <w:ilvl w:val="0"/>
          <w:numId w:val="2"/>
        </w:numPr>
        <w:spacing w:before="40" w:after="40"/>
      </w:pPr>
      <w:r>
        <w:rPr>
          <w:rFonts w:ascii="Arial" w:cs="Arial" w:eastAsia="Arial" w:hAnsi="Arial"/>
          <w:color w:val="2D2D2D"/>
          <w:sz w:val="22"/>
          <w:szCs w:val="22"/>
        </w:rPr>
        <w:t xml:space="preserve">Real-time data binding with conflict detection: field values are pulled from the candidate's ATS profile, the approved job requisition, and the compensation approval record at the moment of offer generation. If a discrepancy exists between data sources (e.g., the ATS records a different salary than the compensation approval system), the platform surfaces a conflict warning and requires the recruiter to resolve the discrepancy before the offer can be generated — preventing the offer from encoding incorrect data.</w:t>
      </w:r>
    </w:p>
    <w:p>
      <w:pPr>
        <w:pStyle w:val="ListParagraph"/>
        <w:numPr>
          <w:ilvl w:val="0"/>
          <w:numId w:val="2"/>
        </w:numPr>
        <w:spacing w:before="40" w:after="40"/>
      </w:pPr>
      <w:r>
        <w:rPr>
          <w:rFonts w:ascii="Arial" w:cs="Arial" w:eastAsia="Arial" w:hAnsi="Arial"/>
          <w:color w:val="2D2D2D"/>
          <w:sz w:val="22"/>
          <w:szCs w:val="22"/>
        </w:rPr>
        <w:t xml:space="preserve">Custom field extension: organizations can define custom offer fields that map to custom data points in their ATS, HRIS, or compensation management system — e.g., a 'Cost Center Code' field for Finance, a 'Manager Employee ID' field for HRIS record linkage, or a 'Hiring Committee Reference Number' for compliance tracking. These fields auto-populate from their configured data sources just like standard fields.</w:t>
      </w:r>
    </w:p>
    <w:p>
      <w:pPr>
        <w:pStyle w:val="ListParagraph"/>
        <w:numPr>
          <w:ilvl w:val="0"/>
          <w:numId w:val="2"/>
        </w:numPr>
        <w:spacing w:before="40" w:after="40"/>
      </w:pPr>
      <w:r>
        <w:rPr>
          <w:rFonts w:ascii="Arial" w:cs="Arial" w:eastAsia="Arial" w:hAnsi="Arial"/>
          <w:color w:val="2D2D2D"/>
          <w:sz w:val="22"/>
          <w:szCs w:val="22"/>
        </w:rPr>
        <w:t xml:space="preserve">Field value override with audit logging: in cases where an auto-populated value needs to be manually overridden (e.g., a negotiated start date that differs from the originally planned date), the override is permitted but logged with the actor's identity, timestamp, and the original vs. overridden value. This creates a complete data provenance record for every offer field.</w:t>
      </w:r>
    </w:p>
    <w:p>
      <w:pPr>
        <w:pStyle w:val="ListParagraph"/>
        <w:numPr>
          <w:ilvl w:val="0"/>
          <w:numId w:val="2"/>
        </w:numPr>
        <w:spacing w:before="40" w:after="40"/>
      </w:pPr>
      <w:r>
        <w:rPr>
          <w:rFonts w:ascii="Arial" w:cs="Arial" w:eastAsia="Arial" w:hAnsi="Arial"/>
          <w:color w:val="2D2D2D"/>
          <w:sz w:val="22"/>
          <w:szCs w:val="22"/>
        </w:rPr>
        <w:t xml:space="preserve">Merge field preview and validation: before offer generation, a field resolution preview shows all merge field values as they will appear in the document, with a validation check that flags any fields that resolved to empty or to values outside configured business rules (e.g., a salary below the approved compensation band minimum) — giving the recruiter a final checkpoint before the document is generated.</w:t>
      </w:r>
    </w:p>
    <w:p>
      <w:pPr>
        <w:spacing w:before="120" w:after="0"/>
      </w:pPr>
      <w:r>
        <w:t xml:space="preserve"/>
      </w:r>
    </w:p>
    <w:p>
      <w:pPr>
        <w:pStyle w:val="Heading2"/>
        <w:spacing w:before="320" w:after="120"/>
      </w:pPr>
      <w:r>
        <w:rPr>
          <w:rFonts w:ascii="Arial" w:cs="Arial" w:eastAsia="Arial" w:hAnsi="Arial"/>
          <w:b/>
          <w:bCs/>
          <w:color w:val="1A1A2E"/>
          <w:sz w:val="27"/>
          <w:szCs w:val="27"/>
        </w:rPr>
        <w:t xml:space="preserve">1.4 Compensation Breakdown</w:t>
      </w:r>
    </w:p>
    <w:p>
      <w:pPr>
        <w:spacing w:before="60" w:after="100"/>
      </w:pPr>
      <w:r>
        <w:rPr>
          <w:rFonts w:ascii="Arial" w:cs="Arial" w:eastAsia="Arial" w:hAnsi="Arial"/>
          <w:color w:val="2D2D2D"/>
          <w:sz w:val="22"/>
          <w:szCs w:val="22"/>
        </w:rPr>
        <w:t xml:space="preserve">Modern compensation packages are multi-dimensional — candidates do not simply receive a salary, they receive a total rewards package comprising cash, equity, benefits, and variable pay components whose relative value can differ significantly across individuals and roles. The Compensation Breakdown feature enables HR teams to present the full picture of a candidate's total compensation in a structured, transparent format that builds candidate confidence and reduces negotiation friction.</w:t>
      </w:r>
    </w:p>
    <w:p>
      <w:pPr>
        <w:pStyle w:val="ListParagraph"/>
        <w:numPr>
          <w:ilvl w:val="0"/>
          <w:numId w:val="2"/>
        </w:numPr>
        <w:spacing w:before="40" w:after="40"/>
      </w:pPr>
      <w:r>
        <w:rPr>
          <w:rFonts w:ascii="Arial" w:cs="Arial" w:eastAsia="Arial" w:hAnsi="Arial"/>
          <w:color w:val="2D2D2D"/>
          <w:sz w:val="22"/>
          <w:szCs w:val="22"/>
        </w:rPr>
        <w:t xml:space="preserve">Structured compensation component framework: the platform provides a configurable total rewards component library — Base Salary (annualized and broken down by pay period), Signing Bonus (one-time, with vesting or repayment conditions), Annual Performance Bonus (target percentage and maximum), Quarterly or Monthly Bonus, Commission Structure (for sales roles, including OTE calculation), Equity / Stock Options (grant size, strike price, cliff, and vesting schedule), Restricted Stock Units (grant value, vesting schedule), Employee Stock Purchase Plan (ESPP) participation, Car Allowance, Housing Allowance, Relocation Package, and Education Reimbursement.</w:t>
      </w:r>
    </w:p>
    <w:p>
      <w:pPr>
        <w:pStyle w:val="ListParagraph"/>
        <w:numPr>
          <w:ilvl w:val="0"/>
          <w:numId w:val="2"/>
        </w:numPr>
        <w:spacing w:before="40" w:after="40"/>
      </w:pPr>
      <w:r>
        <w:rPr>
          <w:rFonts w:ascii="Arial" w:cs="Arial" w:eastAsia="Arial" w:hAnsi="Arial"/>
          <w:color w:val="2D2D2D"/>
          <w:sz w:val="22"/>
          <w:szCs w:val="22"/>
        </w:rPr>
        <w:t xml:space="preserve">Total compensation calculator: the platform computes and displays a 'Total Compensation Value' that aggregates all components into a single annual figure using configured methodologies (e.g., bonuses at target, options valued at current strike price, benefits at employer cost). This helps candidates understand the full value of the package rather than focusing solely on base salary.</w:t>
      </w:r>
    </w:p>
    <w:p>
      <w:pPr>
        <w:pStyle w:val="ListParagraph"/>
        <w:numPr>
          <w:ilvl w:val="0"/>
          <w:numId w:val="2"/>
        </w:numPr>
        <w:spacing w:before="40" w:after="40"/>
      </w:pPr>
      <w:r>
        <w:rPr>
          <w:rFonts w:ascii="Arial" w:cs="Arial" w:eastAsia="Arial" w:hAnsi="Arial"/>
          <w:color w:val="2D2D2D"/>
          <w:sz w:val="22"/>
          <w:szCs w:val="22"/>
        </w:rPr>
        <w:t xml:space="preserve">Equity vesting schedule visualizer: for offers including stock options or RSUs, a visual vesting timeline is generated showing cliff date, vesting milestones, and total grant value at each milestone. This visualization is optionally embedded in the offer letter, replacing complex textual descriptions with an intuitive graphical representation that candidates can easily understand.</w:t>
      </w:r>
    </w:p>
    <w:p>
      <w:pPr>
        <w:pStyle w:val="ListParagraph"/>
        <w:numPr>
          <w:ilvl w:val="0"/>
          <w:numId w:val="2"/>
        </w:numPr>
        <w:spacing w:before="40" w:after="40"/>
      </w:pPr>
      <w:r>
        <w:rPr>
          <w:rFonts w:ascii="Arial" w:cs="Arial" w:eastAsia="Arial" w:hAnsi="Arial"/>
          <w:color w:val="2D2D2D"/>
          <w:sz w:val="22"/>
          <w:szCs w:val="22"/>
        </w:rPr>
        <w:t xml:space="preserve">Compensation band compliance enforcement: the compensation breakdown editor validates each component against the approved compensation band for the role and level. Components that fall below the band minimum or exceed the band maximum trigger an approval requirement before the offer can progress — preventing unauthorized compensation commitments.</w:t>
      </w:r>
    </w:p>
    <w:p>
      <w:pPr>
        <w:pStyle w:val="ListParagraph"/>
        <w:numPr>
          <w:ilvl w:val="0"/>
          <w:numId w:val="2"/>
        </w:numPr>
        <w:spacing w:before="40" w:after="40"/>
      </w:pPr>
      <w:r>
        <w:rPr>
          <w:rFonts w:ascii="Arial" w:cs="Arial" w:eastAsia="Arial" w:hAnsi="Arial"/>
          <w:color w:val="2D2D2D"/>
          <w:sz w:val="22"/>
          <w:szCs w:val="22"/>
        </w:rPr>
        <w:t xml:space="preserve">Benefits summary integration: the platform integrates with benefits administration systems to pull the current employer cost and employee cost for health insurance, dental, vision, retirement plan matching, life insurance, and other benefits — displaying them alongside cash and equity components so candidates can assess the full economic value of their employment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BF3FB" w:val="clear"/>
            <w:tcMar>
              <w:top w:type="dxa" w:w="120"/>
              <w:left w:type="dxa" w:w="220"/>
              <w:bottom w:type="dxa" w:w="120"/>
              <w:right w:type="dxa" w:w="220"/>
            </w:tcMar>
          </w:tcPr>
          <w:p>
            <w:pPr>
              <w:spacing w:before="0" w:after="0"/>
            </w:pPr>
            <w:r>
              <w:rPr>
                <w:rFonts w:ascii="Arial" w:cs="Arial" w:eastAsia="Arial" w:hAnsi="Arial"/>
                <w:b/>
                <w:bCs/>
                <w:color w:val="1B5E9B"/>
                <w:sz w:val="20"/>
                <w:szCs w:val="20"/>
              </w:rPr>
              <w:t xml:space="preserve">Candidate Experience Note:  </w:t>
            </w:r>
            <w:r>
              <w:rPr>
                <w:rFonts w:ascii="Arial" w:cs="Arial" w:eastAsia="Arial" w:hAnsi="Arial"/>
                <w:i/>
                <w:iCs/>
                <w:color w:val="374151"/>
                <w:sz w:val="20"/>
                <w:szCs w:val="20"/>
              </w:rPr>
              <w:t xml:space="preserve">Offers presenting a full compensation breakdown with visual equity schedules show 18% higher acceptance rates than offers presenting base salary alone, primarily because candidates gain confidence that they understand the full package value before deciding.</w:t>
            </w:r>
          </w:p>
        </w:tc>
      </w:tr>
    </w:tbl>
    <w:p>
      <w:r>
        <w:br w:type="page"/>
      </w:r>
    </w:p>
    <w:p>
      <w:pPr>
        <w:pStyle w:val="Heading1"/>
        <w:pBdr>
          <w:bottom w:val="single" w:color="2E75B6" w:sz="10" w:space="6"/>
        </w:pBdr>
        <w:spacing w:before="480" w:after="160"/>
      </w:pPr>
      <w:r>
        <w:rPr>
          <w:rFonts w:ascii="Arial" w:cs="Arial" w:eastAsia="Arial" w:hAnsi="Arial"/>
          <w:b/>
          <w:bCs/>
          <w:color w:val="1B5E9B"/>
          <w:sz w:val="38"/>
          <w:szCs w:val="38"/>
        </w:rPr>
        <w:t xml:space="preserve">2. Offer Approval Workflow</w:t>
      </w:r>
    </w:p>
    <w:p>
      <w:pPr>
        <w:spacing w:before="60" w:after="100"/>
      </w:pPr>
      <w:r>
        <w:rPr>
          <w:rFonts w:ascii="Arial" w:cs="Arial" w:eastAsia="Arial" w:hAnsi="Arial"/>
          <w:color w:val="2D2D2D"/>
          <w:sz w:val="22"/>
          <w:szCs w:val="22"/>
        </w:rPr>
        <w:t xml:space="preserve">Sending an employment offer without appropriate internal validation creates financial, legal, and operational risk. An unauthorized compensation commitment, an offer that contradicts company policy, or a letter lacking required legal language can each have consequences that far outlast the inconvenience of the approval process itself. The Offer Approval Workflow module enforces governance as a natural part of the offer creation process — not as a bureaucratic add-on — by embedding approvals directly into the offer lifecycle with automation that minimizes delay.</w:t>
      </w:r>
    </w:p>
    <w:p>
      <w:pPr>
        <w:spacing w:before="80" w:after="0"/>
      </w:pPr>
      <w:r>
        <w:t xml:space="preserve"/>
      </w:r>
    </w:p>
    <w:p>
      <w:pPr>
        <w:pStyle w:val="Heading2"/>
        <w:spacing w:before="320" w:after="120"/>
      </w:pPr>
      <w:r>
        <w:rPr>
          <w:rFonts w:ascii="Arial" w:cs="Arial" w:eastAsia="Arial" w:hAnsi="Arial"/>
          <w:b/>
          <w:bCs/>
          <w:color w:val="1A1A2E"/>
          <w:sz w:val="27"/>
          <w:szCs w:val="27"/>
        </w:rPr>
        <w:t xml:space="preserve">2.1 Multi-Level Approval Process</w:t>
      </w:r>
    </w:p>
    <w:p>
      <w:pPr>
        <w:spacing w:before="60" w:after="100"/>
      </w:pPr>
      <w:r>
        <w:rPr>
          <w:rFonts w:ascii="Arial" w:cs="Arial" w:eastAsia="Arial" w:hAnsi="Arial"/>
          <w:color w:val="2D2D2D"/>
          <w:sz w:val="22"/>
          <w:szCs w:val="22"/>
        </w:rPr>
        <w:t xml:space="preserve">Employment offers frequently require validation from multiple independent functions — HR for policy compliance, Finance for budget confirmation, the hiring manager for role fit and team fit confirmation, and Legal for any non-standard contract terms. The multi-level approval system orchestrates these parallel and sequential review requirements into a single managed workflow.</w:t>
      </w:r>
    </w:p>
    <w:p>
      <w:pPr>
        <w:pStyle w:val="ListParagraph"/>
        <w:numPr>
          <w:ilvl w:val="0"/>
          <w:numId w:val="2"/>
        </w:numPr>
        <w:spacing w:before="40" w:after="40"/>
      </w:pPr>
      <w:r>
        <w:rPr>
          <w:rFonts w:ascii="Arial" w:cs="Arial" w:eastAsia="Arial" w:hAnsi="Arial"/>
          <w:color w:val="2D2D2D"/>
          <w:sz w:val="22"/>
          <w:szCs w:val="22"/>
        </w:rPr>
        <w:t xml:space="preserve">Configurable approval chain architecture: administrators define approval chains that specify the sequence and structure of approvals required for different offer scenarios. Chains are configured per a matrix of variables — employment type, seniority level, compensation amount, geographic location, and department — enabling a junior part-time offer to require only HR sign-off while a C-suite offer requires Compensation Committee, CFO, CEO, and General Counsel review.</w:t>
      </w:r>
    </w:p>
    <w:p>
      <w:pPr>
        <w:pStyle w:val="ListParagraph"/>
        <w:numPr>
          <w:ilvl w:val="0"/>
          <w:numId w:val="2"/>
        </w:numPr>
        <w:spacing w:before="40" w:after="40"/>
      </w:pPr>
      <w:r>
        <w:rPr>
          <w:rFonts w:ascii="Arial" w:cs="Arial" w:eastAsia="Arial" w:hAnsi="Arial"/>
          <w:color w:val="2D2D2D"/>
          <w:sz w:val="22"/>
          <w:szCs w:val="22"/>
        </w:rPr>
        <w:t xml:space="preserve">Parallel and sequential approval modes: different stages within an approval chain can run in parallel (multiple approvers who can act independently and simultaneously) or sequentially (each approver can only act after the prior stage completes). Hybrid chains combine both modes — e.g., HR and Finance approve in parallel, then Legal reviews only after both have cleared, then the CEO provides final approval.</w:t>
      </w:r>
    </w:p>
    <w:p>
      <w:pPr>
        <w:pStyle w:val="ListParagraph"/>
        <w:numPr>
          <w:ilvl w:val="0"/>
          <w:numId w:val="2"/>
        </w:numPr>
        <w:spacing w:before="40" w:after="40"/>
      </w:pPr>
      <w:r>
        <w:rPr>
          <w:rFonts w:ascii="Arial" w:cs="Arial" w:eastAsia="Arial" w:hAnsi="Arial"/>
          <w:color w:val="2D2D2D"/>
          <w:sz w:val="22"/>
          <w:szCs w:val="22"/>
        </w:rPr>
        <w:t xml:space="preserve">Threshold-triggered escalation: compensation components above defined thresholds automatically extend the approval chain — e.g., a signing bonus above $50,000 adds the CFO to the approval chain; equity grants above a defined share count add the Board Compensation Committee. These triggers fire automatically based on the offer's compensation data, without requiring the recruiter to manually identify whether escalation is needed.</w:t>
      </w:r>
    </w:p>
    <w:p>
      <w:pPr>
        <w:pStyle w:val="ListParagraph"/>
        <w:numPr>
          <w:ilvl w:val="0"/>
          <w:numId w:val="2"/>
        </w:numPr>
        <w:spacing w:before="40" w:after="40"/>
      </w:pPr>
      <w:r>
        <w:rPr>
          <w:rFonts w:ascii="Arial" w:cs="Arial" w:eastAsia="Arial" w:hAnsi="Arial"/>
          <w:color w:val="2D2D2D"/>
          <w:sz w:val="22"/>
          <w:szCs w:val="22"/>
        </w:rPr>
        <w:t xml:space="preserve">Delegation and backup approver support: each approver role can have a designated backup who receives approval requests if the primary approver is unavailable (out of office, on leave). Delegation is time-bound and logged — temporary delegates receive approval authority only for the defined delegation window, with all delegation events recorded in the audit trail.</w:t>
      </w:r>
    </w:p>
    <w:p>
      <w:pPr>
        <w:pStyle w:val="ListParagraph"/>
        <w:numPr>
          <w:ilvl w:val="0"/>
          <w:numId w:val="2"/>
        </w:numPr>
        <w:spacing w:before="40" w:after="40"/>
      </w:pPr>
      <w:r>
        <w:rPr>
          <w:rFonts w:ascii="Arial" w:cs="Arial" w:eastAsia="Arial" w:hAnsi="Arial"/>
          <w:color w:val="2D2D2D"/>
          <w:sz w:val="22"/>
          <w:szCs w:val="22"/>
        </w:rPr>
        <w:t xml:space="preserve">In-context approval review: approvers receive an approval request notification that includes a full rendered preview of the offer letter, the candidate's profile summary, the role's approved compensation range, and any deviation from standard terms — enabling an informed approval decision from within the notification interface without requiring navigation to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BF3FB" w:val="clear"/>
            <w:tcMar>
              <w:top w:type="dxa" w:w="120"/>
              <w:left w:type="dxa" w:w="220"/>
              <w:bottom w:type="dxa" w:w="120"/>
              <w:right w:type="dxa" w:w="220"/>
            </w:tcMar>
          </w:tcPr>
          <w:p>
            <w:pPr>
              <w:spacing w:before="0" w:after="0"/>
            </w:pPr>
            <w:r>
              <w:rPr>
                <w:rFonts w:ascii="Arial" w:cs="Arial" w:eastAsia="Arial" w:hAnsi="Arial"/>
                <w:b/>
                <w:bCs/>
                <w:color w:val="1B5E9B"/>
                <w:sz w:val="20"/>
                <w:szCs w:val="20"/>
              </w:rPr>
              <w:t xml:space="preserve">Governance Note:  </w:t>
            </w:r>
            <w:r>
              <w:rPr>
                <w:rFonts w:ascii="Arial" w:cs="Arial" w:eastAsia="Arial" w:hAnsi="Arial"/>
                <w:i/>
                <w:iCs/>
                <w:color w:val="374151"/>
                <w:sz w:val="20"/>
                <w:szCs w:val="20"/>
              </w:rPr>
              <w:t xml:space="preserve">Multi-level approval workflows with audit trails are a key control in SOX compliance frameworks for public companies, providing documented evidence that compensation commitments are authorized at appropriate organizational levels before being communicated to candidates.</w:t>
            </w:r>
          </w:p>
        </w:tc>
      </w:tr>
    </w:tbl>
    <w:p>
      <w:pPr>
        <w:spacing w:before="120" w:after="0"/>
      </w:pPr>
      <w:r>
        <w:t xml:space="preserve"/>
      </w:r>
    </w:p>
    <w:p>
      <w:pPr>
        <w:pStyle w:val="Heading2"/>
        <w:spacing w:before="320" w:after="120"/>
      </w:pPr>
      <w:r>
        <w:rPr>
          <w:rFonts w:ascii="Arial" w:cs="Arial" w:eastAsia="Arial" w:hAnsi="Arial"/>
          <w:b/>
          <w:bCs/>
          <w:color w:val="1A1A2E"/>
          <w:sz w:val="27"/>
          <w:szCs w:val="27"/>
        </w:rPr>
        <w:t xml:space="preserve">2.2 Approval Notifications</w:t>
      </w:r>
    </w:p>
    <w:p>
      <w:pPr>
        <w:spacing w:before="60" w:after="100"/>
      </w:pPr>
      <w:r>
        <w:rPr>
          <w:rFonts w:ascii="Arial" w:cs="Arial" w:eastAsia="Arial" w:hAnsi="Arial"/>
          <w:color w:val="2D2D2D"/>
          <w:sz w:val="22"/>
          <w:szCs w:val="22"/>
        </w:rPr>
        <w:t xml:space="preserve">An approval chain is only as fast as its slowest approver. When approvers are not promptly notified of pending reviews, days pass without action — extending the time-to-offer, increasing the risk of losing a candidate to a faster-moving competitor, and creating a stressful experience for recruiters caught between a waiting candidate and an unresponsive approver. Approval notifications drive urgency and accountability without requiring recruiters to manually chase each approver.</w:t>
      </w:r>
    </w:p>
    <w:p>
      <w:pPr>
        <w:pStyle w:val="ListParagraph"/>
        <w:numPr>
          <w:ilvl w:val="0"/>
          <w:numId w:val="2"/>
        </w:numPr>
        <w:spacing w:before="40" w:after="40"/>
      </w:pPr>
      <w:r>
        <w:rPr>
          <w:rFonts w:ascii="Arial" w:cs="Arial" w:eastAsia="Arial" w:hAnsi="Arial"/>
          <w:color w:val="2D2D2D"/>
          <w:sz w:val="22"/>
          <w:szCs w:val="22"/>
        </w:rPr>
        <w:t xml:space="preserve">Immediate multi-channel notification: when an offer reaches an approver's stage, they receive an immediate notification through every configured channel — in-platform notification with a badge count on the approvals icon, an email with a direct approve/reject link, and optionally a Slack or Teams message with action buttons — all before the recruiter needs to send a manual reminder.</w:t>
      </w:r>
    </w:p>
    <w:p>
      <w:pPr>
        <w:pStyle w:val="ListParagraph"/>
        <w:numPr>
          <w:ilvl w:val="0"/>
          <w:numId w:val="2"/>
        </w:numPr>
        <w:spacing w:before="40" w:after="40"/>
      </w:pPr>
      <w:r>
        <w:rPr>
          <w:rFonts w:ascii="Arial" w:cs="Arial" w:eastAsia="Arial" w:hAnsi="Arial"/>
          <w:color w:val="2D2D2D"/>
          <w:sz w:val="22"/>
          <w:szCs w:val="22"/>
        </w:rPr>
        <w:t xml:space="preserve">SLA countdown and escalation: each approval stage has a configurable SLA (e.g., 24 hours for HR approval, 48 hours for Finance, 72 hours for Compensation Committee). The platform tracks time elapsed since the approval request was issued and sends reminder notifications at configured intervals (e.g., at 50% and 75% of the SLA window). If the SLA expires without action, an escalation alert is sent to the approver's manager and the recruiting lead.</w:t>
      </w:r>
    </w:p>
    <w:p>
      <w:pPr>
        <w:pStyle w:val="ListParagraph"/>
        <w:numPr>
          <w:ilvl w:val="0"/>
          <w:numId w:val="2"/>
        </w:numPr>
        <w:spacing w:before="40" w:after="40"/>
      </w:pPr>
      <w:r>
        <w:rPr>
          <w:rFonts w:ascii="Arial" w:cs="Arial" w:eastAsia="Arial" w:hAnsi="Arial"/>
          <w:color w:val="2D2D2D"/>
          <w:sz w:val="22"/>
          <w:szCs w:val="22"/>
        </w:rPr>
        <w:t xml:space="preserve">One-click approval actions in email: approval request emails include embedded Approve and Request Changes buttons that approvers can click directly from their email client, routing them to a secure pre-authenticated approval confirmation page — enabling approval in under 30 seconds without navigating the full platform.</w:t>
      </w:r>
    </w:p>
    <w:p>
      <w:pPr>
        <w:pStyle w:val="ListParagraph"/>
        <w:numPr>
          <w:ilvl w:val="0"/>
          <w:numId w:val="2"/>
        </w:numPr>
        <w:spacing w:before="40" w:after="40"/>
      </w:pPr>
      <w:r>
        <w:rPr>
          <w:rFonts w:ascii="Arial" w:cs="Arial" w:eastAsia="Arial" w:hAnsi="Arial"/>
          <w:color w:val="2D2D2D"/>
          <w:sz w:val="22"/>
          <w:szCs w:val="22"/>
        </w:rPr>
        <w:t xml:space="preserve">Approval decision notification cascade: once an approver acts, all parties in the chain are notified of the outcome — the recruiter sees that the Finance stage has cleared and Legal review is now active; the next-stage approver is notified that their turn has arrived. The entire chain is transparent to authorized viewers in real time.</w:t>
      </w:r>
    </w:p>
    <w:p>
      <w:pPr>
        <w:pStyle w:val="ListParagraph"/>
        <w:numPr>
          <w:ilvl w:val="0"/>
          <w:numId w:val="2"/>
        </w:numPr>
        <w:spacing w:before="40" w:after="40"/>
      </w:pPr>
      <w:r>
        <w:rPr>
          <w:rFonts w:ascii="Arial" w:cs="Arial" w:eastAsia="Arial" w:hAnsi="Arial"/>
          <w:color w:val="2D2D2D"/>
          <w:sz w:val="22"/>
          <w:szCs w:val="22"/>
        </w:rPr>
        <w:t xml:space="preserve">Rejected offer notification handling: when an approver rejects an offer or requests changes, a structured rejection notification is sent to the recruiter with the approver's specific change requirements captured in a comments field. The recruiter can address the feedback and resubmit the offer for re-approval — with the full revision history preserved.</w:t>
      </w:r>
    </w:p>
    <w:p>
      <w:pPr>
        <w:spacing w:before="120" w:after="0"/>
      </w:pPr>
      <w:r>
        <w:t xml:space="preserve"/>
      </w:r>
    </w:p>
    <w:p>
      <w:pPr>
        <w:pStyle w:val="Heading2"/>
        <w:spacing w:before="320" w:after="120"/>
      </w:pPr>
      <w:r>
        <w:rPr>
          <w:rFonts w:ascii="Arial" w:cs="Arial" w:eastAsia="Arial" w:hAnsi="Arial"/>
          <w:b/>
          <w:bCs/>
          <w:color w:val="1A1A2E"/>
          <w:sz w:val="27"/>
          <w:szCs w:val="27"/>
        </w:rPr>
        <w:t xml:space="preserve">2.3 Offer Revision Management</w:t>
      </w:r>
    </w:p>
    <w:p>
      <w:pPr>
        <w:spacing w:before="60" w:after="100"/>
      </w:pPr>
      <w:r>
        <w:rPr>
          <w:rFonts w:ascii="Arial" w:cs="Arial" w:eastAsia="Arial" w:hAnsi="Arial"/>
          <w:color w:val="2D2D2D"/>
          <w:sz w:val="22"/>
          <w:szCs w:val="22"/>
        </w:rPr>
        <w:t xml:space="preserve">Offers rarely emerge from their first approval cycle unchanged. Compensation negotiations, corrections to employment terms, legal markup, or finance-driven modifications can all require the offer to be revised after initial drafting or mid-approval. Offer revision management ensures these changes are tracked, properly re-approved, and clearly auditable — preventing the confusion of multiple document versions circulating across email threads.</w:t>
      </w:r>
    </w:p>
    <w:p>
      <w:pPr>
        <w:pStyle w:val="ListParagraph"/>
        <w:numPr>
          <w:ilvl w:val="0"/>
          <w:numId w:val="2"/>
        </w:numPr>
        <w:spacing w:before="40" w:after="40"/>
      </w:pPr>
      <w:r>
        <w:rPr>
          <w:rFonts w:ascii="Arial" w:cs="Arial" w:eastAsia="Arial" w:hAnsi="Arial"/>
          <w:color w:val="2D2D2D"/>
          <w:sz w:val="22"/>
          <w:szCs w:val="22"/>
        </w:rPr>
        <w:t xml:space="preserve">Version-controlled revision history: every revision to an offer letter creates a new version in the platform's version history. Each version records the complete offer content at that point in time, the identity of the person who made the revision, the timestamp, and a summary of what changed (auto-generated diff comparing the new version to its predecessor).</w:t>
      </w:r>
    </w:p>
    <w:p>
      <w:pPr>
        <w:pStyle w:val="ListParagraph"/>
        <w:numPr>
          <w:ilvl w:val="0"/>
          <w:numId w:val="2"/>
        </w:numPr>
        <w:spacing w:before="40" w:after="40"/>
      </w:pPr>
      <w:r>
        <w:rPr>
          <w:rFonts w:ascii="Arial" w:cs="Arial" w:eastAsia="Arial" w:hAnsi="Arial"/>
          <w:color w:val="2D2D2D"/>
          <w:sz w:val="22"/>
          <w:szCs w:val="22"/>
        </w:rPr>
        <w:t xml:space="preserve">Change-triggered re-approval routing: revisions are classified by their impact on the approval requirement. Changes to compensation components (base salary, equity grant, signing bonus) automatically re-trigger the relevant approval stages from the beginning. Changes to non-material terms (start date, job title correction, formatting) may be approved with a lighter-touch acknowledgement workflow, based on administrator-configured revision classification rules.</w:t>
      </w:r>
    </w:p>
    <w:p>
      <w:pPr>
        <w:pStyle w:val="ListParagraph"/>
        <w:numPr>
          <w:ilvl w:val="0"/>
          <w:numId w:val="2"/>
        </w:numPr>
        <w:spacing w:before="40" w:after="40"/>
      </w:pPr>
      <w:r>
        <w:rPr>
          <w:rFonts w:ascii="Arial" w:cs="Arial" w:eastAsia="Arial" w:hAnsi="Arial"/>
          <w:color w:val="2D2D2D"/>
          <w:sz w:val="22"/>
          <w:szCs w:val="22"/>
        </w:rPr>
        <w:t xml:space="preserve">Side-by-side version comparison: reviewers and approvers can view a side-by-side comparison of any two offer versions, with changes highlighted in a color-coded diff view — additions in green, removals in red, unchanged text in grey. This eliminates the need to read entire offer letters to identify what changed between revisions.</w:t>
      </w:r>
    </w:p>
    <w:p>
      <w:pPr>
        <w:pStyle w:val="ListParagraph"/>
        <w:numPr>
          <w:ilvl w:val="0"/>
          <w:numId w:val="2"/>
        </w:numPr>
        <w:spacing w:before="40" w:after="40"/>
      </w:pPr>
      <w:r>
        <w:rPr>
          <w:rFonts w:ascii="Arial" w:cs="Arial" w:eastAsia="Arial" w:hAnsi="Arial"/>
          <w:color w:val="2D2D2D"/>
          <w:sz w:val="22"/>
          <w:szCs w:val="22"/>
        </w:rPr>
        <w:t xml:space="preserve">Revision request workflow for approvers: approvers who identify required changes do not simply reject an offer — they submit a structured revision request specifying the exact clause or field requiring change and providing the requested new language. This structured approach prevents vague 'needs changes' rejections that leave recruiters guessing about what needs to be fixed.</w:t>
      </w:r>
    </w:p>
    <w:p>
      <w:pPr>
        <w:pStyle w:val="ListParagraph"/>
        <w:numPr>
          <w:ilvl w:val="0"/>
          <w:numId w:val="2"/>
        </w:numPr>
        <w:spacing w:before="40" w:after="40"/>
      </w:pPr>
      <w:r>
        <w:rPr>
          <w:rFonts w:ascii="Arial" w:cs="Arial" w:eastAsia="Arial" w:hAnsi="Arial"/>
          <w:color w:val="2D2D2D"/>
          <w:sz w:val="22"/>
          <w:szCs w:val="22"/>
        </w:rPr>
        <w:t xml:space="preserve">Candidate-facing version control: if an offer is sent to a candidate and subsequently revised (e.g., due to a negotiation or error correction), the candidate's portal is updated to present the new version, with a notification explaining that an updated offer is available and the previous version is no longer valid. The platform ensures the candidate can only act on the current authorized version.</w:t>
      </w:r>
    </w:p>
    <w:p>
      <w:r>
        <w:br w:type="page"/>
      </w:r>
    </w:p>
    <w:p>
      <w:pPr>
        <w:pStyle w:val="Heading1"/>
        <w:pBdr>
          <w:bottom w:val="single" w:color="2E75B6" w:sz="10" w:space="6"/>
        </w:pBdr>
        <w:spacing w:before="480" w:after="160"/>
      </w:pPr>
      <w:r>
        <w:rPr>
          <w:rFonts w:ascii="Arial" w:cs="Arial" w:eastAsia="Arial" w:hAnsi="Arial"/>
          <w:b/>
          <w:bCs/>
          <w:color w:val="1B5E9B"/>
          <w:sz w:val="38"/>
          <w:szCs w:val="38"/>
        </w:rPr>
        <w:t xml:space="preserve">3. Offer Distribution</w:t>
      </w:r>
    </w:p>
    <w:p>
      <w:pPr>
        <w:spacing w:before="60" w:after="100"/>
      </w:pPr>
      <w:r>
        <w:rPr>
          <w:rFonts w:ascii="Arial" w:cs="Arial" w:eastAsia="Arial" w:hAnsi="Arial"/>
          <w:color w:val="2D2D2D"/>
          <w:sz w:val="22"/>
          <w:szCs w:val="22"/>
        </w:rPr>
        <w:t xml:space="preserve">How an offer is delivered is as important as what it contains. A misdirected offer, an offer letter forwarded to a wrong email address, or a PDF attachment that lands in spam can undermine weeks of recruitment effort at the most critical moment. The Offer Distribution module ensures that every offer reaches its intended recipient securely, reliably, and through a channel that delivers the professional first impression a job offer should create.</w:t>
      </w:r>
    </w:p>
    <w:p>
      <w:pPr>
        <w:spacing w:before="80" w:after="0"/>
      </w:pPr>
      <w:r>
        <w:t xml:space="preserve"/>
      </w:r>
    </w:p>
    <w:p>
      <w:pPr>
        <w:pStyle w:val="Heading2"/>
        <w:spacing w:before="320" w:after="120"/>
      </w:pPr>
      <w:r>
        <w:rPr>
          <w:rFonts w:ascii="Arial" w:cs="Arial" w:eastAsia="Arial" w:hAnsi="Arial"/>
          <w:b/>
          <w:bCs/>
          <w:color w:val="1A1A2E"/>
          <w:sz w:val="27"/>
          <w:szCs w:val="27"/>
        </w:rPr>
        <w:t xml:space="preserve">3.1 Digital Offer Delivery</w:t>
      </w:r>
    </w:p>
    <w:p>
      <w:pPr>
        <w:spacing w:before="60" w:after="100"/>
      </w:pPr>
      <w:r>
        <w:rPr>
          <w:rFonts w:ascii="Arial" w:cs="Arial" w:eastAsia="Arial" w:hAnsi="Arial"/>
          <w:color w:val="2D2D2D"/>
          <w:sz w:val="22"/>
          <w:szCs w:val="22"/>
        </w:rPr>
        <w:t xml:space="preserve">Digital offer delivery through the platform replaces the outdated practice of emailing PDF attachments or printing physical documents, delivering offers through a branded, interactive experience that presents the candidate's package in a premium format and enables immediate electronic response.</w:t>
      </w:r>
    </w:p>
    <w:p>
      <w:pPr>
        <w:pStyle w:val="ListParagraph"/>
        <w:numPr>
          <w:ilvl w:val="0"/>
          <w:numId w:val="2"/>
        </w:numPr>
        <w:spacing w:before="40" w:after="40"/>
      </w:pPr>
      <w:r>
        <w:rPr>
          <w:rFonts w:ascii="Arial" w:cs="Arial" w:eastAsia="Arial" w:hAnsi="Arial"/>
          <w:color w:val="2D2D2D"/>
          <w:sz w:val="22"/>
          <w:szCs w:val="22"/>
        </w:rPr>
        <w:t xml:space="preserve">Candidate portal offer presentation: offers are delivered to the candidate's portal as an interactive, digitally rendered document rather than a static PDF attachment. The candidate experiences a rich, branded presentation of their offer letter with a clean layout, the company's logo, and section-by-section navigation — a significantly more premium experience than opening a Word document attachment.</w:t>
      </w:r>
    </w:p>
    <w:p>
      <w:pPr>
        <w:pStyle w:val="ListParagraph"/>
        <w:numPr>
          <w:ilvl w:val="0"/>
          <w:numId w:val="2"/>
        </w:numPr>
        <w:spacing w:before="40" w:after="40"/>
      </w:pPr>
      <w:r>
        <w:rPr>
          <w:rFonts w:ascii="Arial" w:cs="Arial" w:eastAsia="Arial" w:hAnsi="Arial"/>
          <w:color w:val="2D2D2D"/>
          <w:sz w:val="22"/>
          <w:szCs w:val="22"/>
        </w:rPr>
        <w:t xml:space="preserve">Email delivery with portal link: the offer delivery trigger sends a branded notification email to the candidate's verified email address, containing a personalized message from the recruiter and a single secure link to view the offer in the candidate portal. The email itself does not contain the offer letter — the portal link is the entry point, maintaining confidentiality.</w:t>
      </w:r>
    </w:p>
    <w:p>
      <w:pPr>
        <w:pStyle w:val="ListParagraph"/>
        <w:numPr>
          <w:ilvl w:val="0"/>
          <w:numId w:val="2"/>
        </w:numPr>
        <w:spacing w:before="40" w:after="40"/>
      </w:pPr>
      <w:r>
        <w:rPr>
          <w:rFonts w:ascii="Arial" w:cs="Arial" w:eastAsia="Arial" w:hAnsi="Arial"/>
          <w:color w:val="2D2D2D"/>
          <w:sz w:val="22"/>
          <w:szCs w:val="22"/>
        </w:rPr>
        <w:t xml:space="preserve">Delivery confirmation tracking: the platform records the exact timestamp at which the notification email was delivered, when the email was opened, and when the candidate first accessed the offer in the portal — giving recruiters precise visibility into whether and when the candidate has engaged with their offer.</w:t>
      </w:r>
    </w:p>
    <w:p>
      <w:pPr>
        <w:pStyle w:val="ListParagraph"/>
        <w:numPr>
          <w:ilvl w:val="0"/>
          <w:numId w:val="2"/>
        </w:numPr>
        <w:spacing w:before="40" w:after="40"/>
      </w:pPr>
      <w:r>
        <w:rPr>
          <w:rFonts w:ascii="Arial" w:cs="Arial" w:eastAsia="Arial" w:hAnsi="Arial"/>
          <w:color w:val="2D2D2D"/>
          <w:sz w:val="22"/>
          <w:szCs w:val="22"/>
        </w:rPr>
        <w:t xml:space="preserve">Multi-device optimized offer view: the candidate portal renders the offer letter in a responsive, mobile-optimized format. Candidates can review their offer on any device — desktop, tablet, or smartphone — with the same quality of presentation, recognizing that many candidates will first view their offer outside of business hours on a personal device.</w:t>
      </w:r>
    </w:p>
    <w:p>
      <w:pPr>
        <w:pStyle w:val="ListParagraph"/>
        <w:numPr>
          <w:ilvl w:val="0"/>
          <w:numId w:val="2"/>
        </w:numPr>
        <w:spacing w:before="40" w:after="40"/>
      </w:pPr>
      <w:r>
        <w:rPr>
          <w:rFonts w:ascii="Arial" w:cs="Arial" w:eastAsia="Arial" w:hAnsi="Arial"/>
          <w:color w:val="2D2D2D"/>
          <w:sz w:val="22"/>
          <w:szCs w:val="22"/>
        </w:rPr>
        <w:t xml:space="preserve">Offer package bundling: alongside the offer letter, the delivery can include supplementary documents — benefits enrollment guides, employee handbook summary, relocation assistance details, equity plan prospectus, background check consent forms — bundled as a single offer package that the candidate accesses through one authenticated portal session.</w:t>
      </w:r>
    </w:p>
    <w:p>
      <w:pPr>
        <w:spacing w:before="120" w:after="0"/>
      </w:pPr>
      <w:r>
        <w:t xml:space="preserve"/>
      </w:r>
    </w:p>
    <w:p>
      <w:pPr>
        <w:pStyle w:val="Heading2"/>
        <w:spacing w:before="320" w:after="120"/>
      </w:pPr>
      <w:r>
        <w:rPr>
          <w:rFonts w:ascii="Arial" w:cs="Arial" w:eastAsia="Arial" w:hAnsi="Arial"/>
          <w:b/>
          <w:bCs/>
          <w:color w:val="1A1A2E"/>
          <w:sz w:val="27"/>
          <w:szCs w:val="27"/>
        </w:rPr>
        <w:t xml:space="preserve">3.2 Secure Offer Links</w:t>
      </w:r>
    </w:p>
    <w:p>
      <w:pPr>
        <w:spacing w:before="60" w:after="100"/>
      </w:pPr>
      <w:r>
        <w:rPr>
          <w:rFonts w:ascii="Arial" w:cs="Arial" w:eastAsia="Arial" w:hAnsi="Arial"/>
          <w:color w:val="2D2D2D"/>
          <w:sz w:val="22"/>
          <w:szCs w:val="22"/>
        </w:rPr>
        <w:t xml:space="preserve">Employment offer letters contain highly sensitive personal and financial information — compensation figures, equity grants, personal identifying details, and employment terms that neither the candidate nor the employer wants exposed beyond their intended audience. Secure offer links ensure that this information reaches only the intended recipient.</w:t>
      </w:r>
    </w:p>
    <w:p>
      <w:pPr>
        <w:pStyle w:val="ListParagraph"/>
        <w:numPr>
          <w:ilvl w:val="0"/>
          <w:numId w:val="2"/>
        </w:numPr>
        <w:spacing w:before="40" w:after="40"/>
      </w:pPr>
      <w:r>
        <w:rPr>
          <w:rFonts w:ascii="Arial" w:cs="Arial" w:eastAsia="Arial" w:hAnsi="Arial"/>
          <w:color w:val="2D2D2D"/>
          <w:sz w:val="22"/>
          <w:szCs w:val="22"/>
        </w:rPr>
        <w:t xml:space="preserve">Cryptographically unique token generation: each offer link contains a high-entropy cryptographic token (256-bit random value) generated specifically for that offer and that candidate. The token has no predictable relationship to any other token or to any platform-visible identifier — making it computationally infeasible to guess or enumerate valid offer links.</w:t>
      </w:r>
    </w:p>
    <w:p>
      <w:pPr>
        <w:pStyle w:val="ListParagraph"/>
        <w:numPr>
          <w:ilvl w:val="0"/>
          <w:numId w:val="2"/>
        </w:numPr>
        <w:spacing w:before="40" w:after="40"/>
      </w:pPr>
      <w:r>
        <w:rPr>
          <w:rFonts w:ascii="Arial" w:cs="Arial" w:eastAsia="Arial" w:hAnsi="Arial"/>
          <w:color w:val="2D2D2D"/>
          <w:sz w:val="22"/>
          <w:szCs w:val="22"/>
        </w:rPr>
        <w:t xml:space="preserve">Authentication-gated access: accessing an offer link requires the candidate to authenticate — either through their established platform credentials, a magic link sent to their verified email address, or OTP verification to their confirmed phone number. The offer content is never exposed before authentication is confirmed, preventing unauthorized access even if a link is somehow obtained by a third party.</w:t>
      </w:r>
    </w:p>
    <w:p>
      <w:pPr>
        <w:pStyle w:val="ListParagraph"/>
        <w:numPr>
          <w:ilvl w:val="0"/>
          <w:numId w:val="2"/>
        </w:numPr>
        <w:spacing w:before="40" w:after="40"/>
      </w:pPr>
      <w:r>
        <w:rPr>
          <w:rFonts w:ascii="Arial" w:cs="Arial" w:eastAsia="Arial" w:hAnsi="Arial"/>
          <w:color w:val="2D2D2D"/>
          <w:sz w:val="22"/>
          <w:szCs w:val="22"/>
        </w:rPr>
        <w:t xml:space="preserve">IP and device binding options: for sensitive executive or high-compensation offers, access can be optionally bound to the IP address or device from which the candidate first accessed the link. Subsequent access from a different IP or device triggers an additional authentication challenge — preventing forwarded link access from unknown parties.</w:t>
      </w:r>
    </w:p>
    <w:p>
      <w:pPr>
        <w:pStyle w:val="ListParagraph"/>
        <w:numPr>
          <w:ilvl w:val="0"/>
          <w:numId w:val="2"/>
        </w:numPr>
        <w:spacing w:before="40" w:after="40"/>
      </w:pPr>
      <w:r>
        <w:rPr>
          <w:rFonts w:ascii="Arial" w:cs="Arial" w:eastAsia="Arial" w:hAnsi="Arial"/>
          <w:color w:val="2D2D2D"/>
          <w:sz w:val="22"/>
          <w:szCs w:val="22"/>
        </w:rPr>
        <w:t xml:space="preserve">Access attempt logging: every access attempt to an offer link — successful or blocked, including the timestamp, IP geolocation, and device type — is logged in the offer's audit trail. Unusual access patterns (multiple geographic locations, multiple device types, access at unexpected hours) generate alerts for recruiter awareness.</w:t>
      </w:r>
    </w:p>
    <w:p>
      <w:pPr>
        <w:pStyle w:val="ListParagraph"/>
        <w:numPr>
          <w:ilvl w:val="0"/>
          <w:numId w:val="2"/>
        </w:numPr>
        <w:spacing w:before="40" w:after="40"/>
      </w:pPr>
      <w:r>
        <w:rPr>
          <w:rFonts w:ascii="Arial" w:cs="Arial" w:eastAsia="Arial" w:hAnsi="Arial"/>
          <w:color w:val="2D2D2D"/>
          <w:sz w:val="22"/>
          <w:szCs w:val="22"/>
        </w:rPr>
        <w:t xml:space="preserve">Link invalidation on acceptance or expiry: once a candidate accepts or formally declines an offer, or once the offer's expiration date passes, the access link is cryptographically invalidated. Subsequent attempts to access the link display an informative message indicating the offer is no longer active, with a contact option to reach the recruiter.</w:t>
      </w:r>
    </w:p>
    <w:p>
      <w:pPr>
        <w:spacing w:before="120" w:after="0"/>
      </w:pPr>
      <w:r>
        <w:t xml:space="preserve"/>
      </w:r>
    </w:p>
    <w:p>
      <w:pPr>
        <w:pStyle w:val="Heading2"/>
        <w:spacing w:before="320" w:after="120"/>
      </w:pPr>
      <w:r>
        <w:rPr>
          <w:rFonts w:ascii="Arial" w:cs="Arial" w:eastAsia="Arial" w:hAnsi="Arial"/>
          <w:b/>
          <w:bCs/>
          <w:color w:val="1A1A2E"/>
          <w:sz w:val="27"/>
          <w:szCs w:val="27"/>
        </w:rPr>
        <w:t xml:space="preserve">3.3 Offer Expiration Dates</w:t>
      </w:r>
    </w:p>
    <w:p>
      <w:pPr>
        <w:spacing w:before="60" w:after="100"/>
      </w:pPr>
      <w:r>
        <w:rPr>
          <w:rFonts w:ascii="Arial" w:cs="Arial" w:eastAsia="Arial" w:hAnsi="Arial"/>
          <w:color w:val="2D2D2D"/>
          <w:sz w:val="22"/>
          <w:szCs w:val="22"/>
        </w:rPr>
        <w:t xml:space="preserve">An open-ended offer creates operational uncertainty — the recruiting slot remains technically filled, other candidates may be rejected, and organizational planning proceeds on the assumption of the hire — while the candidate has no pressure to make a decision. Offer expiration dates create a structured decision timeline that respects the candidate's need for deliberation while protecting the organization's operational interests.</w:t>
      </w:r>
    </w:p>
    <w:p>
      <w:pPr>
        <w:pStyle w:val="ListParagraph"/>
        <w:numPr>
          <w:ilvl w:val="0"/>
          <w:numId w:val="2"/>
        </w:numPr>
        <w:spacing w:before="40" w:after="40"/>
      </w:pPr>
      <w:r>
        <w:rPr>
          <w:rFonts w:ascii="Arial" w:cs="Arial" w:eastAsia="Arial" w:hAnsi="Arial"/>
          <w:color w:val="2D2D2D"/>
          <w:sz w:val="22"/>
          <w:szCs w:val="22"/>
        </w:rPr>
        <w:t xml:space="preserve">Configurable expiration windows: HR administrators define default expiration windows per offer type and seniority level — e.g., standard offers expire in 5 business days, executive offers in 10 business days, international offers (where the candidate may need legal advice or relocation planning) in 15 business days. Recruiters can adjust within defined upper and lower bounds for individual offers.</w:t>
      </w:r>
    </w:p>
    <w:p>
      <w:pPr>
        <w:pStyle w:val="ListParagraph"/>
        <w:numPr>
          <w:ilvl w:val="0"/>
          <w:numId w:val="2"/>
        </w:numPr>
        <w:spacing w:before="40" w:after="40"/>
      </w:pPr>
      <w:r>
        <w:rPr>
          <w:rFonts w:ascii="Arial" w:cs="Arial" w:eastAsia="Arial" w:hAnsi="Arial"/>
          <w:color w:val="2D2D2D"/>
          <w:sz w:val="22"/>
          <w:szCs w:val="22"/>
        </w:rPr>
        <w:t xml:space="preserve">Expiration communication sequence: the platform automatically sends a reminder communication sequence as the expiration date approaches — a first reminder at 50% of the expiration window (e.g., Day 3 of a 5-day offer), a second reminder 24 hours before expiration, and a final reminder 2 hours before expiration — all via the candidate's preferred communication channel.</w:t>
      </w:r>
    </w:p>
    <w:p>
      <w:pPr>
        <w:pStyle w:val="ListParagraph"/>
        <w:numPr>
          <w:ilvl w:val="0"/>
          <w:numId w:val="2"/>
        </w:numPr>
        <w:spacing w:before="40" w:after="40"/>
      </w:pPr>
      <w:r>
        <w:rPr>
          <w:rFonts w:ascii="Arial" w:cs="Arial" w:eastAsia="Arial" w:hAnsi="Arial"/>
          <w:color w:val="2D2D2D"/>
          <w:sz w:val="22"/>
          <w:szCs w:val="22"/>
        </w:rPr>
        <w:t xml:space="preserve">Expiration handling workflow: when an offer expires without a response, the platform automatically transitions the offer to an 'Expired' status, removes the candidate's ability to accept or decline through the portal, and notifies the recruiter with a recommended action prompt (contact the candidate by phone, re-issue the offer with a new expiration, or advance the backup candidate).</w:t>
      </w:r>
    </w:p>
    <w:p>
      <w:pPr>
        <w:pStyle w:val="ListParagraph"/>
        <w:numPr>
          <w:ilvl w:val="0"/>
          <w:numId w:val="2"/>
        </w:numPr>
        <w:spacing w:before="40" w:after="40"/>
      </w:pPr>
      <w:r>
        <w:rPr>
          <w:rFonts w:ascii="Arial" w:cs="Arial" w:eastAsia="Arial" w:hAnsi="Arial"/>
          <w:color w:val="2D2D2D"/>
          <w:sz w:val="22"/>
          <w:szCs w:val="22"/>
        </w:rPr>
        <w:t xml:space="preserve">Extension workflow: if a recruiter needs to extend an offer's expiration date (e.g., the candidate requested more time due to a family matter), an extension can be issued through a structured workflow that logs the reason for extension, updates the expiration date in the portal, and notifies the candidate of the new deadline — all within a permissioned, auditable process.</w:t>
      </w:r>
    </w:p>
    <w:p>
      <w:pPr>
        <w:pStyle w:val="ListParagraph"/>
        <w:numPr>
          <w:ilvl w:val="0"/>
          <w:numId w:val="2"/>
        </w:numPr>
        <w:spacing w:before="40" w:after="40"/>
      </w:pPr>
      <w:r>
        <w:rPr>
          <w:rFonts w:ascii="Arial" w:cs="Arial" w:eastAsia="Arial" w:hAnsi="Arial"/>
          <w:color w:val="2D2D2D"/>
          <w:sz w:val="22"/>
          <w:szCs w:val="22"/>
        </w:rPr>
        <w:t xml:space="preserve">Competing offer management: when a candidate discloses that they have received a competing offer with a shorter decision deadline, the platform supports an expedited response workflow that surfaces the offer details to the recruiting team and, where appropriate, enables fast-track approval of a revised offer — giving the organization the best chance of retaining the candidate in a competitive situation.</w:t>
      </w:r>
    </w:p>
    <w:p>
      <w:r>
        <w:br w:type="page"/>
      </w:r>
    </w:p>
    <w:p>
      <w:pPr>
        <w:pStyle w:val="Heading1"/>
        <w:pBdr>
          <w:bottom w:val="single" w:color="2E75B6" w:sz="10" w:space="6"/>
        </w:pBdr>
        <w:spacing w:before="480" w:after="160"/>
      </w:pPr>
      <w:r>
        <w:rPr>
          <w:rFonts w:ascii="Arial" w:cs="Arial" w:eastAsia="Arial" w:hAnsi="Arial"/>
          <w:b/>
          <w:bCs/>
          <w:color w:val="1B5E9B"/>
          <w:sz w:val="38"/>
          <w:szCs w:val="38"/>
        </w:rPr>
        <w:t xml:space="preserve">4. Candidate Offer Interaction</w:t>
      </w:r>
    </w:p>
    <w:p>
      <w:pPr>
        <w:spacing w:before="60" w:after="100"/>
      </w:pPr>
      <w:r>
        <w:rPr>
          <w:rFonts w:ascii="Arial" w:cs="Arial" w:eastAsia="Arial" w:hAnsi="Arial"/>
          <w:color w:val="2D2D2D"/>
          <w:sz w:val="22"/>
          <w:szCs w:val="22"/>
        </w:rPr>
        <w:t xml:space="preserve">The moment a candidate interacts with their offer is one of the highest-stakes moments in the entire hiring process. A clunky acceptance experience, a confusing digital signature flow, or a poorly managed negotiation can turn an excited candidate into an anxious one — and anxious candidates accept competing offers. This module provides a polished, intuitive, and flexible candidate-facing interaction layer that makes accepting an offer a confidence-building experience rather than a bureaucratic ordeal.</w:t>
      </w:r>
    </w:p>
    <w:p>
      <w:pPr>
        <w:spacing w:before="80" w:after="0"/>
      </w:pPr>
      <w:r>
        <w:t xml:space="preserve"/>
      </w:r>
    </w:p>
    <w:p>
      <w:pPr>
        <w:pStyle w:val="Heading2"/>
        <w:spacing w:before="320" w:after="120"/>
      </w:pPr>
      <w:r>
        <w:rPr>
          <w:rFonts w:ascii="Arial" w:cs="Arial" w:eastAsia="Arial" w:hAnsi="Arial"/>
          <w:b/>
          <w:bCs/>
          <w:color w:val="1A1A2E"/>
          <w:sz w:val="27"/>
          <w:szCs w:val="27"/>
        </w:rPr>
        <w:t xml:space="preserve">4.1 Offer Acceptance / Decline</w:t>
      </w:r>
    </w:p>
    <w:p>
      <w:pPr>
        <w:spacing w:before="60" w:after="100"/>
      </w:pPr>
      <w:r>
        <w:rPr>
          <w:rFonts w:ascii="Arial" w:cs="Arial" w:eastAsia="Arial" w:hAnsi="Arial"/>
          <w:color w:val="2D2D2D"/>
          <w:sz w:val="22"/>
          <w:szCs w:val="22"/>
        </w:rPr>
        <w:t xml:space="preserve">The acceptance or decline action is the pivot point of the entire offer process. The platform provides a clear, deliberate interaction design that ensures candidates understand what they are agreeing to, prevents accidental confirmations, and captures the outcome definitively in the platform's record.</w:t>
      </w:r>
    </w:p>
    <w:p>
      <w:pPr>
        <w:pStyle w:val="ListParagraph"/>
        <w:numPr>
          <w:ilvl w:val="0"/>
          <w:numId w:val="2"/>
        </w:numPr>
        <w:spacing w:before="40" w:after="40"/>
      </w:pPr>
      <w:r>
        <w:rPr>
          <w:rFonts w:ascii="Arial" w:cs="Arial" w:eastAsia="Arial" w:hAnsi="Arial"/>
          <w:color w:val="2D2D2D"/>
          <w:sz w:val="22"/>
          <w:szCs w:val="22"/>
        </w:rPr>
        <w:t xml:space="preserve">Guided acceptance flow: the acceptance experience guides the candidate through the offer letter section by section before presenting the acceptance action — a subtle but significant UX pattern that reduces post-acceptance disputes ('I didn't realize the non-compete clause was in there') by encouraging full review before commitment.</w:t>
      </w:r>
    </w:p>
    <w:p>
      <w:pPr>
        <w:pStyle w:val="ListParagraph"/>
        <w:numPr>
          <w:ilvl w:val="0"/>
          <w:numId w:val="2"/>
        </w:numPr>
        <w:spacing w:before="40" w:after="40"/>
      </w:pPr>
      <w:r>
        <w:rPr>
          <w:rFonts w:ascii="Arial" w:cs="Arial" w:eastAsia="Arial" w:hAnsi="Arial"/>
          <w:color w:val="2D2D2D"/>
          <w:sz w:val="22"/>
          <w:szCs w:val="22"/>
        </w:rPr>
        <w:t xml:space="preserve">Explicit confirmation step: the acceptance action requires a distinct confirmation step — typically a typed confirmation phrase (e.g., 'I accept this offer') or a checkbox acknowledgement alongside the electronic signature — preventing accidental taps or clicks from triggering an acceptance the candidate didn't intend.</w:t>
      </w:r>
    </w:p>
    <w:p>
      <w:pPr>
        <w:pStyle w:val="ListParagraph"/>
        <w:numPr>
          <w:ilvl w:val="0"/>
          <w:numId w:val="2"/>
        </w:numPr>
        <w:spacing w:before="40" w:after="40"/>
      </w:pPr>
      <w:r>
        <w:rPr>
          <w:rFonts w:ascii="Arial" w:cs="Arial" w:eastAsia="Arial" w:hAnsi="Arial"/>
          <w:color w:val="2D2D2D"/>
          <w:sz w:val="22"/>
          <w:szCs w:val="22"/>
        </w:rPr>
        <w:t xml:space="preserve">Acceptance with questions: candidates can submit a question or clarification request alongside their acceptance — e.g., 'I'm accepting but have a question about the health insurance start date' — enabling acceptance of the core terms while flagging peripheral questions for recruiter follow-up, rather than withholding acceptance pending answer.</w:t>
      </w:r>
    </w:p>
    <w:p>
      <w:pPr>
        <w:pStyle w:val="ListParagraph"/>
        <w:numPr>
          <w:ilvl w:val="0"/>
          <w:numId w:val="2"/>
        </w:numPr>
        <w:spacing w:before="40" w:after="40"/>
      </w:pPr>
      <w:r>
        <w:rPr>
          <w:rFonts w:ascii="Arial" w:cs="Arial" w:eastAsia="Arial" w:hAnsi="Arial"/>
          <w:color w:val="2D2D2D"/>
          <w:sz w:val="22"/>
          <w:szCs w:val="22"/>
        </w:rPr>
        <w:t xml:space="preserve">Decline with reason capture: when a candidate declines, a structured reason-selection interface (with optional free-text elaboration) captures the specific decline reason — Compensation Below Expectations, Accepted Competing Offer, Role Responsibilities Changed, Personal Circumstances, Location or Commute, Company Culture Concerns, Offer Conditions Unacceptable, and Other. This data is critical for the analytics module's decline reason analysis.</w:t>
      </w:r>
    </w:p>
    <w:p>
      <w:pPr>
        <w:pStyle w:val="ListParagraph"/>
        <w:numPr>
          <w:ilvl w:val="0"/>
          <w:numId w:val="2"/>
        </w:numPr>
        <w:spacing w:before="40" w:after="40"/>
      </w:pPr>
      <w:r>
        <w:rPr>
          <w:rFonts w:ascii="Arial" w:cs="Arial" w:eastAsia="Arial" w:hAnsi="Arial"/>
          <w:color w:val="2D2D2D"/>
          <w:sz w:val="22"/>
          <w:szCs w:val="22"/>
        </w:rPr>
        <w:t xml:space="preserve">Immediate notification and pipeline update: acceptance or decline triggers immediate notification to the recruiter, coordinator, and hiring manager, with the offer status updated in real-time across the platform. Acceptance automatically triggers the configured post-offer workflow (HRIS record creation, onboarding task initiation, background check, equipment provisioning request) without requiring manual follow-up from the recruiter.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BF3FB" w:val="clear"/>
            <w:tcMar>
              <w:top w:type="dxa" w:w="120"/>
              <w:left w:type="dxa" w:w="220"/>
              <w:bottom w:type="dxa" w:w="120"/>
              <w:right w:type="dxa" w:w="220"/>
            </w:tcMar>
          </w:tcPr>
          <w:p>
            <w:pPr>
              <w:spacing w:before="0" w:after="0"/>
            </w:pPr>
            <w:r>
              <w:rPr>
                <w:rFonts w:ascii="Arial" w:cs="Arial" w:eastAsia="Arial" w:hAnsi="Arial"/>
                <w:b/>
                <w:bCs/>
                <w:color w:val="1B5E9B"/>
                <w:sz w:val="20"/>
                <w:szCs w:val="20"/>
              </w:rPr>
              <w:t xml:space="preserve">Business Impact:  </w:t>
            </w:r>
            <w:r>
              <w:rPr>
                <w:rFonts w:ascii="Arial" w:cs="Arial" w:eastAsia="Arial" w:hAnsi="Arial"/>
                <w:i/>
                <w:iCs/>
                <w:color w:val="374151"/>
                <w:sz w:val="20"/>
                <w:szCs w:val="20"/>
              </w:rPr>
              <w:t xml:space="preserve">Structured decline reason capture transforms anecdotal exit interview data into actionable analytics. Organizations that systematically track decline reasons reduce offer rejection rates by an average of 15% within 6 months through targeted compensation and package adjustments.</w:t>
            </w:r>
          </w:p>
        </w:tc>
      </w:tr>
    </w:tbl>
    <w:p>
      <w:pPr>
        <w:spacing w:before="120" w:after="0"/>
      </w:pPr>
      <w:r>
        <w:t xml:space="preserve"/>
      </w:r>
    </w:p>
    <w:p>
      <w:pPr>
        <w:pStyle w:val="Heading2"/>
        <w:spacing w:before="320" w:after="120"/>
      </w:pPr>
      <w:r>
        <w:rPr>
          <w:rFonts w:ascii="Arial" w:cs="Arial" w:eastAsia="Arial" w:hAnsi="Arial"/>
          <w:b/>
          <w:bCs/>
          <w:color w:val="1A1A2E"/>
          <w:sz w:val="27"/>
          <w:szCs w:val="27"/>
        </w:rPr>
        <w:t xml:space="preserve">4.2 Digital Signature Support</w:t>
      </w:r>
    </w:p>
    <w:p>
      <w:pPr>
        <w:spacing w:before="60" w:after="100"/>
      </w:pPr>
      <w:r>
        <w:rPr>
          <w:rFonts w:ascii="Arial" w:cs="Arial" w:eastAsia="Arial" w:hAnsi="Arial"/>
          <w:color w:val="2D2D2D"/>
          <w:sz w:val="22"/>
          <w:szCs w:val="22"/>
        </w:rPr>
        <w:t xml:space="preserve">An accepted offer without a legally valid signature is not a binding employment agreement in most jurisdictions. Digital signature support closes this gap, transforming the candidate's acceptance action into a legally valid, court-admissible signed agreement — without the friction, delay, and environmental cost of printing, signing, scanning, and emailing physical documents.</w:t>
      </w:r>
    </w:p>
    <w:p>
      <w:pPr>
        <w:pStyle w:val="ListParagraph"/>
        <w:numPr>
          <w:ilvl w:val="0"/>
          <w:numId w:val="2"/>
        </w:numPr>
        <w:spacing w:before="40" w:after="40"/>
      </w:pPr>
      <w:r>
        <w:rPr>
          <w:rFonts w:ascii="Arial" w:cs="Arial" w:eastAsia="Arial" w:hAnsi="Arial"/>
          <w:color w:val="2D2D2D"/>
          <w:sz w:val="22"/>
          <w:szCs w:val="22"/>
        </w:rPr>
        <w:t xml:space="preserve">Native e-signature engine: the platform includes a built-in electronic signature capability that enables candidates to sign offer letters directly in the candidate portal without requiring a separate e-signature service subscription. The native engine is compliant with eIDAS (EU), ESIGN Act (US), UETA (US states), Electronic Communications Act 2000 (UK), and equivalent international electronic signature frameworks.</w:t>
      </w:r>
    </w:p>
    <w:p>
      <w:pPr>
        <w:pStyle w:val="ListParagraph"/>
        <w:numPr>
          <w:ilvl w:val="0"/>
          <w:numId w:val="2"/>
        </w:numPr>
        <w:spacing w:before="40" w:after="40"/>
      </w:pPr>
      <w:r>
        <w:rPr>
          <w:rFonts w:ascii="Arial" w:cs="Arial" w:eastAsia="Arial" w:hAnsi="Arial"/>
          <w:color w:val="2D2D2D"/>
          <w:sz w:val="22"/>
          <w:szCs w:val="22"/>
        </w:rPr>
        <w:t xml:space="preserve">Signature field placement and configuration: within the offer letter template, HR teams configure exactly where signatures are required — candidate signature, candidate initials on specific pages, and optionally a countersignature from the HR representative or the hiring manager. Each signature field specifies who must sign and in what sequence.</w:t>
      </w:r>
    </w:p>
    <w:p>
      <w:pPr>
        <w:pStyle w:val="ListParagraph"/>
        <w:numPr>
          <w:ilvl w:val="0"/>
          <w:numId w:val="2"/>
        </w:numPr>
        <w:spacing w:before="40" w:after="40"/>
      </w:pPr>
      <w:r>
        <w:rPr>
          <w:rFonts w:ascii="Arial" w:cs="Arial" w:eastAsia="Arial" w:hAnsi="Arial"/>
          <w:color w:val="2D2D2D"/>
          <w:sz w:val="22"/>
          <w:szCs w:val="22"/>
        </w:rPr>
        <w:t xml:space="preserve">Identity-bound signature creation: the candidate's electronic signature is cryptographically bound to their authenticated identity — the platform's record of who was authenticated when the signature was applied is embedded in the signature metadata, creating a non-repudiable record that the identified person applied the signature.</w:t>
      </w:r>
    </w:p>
    <w:p>
      <w:pPr>
        <w:pStyle w:val="ListParagraph"/>
        <w:numPr>
          <w:ilvl w:val="0"/>
          <w:numId w:val="2"/>
        </w:numPr>
        <w:spacing w:before="40" w:after="40"/>
      </w:pPr>
      <w:r>
        <w:rPr>
          <w:rFonts w:ascii="Arial" w:cs="Arial" w:eastAsia="Arial" w:hAnsi="Arial"/>
          <w:color w:val="2D2D2D"/>
          <w:sz w:val="22"/>
          <w:szCs w:val="22"/>
        </w:rPr>
        <w:t xml:space="preserve">Audit-trail-embedded signature package: completed signed offers are packaged as tamper-evident PDFs with an embedded audit trail page documenting the full signature event sequence — authentication method, IP address, timestamp, browser/device details, and the cryptographic hash of the signed document at the time of each signature application.</w:t>
      </w:r>
    </w:p>
    <w:p>
      <w:pPr>
        <w:pStyle w:val="ListParagraph"/>
        <w:numPr>
          <w:ilvl w:val="0"/>
          <w:numId w:val="2"/>
        </w:numPr>
        <w:spacing w:before="40" w:after="40"/>
      </w:pPr>
      <w:r>
        <w:rPr>
          <w:rFonts w:ascii="Arial" w:cs="Arial" w:eastAsia="Arial" w:hAnsi="Arial"/>
          <w:color w:val="2D2D2D"/>
          <w:sz w:val="22"/>
          <w:szCs w:val="22"/>
        </w:rPr>
        <w:t xml:space="preserve">Third-party e-signature integration: for organizations that have existing enterprise agreements with DocuSign, Adobe Sign, HelloSign, or equivalent providers, the platform supports routing offer letters to these services for signature completion — with signed document return and status sync handled automatically through API integration.</w:t>
      </w:r>
    </w:p>
    <w:p>
      <w:pPr>
        <w:spacing w:before="120" w:after="0"/>
      </w:pPr>
      <w:r>
        <w:t xml:space="preserve"/>
      </w:r>
    </w:p>
    <w:p>
      <w:pPr>
        <w:pStyle w:val="Heading2"/>
        <w:spacing w:before="320" w:after="120"/>
      </w:pPr>
      <w:r>
        <w:rPr>
          <w:rFonts w:ascii="Arial" w:cs="Arial" w:eastAsia="Arial" w:hAnsi="Arial"/>
          <w:b/>
          <w:bCs/>
          <w:color w:val="1A1A2E"/>
          <w:sz w:val="27"/>
          <w:szCs w:val="27"/>
        </w:rPr>
        <w:t xml:space="preserve">4.3 Negotiation &amp; Counter Offers</w:t>
      </w:r>
    </w:p>
    <w:p>
      <w:pPr>
        <w:spacing w:before="60" w:after="100"/>
      </w:pPr>
      <w:r>
        <w:rPr>
          <w:rFonts w:ascii="Arial" w:cs="Arial" w:eastAsia="Arial" w:hAnsi="Arial"/>
          <w:color w:val="2D2D2D"/>
          <w:sz w:val="22"/>
          <w:szCs w:val="22"/>
        </w:rPr>
        <w:t xml:space="preserve">Offer negotiation is a natural and expected part of senior and professional hiring. Handling it poorly — by treating negotiation requests as an inconvenience, by lacking a structured process to capture and respond to counter proposals, or by making verbal commitments that don't find their way into the final offer — creates legal exposure and candidate frustration. The platform's negotiation tools make the process structured, transparent, and efficient for both parties.</w:t>
      </w:r>
    </w:p>
    <w:p>
      <w:pPr>
        <w:pStyle w:val="ListParagraph"/>
        <w:numPr>
          <w:ilvl w:val="0"/>
          <w:numId w:val="2"/>
        </w:numPr>
        <w:spacing w:before="40" w:after="40"/>
      </w:pPr>
      <w:r>
        <w:rPr>
          <w:rFonts w:ascii="Arial" w:cs="Arial" w:eastAsia="Arial" w:hAnsi="Arial"/>
          <w:color w:val="2D2D2D"/>
          <w:sz w:val="22"/>
          <w:szCs w:val="22"/>
        </w:rPr>
        <w:t xml:space="preserve">Structured counter-offer submission: rather than receiving an unstructured email or phone call from a negotiating candidate, the platform provides a structured counter-offer interface where candidates can specify the exact component(s) they wish to negotiate (base salary, signing bonus, equity grant, start date, remote work arrangement, etc.) and propose their requested value — along with optional context or justification.</w:t>
      </w:r>
    </w:p>
    <w:p>
      <w:pPr>
        <w:pStyle w:val="ListParagraph"/>
        <w:numPr>
          <w:ilvl w:val="0"/>
          <w:numId w:val="2"/>
        </w:numPr>
        <w:spacing w:before="40" w:after="40"/>
      </w:pPr>
      <w:r>
        <w:rPr>
          <w:rFonts w:ascii="Arial" w:cs="Arial" w:eastAsia="Arial" w:hAnsi="Arial"/>
          <w:color w:val="2D2D2D"/>
          <w:sz w:val="22"/>
          <w:szCs w:val="22"/>
        </w:rPr>
        <w:t xml:space="preserve">Counter-offer routing and review: submitted counter-offers are routed to the recruiter and, based on the components being negotiated, may automatically trigger review by the relevant stakeholder — a Finance review for compensation changes, a Hiring Manager review for start date or role scope changes, a Legal review for non-standard contract term requests.</w:t>
      </w:r>
    </w:p>
    <w:p>
      <w:pPr>
        <w:pStyle w:val="ListParagraph"/>
        <w:numPr>
          <w:ilvl w:val="0"/>
          <w:numId w:val="2"/>
        </w:numPr>
        <w:spacing w:before="40" w:after="40"/>
      </w:pPr>
      <w:r>
        <w:rPr>
          <w:rFonts w:ascii="Arial" w:cs="Arial" w:eastAsia="Arial" w:hAnsi="Arial"/>
          <w:color w:val="2D2D2D"/>
          <w:sz w:val="22"/>
          <w:szCs w:val="22"/>
        </w:rPr>
        <w:t xml:space="preserve">Negotiation thread within offer context: a dedicated negotiation discussion thread is attached to the offer record, enabling the recruiter, the candidate, and relevant internal stakeholders to communicate about negotiation points within the context of the offer — with all messages logged in the offer's communication history rather than scattered across personal email inboxes.</w:t>
      </w:r>
    </w:p>
    <w:p>
      <w:pPr>
        <w:pStyle w:val="ListParagraph"/>
        <w:numPr>
          <w:ilvl w:val="0"/>
          <w:numId w:val="2"/>
        </w:numPr>
        <w:spacing w:before="40" w:after="40"/>
      </w:pPr>
      <w:r>
        <w:rPr>
          <w:rFonts w:ascii="Arial" w:cs="Arial" w:eastAsia="Arial" w:hAnsi="Arial"/>
          <w:color w:val="2D2D2D"/>
          <w:sz w:val="22"/>
          <w:szCs w:val="22"/>
        </w:rPr>
        <w:t xml:space="preserve">Revised offer generation from counter: once a negotiation is resolved, the recruiter generates a revised offer by updating the relevant fields in the offer builder and routing the revision through the appropriate re-approval workflow. The revised offer is delivered to the candidate with a clear summary of what changed from the original, reducing confusion and the need for the candidate to re-read the entire document.</w:t>
      </w:r>
    </w:p>
    <w:p>
      <w:pPr>
        <w:pStyle w:val="ListParagraph"/>
        <w:numPr>
          <w:ilvl w:val="0"/>
          <w:numId w:val="2"/>
        </w:numPr>
        <w:spacing w:before="40" w:after="40"/>
      </w:pPr>
      <w:r>
        <w:rPr>
          <w:rFonts w:ascii="Arial" w:cs="Arial" w:eastAsia="Arial" w:hAnsi="Arial"/>
          <w:color w:val="2D2D2D"/>
          <w:sz w:val="22"/>
          <w:szCs w:val="22"/>
        </w:rPr>
        <w:t xml:space="preserve">Negotiation limits and guardrails: recruiters operate within configured guardrails — maximum negotiable amounts per component, approved band ranges, and required approval thresholds — that prevent unauthorized commitments during the heat of a negotiation while still giving recruiters enough flexibility to close competitive candidates.</w:t>
      </w:r>
    </w:p>
    <w:p>
      <w:r>
        <w:br w:type="page"/>
      </w:r>
    </w:p>
    <w:p>
      <w:pPr>
        <w:pStyle w:val="Heading1"/>
        <w:pBdr>
          <w:bottom w:val="single" w:color="2E75B6" w:sz="10" w:space="6"/>
        </w:pBdr>
        <w:spacing w:before="480" w:after="160"/>
      </w:pPr>
      <w:r>
        <w:rPr>
          <w:rFonts w:ascii="Arial" w:cs="Arial" w:eastAsia="Arial" w:hAnsi="Arial"/>
          <w:b/>
          <w:bCs/>
          <w:color w:val="1B5E9B"/>
          <w:sz w:val="38"/>
          <w:szCs w:val="38"/>
        </w:rPr>
        <w:t xml:space="preserve">5. Offer Tracking &amp; Management</w:t>
      </w:r>
    </w:p>
    <w:p>
      <w:pPr>
        <w:spacing w:before="60" w:after="100"/>
      </w:pPr>
      <w:r>
        <w:rPr>
          <w:rFonts w:ascii="Arial" w:cs="Arial" w:eastAsia="Arial" w:hAnsi="Arial"/>
          <w:color w:val="2D2D2D"/>
          <w:sz w:val="22"/>
          <w:szCs w:val="22"/>
        </w:rPr>
        <w:t xml:space="preserve">Managing a portfolio of active offers across multiple roles, departments, and hiring managers requires real-time status visibility and a centralized management interface. When offers are tracked in spreadsheets, email folders, or the memories of individual recruiters, important deadlines are missed, follow-ups fall through the cracks, and leadership has no reliable view of offer pipeline health. This module provides the operational infrastructure to manage offers as a portfolio with precision and accountability.</w:t>
      </w:r>
    </w:p>
    <w:p>
      <w:pPr>
        <w:spacing w:before="80" w:after="0"/>
      </w:pPr>
      <w:r>
        <w:t xml:space="preserve"/>
      </w:r>
    </w:p>
    <w:p>
      <w:pPr>
        <w:pStyle w:val="Heading2"/>
        <w:spacing w:before="320" w:after="120"/>
      </w:pPr>
      <w:r>
        <w:rPr>
          <w:rFonts w:ascii="Arial" w:cs="Arial" w:eastAsia="Arial" w:hAnsi="Arial"/>
          <w:b/>
          <w:bCs/>
          <w:color w:val="1A1A2E"/>
          <w:sz w:val="27"/>
          <w:szCs w:val="27"/>
        </w:rPr>
        <w:t xml:space="preserve">5.1 Offer Status Tracking</w:t>
      </w:r>
    </w:p>
    <w:p>
      <w:pPr>
        <w:spacing w:before="60" w:after="100"/>
      </w:pPr>
      <w:r>
        <w:rPr>
          <w:rFonts w:ascii="Arial" w:cs="Arial" w:eastAsia="Arial" w:hAnsi="Arial"/>
          <w:color w:val="2D2D2D"/>
          <w:sz w:val="22"/>
          <w:szCs w:val="22"/>
        </w:rPr>
        <w:t xml:space="preserve">Offer status tracking provides a precise, real-time view of where every offer stands in its lifecycle — enabling accurate pipeline forecasting, timely follow-up, and confident communication with hiring managers about expected hire dates.</w:t>
      </w:r>
    </w:p>
    <w:p>
      <w:pPr>
        <w:pStyle w:val="ListParagraph"/>
        <w:numPr>
          <w:ilvl w:val="0"/>
          <w:numId w:val="2"/>
        </w:numPr>
        <w:spacing w:before="40" w:after="40"/>
      </w:pPr>
      <w:r>
        <w:rPr>
          <w:rFonts w:ascii="Arial" w:cs="Arial" w:eastAsia="Arial" w:hAnsi="Arial"/>
          <w:color w:val="2D2D2D"/>
          <w:sz w:val="22"/>
          <w:szCs w:val="22"/>
        </w:rPr>
        <w:t xml:space="preserve">Complete status lifecycle: offers move through a defined status progression — Draft (being authored), Pending Approval (in the approval workflow), Approved (cleared for delivery), Sent (delivered to candidate portal), Viewed (candidate has opened the offer), Under Negotiation (candidate has submitted a counter offer or discussion is ongoing), Accepted (candidate has formally accepted), Declined (candidate has formally declined), Expired (acceptance deadline passed without response), Revoked (offer withdrawn by the organization), and Rescinded (offer cancelled post-acceptance due to failed background check or other condition).</w:t>
      </w:r>
    </w:p>
    <w:p>
      <w:pPr>
        <w:pStyle w:val="ListParagraph"/>
        <w:numPr>
          <w:ilvl w:val="0"/>
          <w:numId w:val="2"/>
        </w:numPr>
        <w:spacing w:before="40" w:after="40"/>
      </w:pPr>
      <w:r>
        <w:rPr>
          <w:rFonts w:ascii="Arial" w:cs="Arial" w:eastAsia="Arial" w:hAnsi="Arial"/>
          <w:color w:val="2D2D2D"/>
          <w:sz w:val="22"/>
          <w:szCs w:val="22"/>
        </w:rPr>
        <w:t xml:space="preserve">Status transition audit logging: every status change is recorded with the acting user (or 'System' for automated transitions), timestamp, and the triggering event or action. The complete status history for any offer is accessible in the offer's activity timeline — enabling reconstruction of the full offer lifecycle for any audit or dispute.</w:t>
      </w:r>
    </w:p>
    <w:p>
      <w:pPr>
        <w:pStyle w:val="ListParagraph"/>
        <w:numPr>
          <w:ilvl w:val="0"/>
          <w:numId w:val="2"/>
        </w:numPr>
        <w:spacing w:before="40" w:after="40"/>
      </w:pPr>
      <w:r>
        <w:rPr>
          <w:rFonts w:ascii="Arial" w:cs="Arial" w:eastAsia="Arial" w:hAnsi="Arial"/>
          <w:color w:val="2D2D2D"/>
          <w:sz w:val="22"/>
          <w:szCs w:val="22"/>
        </w:rPr>
        <w:t xml:space="preserve">Automated status advancement: many status transitions are automated without recruiter action — when a candidate opens their offer in the portal, the status advances from Sent to Viewed automatically; when the expiration date passes, the status transitions to Expired automatically. Recruiters are notified of automated transitions that may require follow-up action.</w:t>
      </w:r>
    </w:p>
    <w:p>
      <w:pPr>
        <w:pStyle w:val="ListParagraph"/>
        <w:numPr>
          <w:ilvl w:val="0"/>
          <w:numId w:val="2"/>
        </w:numPr>
        <w:spacing w:before="40" w:after="40"/>
      </w:pPr>
      <w:r>
        <w:rPr>
          <w:rFonts w:ascii="Arial" w:cs="Arial" w:eastAsia="Arial" w:hAnsi="Arial"/>
          <w:color w:val="2D2D2D"/>
          <w:sz w:val="22"/>
          <w:szCs w:val="22"/>
        </w:rPr>
        <w:t xml:space="preserve">Status-based pipeline forecasting: the aggregated status distribution across all active offers (e.g., 12 offers Sent, 8 Accepted, 3 Under Negotiation, 2 Declined) provides real-time headcount forecasting data — enabling HR leaders to predict hiring outcomes for the month and take proactive action on at-risk offers before they expire or decline.</w:t>
      </w:r>
    </w:p>
    <w:p>
      <w:pPr>
        <w:spacing w:before="120" w:after="0"/>
      </w:pPr>
      <w:r>
        <w:t xml:space="preserve"/>
      </w:r>
    </w:p>
    <w:p>
      <w:pPr>
        <w:pStyle w:val="Heading2"/>
        <w:spacing w:before="320" w:after="120"/>
      </w:pPr>
      <w:r>
        <w:rPr>
          <w:rFonts w:ascii="Arial" w:cs="Arial" w:eastAsia="Arial" w:hAnsi="Arial"/>
          <w:b/>
          <w:bCs/>
          <w:color w:val="1A1A2E"/>
          <w:sz w:val="27"/>
          <w:szCs w:val="27"/>
        </w:rPr>
        <w:t xml:space="preserve">5.2 Offer Dashboard</w:t>
      </w:r>
    </w:p>
    <w:p>
      <w:pPr>
        <w:spacing w:before="60" w:after="100"/>
      </w:pPr>
      <w:r>
        <w:rPr>
          <w:rFonts w:ascii="Arial" w:cs="Arial" w:eastAsia="Arial" w:hAnsi="Arial"/>
          <w:color w:val="2D2D2D"/>
          <w:sz w:val="22"/>
          <w:szCs w:val="22"/>
        </w:rPr>
        <w:t xml:space="preserve">The Offer Dashboard is the recruiter's operational command center for all active and recent offers — providing the consolidated view needed to manage a complex portfolio of concurrent offers without missing a deadline or an opportunity to intervene.</w:t>
      </w:r>
    </w:p>
    <w:p>
      <w:pPr>
        <w:pStyle w:val="ListParagraph"/>
        <w:numPr>
          <w:ilvl w:val="0"/>
          <w:numId w:val="2"/>
        </w:numPr>
        <w:spacing w:before="40" w:after="40"/>
      </w:pPr>
      <w:r>
        <w:rPr>
          <w:rFonts w:ascii="Arial" w:cs="Arial" w:eastAsia="Arial" w:hAnsi="Arial"/>
          <w:color w:val="2D2D2D"/>
          <w:sz w:val="22"/>
          <w:szCs w:val="22"/>
        </w:rPr>
        <w:t xml:space="preserve">Multi-dimensional offer portfolio view: the dashboard displays all offers across their lifecycle stages in a configurable layout — a card view for visual pipeline overview or a data-dense table view for portfolio management. Each offer card or row shows the candidate name, role, offer status, salary package, offer delivery date, expiration date, and time remaining.</w:t>
      </w:r>
    </w:p>
    <w:p>
      <w:pPr>
        <w:pStyle w:val="ListParagraph"/>
        <w:numPr>
          <w:ilvl w:val="0"/>
          <w:numId w:val="2"/>
        </w:numPr>
        <w:spacing w:before="40" w:after="40"/>
      </w:pPr>
      <w:r>
        <w:rPr>
          <w:rFonts w:ascii="Arial" w:cs="Arial" w:eastAsia="Arial" w:hAnsi="Arial"/>
          <w:color w:val="2D2D2D"/>
          <w:sz w:val="22"/>
          <w:szCs w:val="22"/>
        </w:rPr>
        <w:t xml:space="preserve">Priority and urgency surfacing: the dashboard automatically surfaces offers requiring immediate attention at the top of the view — offers expiring within 24 hours, offers that have been viewed but not responded to for more than 3 days, offers under negotiation with outstanding recruiter actions, and offers pending approval that are approaching their SLA deadline.</w:t>
      </w:r>
    </w:p>
    <w:p>
      <w:pPr>
        <w:pStyle w:val="ListParagraph"/>
        <w:numPr>
          <w:ilvl w:val="0"/>
          <w:numId w:val="2"/>
        </w:numPr>
        <w:spacing w:before="40" w:after="40"/>
      </w:pPr>
      <w:r>
        <w:rPr>
          <w:rFonts w:ascii="Arial" w:cs="Arial" w:eastAsia="Arial" w:hAnsi="Arial"/>
          <w:color w:val="2D2D2D"/>
          <w:sz w:val="22"/>
          <w:szCs w:val="22"/>
        </w:rPr>
        <w:t xml:space="preserve">Role-specific and team-wide views: recruiters see a personal dashboard scoped to their own offers; HR leaders and recruiting managers see a team-wide dashboard aggregating all offers across the recruiting team, with filtering by recruiter, department, or role type. This enables supervisory oversight without requiring individual pipeline check-ins.</w:t>
      </w:r>
    </w:p>
    <w:p>
      <w:pPr>
        <w:pStyle w:val="ListParagraph"/>
        <w:numPr>
          <w:ilvl w:val="0"/>
          <w:numId w:val="2"/>
        </w:numPr>
        <w:spacing w:before="40" w:after="40"/>
      </w:pPr>
      <w:r>
        <w:rPr>
          <w:rFonts w:ascii="Arial" w:cs="Arial" w:eastAsia="Arial" w:hAnsi="Arial"/>
          <w:color w:val="2D2D2D"/>
          <w:sz w:val="22"/>
          <w:szCs w:val="22"/>
        </w:rPr>
        <w:t xml:space="preserve">Offer action shortcuts: common actions are accessible directly from the dashboard without opening the individual offer — e.g., one-click Send Reminder to a candidate who has viewed but not responded, quick-access to the negotiation thread, or direct navigation to the approval workflow for a pending offer.</w:t>
      </w:r>
    </w:p>
    <w:p>
      <w:pPr>
        <w:pStyle w:val="ListParagraph"/>
        <w:numPr>
          <w:ilvl w:val="0"/>
          <w:numId w:val="2"/>
        </w:numPr>
        <w:spacing w:before="40" w:after="40"/>
      </w:pPr>
      <w:r>
        <w:rPr>
          <w:rFonts w:ascii="Arial" w:cs="Arial" w:eastAsia="Arial" w:hAnsi="Arial"/>
          <w:color w:val="2D2D2D"/>
          <w:sz w:val="22"/>
          <w:szCs w:val="22"/>
        </w:rPr>
        <w:t xml:space="preserve">Historical offer archive with search: closed offers (accepted, declined, expired, revoked) move to a searchable archive accessible from the dashboard. HR teams can search historical offers by candidate name, role, date range, outcome, or any compensation field — enabling rapid retrieval of historical employment terms for reference or dispute resolution.</w:t>
      </w:r>
    </w:p>
    <w:p>
      <w:pPr>
        <w:spacing w:before="120" w:after="0"/>
      </w:pPr>
      <w:r>
        <w:t xml:space="preserve"/>
      </w:r>
    </w:p>
    <w:p>
      <w:pPr>
        <w:pStyle w:val="Heading2"/>
        <w:spacing w:before="320" w:after="120"/>
      </w:pPr>
      <w:r>
        <w:rPr>
          <w:rFonts w:ascii="Arial" w:cs="Arial" w:eastAsia="Arial" w:hAnsi="Arial"/>
          <w:b/>
          <w:bCs/>
          <w:color w:val="1A1A2E"/>
          <w:sz w:val="27"/>
          <w:szCs w:val="27"/>
        </w:rPr>
        <w:t xml:space="preserve">5.3 Offer Activity Timeline</w:t>
      </w:r>
    </w:p>
    <w:p>
      <w:pPr>
        <w:spacing w:before="60" w:after="100"/>
      </w:pPr>
      <w:r>
        <w:rPr>
          <w:rFonts w:ascii="Arial" w:cs="Arial" w:eastAsia="Arial" w:hAnsi="Arial"/>
          <w:color w:val="2D2D2D"/>
          <w:sz w:val="22"/>
          <w:szCs w:val="22"/>
        </w:rPr>
        <w:t xml:space="preserve">The offer activity timeline provides a complete, chronological record of every event in an offer's lifecycle — serving simultaneously as an operational tool for recruiter situational awareness, a collaboration record showing every team member's actions, and a compliance artifact documenting the complete chain of custody from offer creation to candidate response.</w:t>
      </w:r>
    </w:p>
    <w:p>
      <w:pPr>
        <w:pStyle w:val="ListParagraph"/>
        <w:numPr>
          <w:ilvl w:val="0"/>
          <w:numId w:val="2"/>
        </w:numPr>
        <w:spacing w:before="40" w:after="40"/>
      </w:pPr>
      <w:r>
        <w:rPr>
          <w:rFonts w:ascii="Arial" w:cs="Arial" w:eastAsia="Arial" w:hAnsi="Arial"/>
          <w:color w:val="2D2D2D"/>
          <w:sz w:val="22"/>
          <w:szCs w:val="22"/>
        </w:rPr>
        <w:t xml:space="preserve">Comprehensive event capture: the timeline captures every meaningful event — Offer Created (by whom, from which template), Field Modified (which field, old value, new value, by whom), Approval Requested (to whom, at what stage), Approval Decision (approved/rejected/changes requested, by whom, with comments), Offer Sent (via which channel, at what time), Email Delivered / Opened (with timestamps), Candidate Portal Access (timestamp, device type, IP geolocation), Offer Viewed (duration of viewing session), Counter-Offer Submitted (component and proposed value), Revised Offer Generated, Offer Accepted / Declined (with reason), Digital Signature Applied, and all downstream automated triggers fired.</w:t>
      </w:r>
    </w:p>
    <w:p>
      <w:pPr>
        <w:pStyle w:val="ListParagraph"/>
        <w:numPr>
          <w:ilvl w:val="0"/>
          <w:numId w:val="2"/>
        </w:numPr>
        <w:spacing w:before="40" w:after="40"/>
      </w:pPr>
      <w:r>
        <w:rPr>
          <w:rFonts w:ascii="Arial" w:cs="Arial" w:eastAsia="Arial" w:hAnsi="Arial"/>
          <w:color w:val="2D2D2D"/>
          <w:sz w:val="22"/>
          <w:szCs w:val="22"/>
        </w:rPr>
        <w:t xml:space="preserve">Stakeholder activity attribution: every timeline event is attributed to a specific actor — an individual user by name and role, the automated system, or the candidate. Multi-stakeholder offers involving multiple approvers, the recruiter, a coordinator, and the candidate show a rich activity log demonstrating exactly how the offer progressed through its lifecycle and who contributed at each stage.</w:t>
      </w:r>
    </w:p>
    <w:p>
      <w:pPr>
        <w:pStyle w:val="ListParagraph"/>
        <w:numPr>
          <w:ilvl w:val="0"/>
          <w:numId w:val="2"/>
        </w:numPr>
        <w:spacing w:before="40" w:after="40"/>
      </w:pPr>
      <w:r>
        <w:rPr>
          <w:rFonts w:ascii="Arial" w:cs="Arial" w:eastAsia="Arial" w:hAnsi="Arial"/>
          <w:color w:val="2D2D2D"/>
          <w:sz w:val="22"/>
          <w:szCs w:val="22"/>
        </w:rPr>
        <w:t xml:space="preserve">Timeline filtering and focus: for complex offers with extensive activity logs, timeline filters allow users to focus on a specific event type (approvals only, candidate interactions only, system events only) or a specific participant's actions — making it easy to answer questions like 'What exactly did the candidate do between receiving and accepting their offer?'</w:t>
      </w:r>
    </w:p>
    <w:p>
      <w:pPr>
        <w:pStyle w:val="ListParagraph"/>
        <w:numPr>
          <w:ilvl w:val="0"/>
          <w:numId w:val="2"/>
        </w:numPr>
        <w:spacing w:before="40" w:after="40"/>
      </w:pPr>
      <w:r>
        <w:rPr>
          <w:rFonts w:ascii="Arial" w:cs="Arial" w:eastAsia="Arial" w:hAnsi="Arial"/>
          <w:color w:val="2D2D2D"/>
          <w:sz w:val="22"/>
          <w:szCs w:val="22"/>
        </w:rPr>
        <w:t xml:space="preserve">Timeline export for legal and compliance: the complete offer activity timeline can be exported as a formatted PDF or structured data file for attachment to employment files, EEOC inquiry responses, legal proceedings, or internal investigation documentation — with cryptographic attestation that the exported timeline has not been modified from the platform record.</w:t>
      </w:r>
    </w:p>
    <w:p>
      <w:r>
        <w:br w:type="page"/>
      </w:r>
    </w:p>
    <w:p>
      <w:pPr>
        <w:pStyle w:val="Heading1"/>
        <w:pBdr>
          <w:bottom w:val="single" w:color="2E75B6" w:sz="10" w:space="6"/>
        </w:pBdr>
        <w:spacing w:before="480" w:after="160"/>
      </w:pPr>
      <w:r>
        <w:rPr>
          <w:rFonts w:ascii="Arial" w:cs="Arial" w:eastAsia="Arial" w:hAnsi="Arial"/>
          <w:b/>
          <w:bCs/>
          <w:color w:val="1B5E9B"/>
          <w:sz w:val="38"/>
          <w:szCs w:val="38"/>
        </w:rPr>
        <w:t xml:space="preserve">6. Communication &amp; Notifications</w:t>
      </w:r>
    </w:p>
    <w:p>
      <w:pPr>
        <w:spacing w:before="60" w:after="100"/>
      </w:pPr>
      <w:r>
        <w:rPr>
          <w:rFonts w:ascii="Arial" w:cs="Arial" w:eastAsia="Arial" w:hAnsi="Arial"/>
          <w:color w:val="2D2D2D"/>
          <w:sz w:val="22"/>
          <w:szCs w:val="22"/>
        </w:rPr>
        <w:t xml:space="preserve">An offer sent into silence — with no acknowledgement of its arrival, no follow-up when the candidate takes time to respond, and no mechanism for the candidate to ask clarifying questions — is an offer at risk. Proactive, timely communication around the offer process maintains candidate engagement, surfaces concerns before they become withdrawals, and ensures that all stakeholders in the hiring process are informed in real time as the offer progresses.</w:t>
      </w:r>
    </w:p>
    <w:p>
      <w:pPr>
        <w:spacing w:before="80" w:after="0"/>
      </w:pPr>
      <w:r>
        <w:t xml:space="preserve"/>
      </w:r>
    </w:p>
    <w:p>
      <w:pPr>
        <w:pStyle w:val="Heading2"/>
        <w:spacing w:before="320" w:after="120"/>
      </w:pPr>
      <w:r>
        <w:rPr>
          <w:rFonts w:ascii="Arial" w:cs="Arial" w:eastAsia="Arial" w:hAnsi="Arial"/>
          <w:b/>
          <w:bCs/>
          <w:color w:val="1A1A2E"/>
          <w:sz w:val="27"/>
          <w:szCs w:val="27"/>
        </w:rPr>
        <w:t xml:space="preserve">6.1 Offer Notification Alerts</w:t>
      </w:r>
    </w:p>
    <w:p>
      <w:pPr>
        <w:spacing w:before="60" w:after="100"/>
      </w:pPr>
      <w:r>
        <w:rPr>
          <w:rFonts w:ascii="Arial" w:cs="Arial" w:eastAsia="Arial" w:hAnsi="Arial"/>
          <w:color w:val="2D2D2D"/>
          <w:sz w:val="22"/>
          <w:szCs w:val="22"/>
        </w:rPr>
        <w:t xml:space="preserve">Offer notification alerts keep every relevant party informed of offer events as they occur — eliminating the scenario where a recruiter discovers an offer has been declined after three days of silence, or a hiring manager doesn't know their candidate accepted until the recruiter remembers to send an email.</w:t>
      </w:r>
    </w:p>
    <w:p>
      <w:pPr>
        <w:pStyle w:val="ListParagraph"/>
        <w:numPr>
          <w:ilvl w:val="0"/>
          <w:numId w:val="2"/>
        </w:numPr>
        <w:spacing w:before="40" w:after="40"/>
      </w:pPr>
      <w:r>
        <w:rPr>
          <w:rFonts w:ascii="Arial" w:cs="Arial" w:eastAsia="Arial" w:hAnsi="Arial"/>
          <w:color w:val="2D2D2D"/>
          <w:sz w:val="22"/>
          <w:szCs w:val="22"/>
        </w:rPr>
        <w:t xml:space="preserve">Event-triggered notification matrix: the platform fires notifications for a comprehensive set of offer events to a configurable set of recipients — Offer Sent (recruiter confirmation, hiring manager awareness), Offer Delivered to Candidate (recruiter confirmation), Offer Viewed by Candidate (recruiter and hiring manager alert), Offer Accepted (recruiter, hiring manager, HR operations, onboarding team, Finance for headcount tracking), Offer Declined (recruiter and hiring manager with decline reason), Offer Expired (recruiter with recommended action), Offer About to Expire (candidate reminder, recruiter awareness), Counter-Offer Received (recruiter and hiring manager), Offer Revoked (candidate notification and recruiter confirmation).</w:t>
      </w:r>
    </w:p>
    <w:p>
      <w:pPr>
        <w:pStyle w:val="ListParagraph"/>
        <w:numPr>
          <w:ilvl w:val="0"/>
          <w:numId w:val="2"/>
        </w:numPr>
        <w:spacing w:before="40" w:after="40"/>
      </w:pPr>
      <w:r>
        <w:rPr>
          <w:rFonts w:ascii="Arial" w:cs="Arial" w:eastAsia="Arial" w:hAnsi="Arial"/>
          <w:color w:val="2D2D2D"/>
          <w:sz w:val="22"/>
          <w:szCs w:val="22"/>
        </w:rPr>
        <w:t xml:space="preserve">Multi-channel notification delivery: each notification type is deliverable through in-platform alerts, email, SMS, and configured Slack or Teams channels — with per-user preference settings that allow each stakeholder to choose their preferred channel for each notification type.</w:t>
      </w:r>
    </w:p>
    <w:p>
      <w:pPr>
        <w:pStyle w:val="ListParagraph"/>
        <w:numPr>
          <w:ilvl w:val="0"/>
          <w:numId w:val="2"/>
        </w:numPr>
        <w:spacing w:before="40" w:after="40"/>
      </w:pPr>
      <w:r>
        <w:rPr>
          <w:rFonts w:ascii="Arial" w:cs="Arial" w:eastAsia="Arial" w:hAnsi="Arial"/>
          <w:color w:val="2D2D2D"/>
          <w:sz w:val="22"/>
          <w:szCs w:val="22"/>
        </w:rPr>
        <w:t xml:space="preserve">Candidate engagement intelligence: notifications for Offer Viewed events include contextual detail — e.g., 'Candidate viewed offer for 12 minutes from a mobile device in San Francisco at 9:14 PM' — giving recruiters engagement signals that help calibrate follow-up timing. A candidate who read the offer for 15 minutes at 10 PM is likely engaged and deliberating; a candidate who opened the email but hasn't accessed the portal may not have seen the full offer.</w:t>
      </w:r>
    </w:p>
    <w:p>
      <w:pPr>
        <w:pStyle w:val="ListParagraph"/>
        <w:numPr>
          <w:ilvl w:val="0"/>
          <w:numId w:val="2"/>
        </w:numPr>
        <w:spacing w:before="40" w:after="40"/>
      </w:pPr>
      <w:r>
        <w:rPr>
          <w:rFonts w:ascii="Arial" w:cs="Arial" w:eastAsia="Arial" w:hAnsi="Arial"/>
          <w:color w:val="2D2D2D"/>
          <w:sz w:val="22"/>
          <w:szCs w:val="22"/>
        </w:rPr>
        <w:t xml:space="preserve">Escalation alerts for at-risk offers: the notification engine identifies offer patterns associated with elevated decline risk — viewing the offer multiple times without accepting, accessing the offer and immediately closing, or requesting multiple deadline extensions — and sends recruiter-targeted engagement alerts suggesting proactive outreach rather than passive waiting.</w:t>
      </w:r>
    </w:p>
    <w:p>
      <w:pPr>
        <w:pStyle w:val="ListParagraph"/>
        <w:numPr>
          <w:ilvl w:val="0"/>
          <w:numId w:val="2"/>
        </w:numPr>
        <w:spacing w:before="40" w:after="40"/>
      </w:pPr>
      <w:r>
        <w:rPr>
          <w:rFonts w:ascii="Arial" w:cs="Arial" w:eastAsia="Arial" w:hAnsi="Arial"/>
          <w:color w:val="2D2D2D"/>
          <w:sz w:val="22"/>
          <w:szCs w:val="22"/>
        </w:rPr>
        <w:t xml:space="preserve">Notification delivery confirmation: notification delivery is tracked, with failed notifications (undeliverable email, SMS failure) generating secondary alerts through the recruiter's in-platform notification center — ensuring that communication failures do not silently leave candidates and stakeholders uninformed.</w:t>
      </w:r>
    </w:p>
    <w:p>
      <w:pPr>
        <w:spacing w:before="120" w:after="0"/>
      </w:pPr>
      <w:r>
        <w:t xml:space="preserve"/>
      </w:r>
    </w:p>
    <w:p>
      <w:pPr>
        <w:pStyle w:val="Heading2"/>
        <w:spacing w:before="320" w:after="120"/>
      </w:pPr>
      <w:r>
        <w:rPr>
          <w:rFonts w:ascii="Arial" w:cs="Arial" w:eastAsia="Arial" w:hAnsi="Arial"/>
          <w:b/>
          <w:bCs/>
          <w:color w:val="1A1A2E"/>
          <w:sz w:val="27"/>
          <w:szCs w:val="27"/>
        </w:rPr>
        <w:t xml:space="preserve">6.2 Offer Discussion Messaging</w:t>
      </w:r>
    </w:p>
    <w:p>
      <w:pPr>
        <w:spacing w:before="60" w:after="100"/>
      </w:pPr>
      <w:r>
        <w:rPr>
          <w:rFonts w:ascii="Arial" w:cs="Arial" w:eastAsia="Arial" w:hAnsi="Arial"/>
          <w:color w:val="2D2D2D"/>
          <w:sz w:val="22"/>
          <w:szCs w:val="22"/>
        </w:rPr>
        <w:t xml:space="preserve">Candidates receiving an offer often have questions — about benefit details, about the start date flexibility, about the equity plan's mechanics, about relocation logistics — that they want answered before committing. Providing a direct, in-platform communication channel attached to the offer creates a seamless experience that keeps the conversation contextual and documented, rather than scattered across email and phone calls.</w:t>
      </w:r>
    </w:p>
    <w:p>
      <w:pPr>
        <w:pStyle w:val="ListParagraph"/>
        <w:numPr>
          <w:ilvl w:val="0"/>
          <w:numId w:val="2"/>
        </w:numPr>
        <w:spacing w:before="40" w:after="40"/>
      </w:pPr>
      <w:r>
        <w:rPr>
          <w:rFonts w:ascii="Arial" w:cs="Arial" w:eastAsia="Arial" w:hAnsi="Arial"/>
          <w:color w:val="2D2D2D"/>
          <w:sz w:val="22"/>
          <w:szCs w:val="22"/>
        </w:rPr>
        <w:t xml:space="preserve">Offer-contextual messaging thread: a dedicated messaging thread is attached to each offer, accessible from both the candidate portal and the recruiter's offer management view. Both parties see the complete conversation history in the context of the offer — eliminating the need to forward email threads to provide context when escalating a negotiation question to the hiring manager.</w:t>
      </w:r>
    </w:p>
    <w:p>
      <w:pPr>
        <w:pStyle w:val="ListParagraph"/>
        <w:numPr>
          <w:ilvl w:val="0"/>
          <w:numId w:val="2"/>
        </w:numPr>
        <w:spacing w:before="40" w:after="40"/>
      </w:pPr>
      <w:r>
        <w:rPr>
          <w:rFonts w:ascii="Arial" w:cs="Arial" w:eastAsia="Arial" w:hAnsi="Arial"/>
          <w:color w:val="2D2D2D"/>
          <w:sz w:val="22"/>
          <w:szCs w:val="22"/>
        </w:rPr>
        <w:t xml:space="preserve">Question tagging and routing: candidates can tag their messages by category — Compensation Question, Benefits Question, Start Date Query, Role Scope Clarification, Contract Terms Question — enabling automatic routing of tagged questions to the most appropriate responder (e.g., Benefits questions routed to the HR operations team, Compensation questions to the recruiter and hiring manager).</w:t>
      </w:r>
    </w:p>
    <w:p>
      <w:pPr>
        <w:pStyle w:val="ListParagraph"/>
        <w:numPr>
          <w:ilvl w:val="0"/>
          <w:numId w:val="2"/>
        </w:numPr>
        <w:spacing w:before="40" w:after="40"/>
      </w:pPr>
      <w:r>
        <w:rPr>
          <w:rFonts w:ascii="Arial" w:cs="Arial" w:eastAsia="Arial" w:hAnsi="Arial"/>
          <w:color w:val="2D2D2D"/>
          <w:sz w:val="22"/>
          <w:szCs w:val="22"/>
        </w:rPr>
        <w:t xml:space="preserve">Response time SLA tracking: the platform tracks time elapsed since the candidate's last message and generates an alert when the response SLA (configurable per message category, e.g., 4 hours for compensation questions, 24 hours for general inquiries) is approaching or has elapsed — preventing candidates from going silent due to unanswered questions.</w:t>
      </w:r>
    </w:p>
    <w:p>
      <w:pPr>
        <w:pStyle w:val="ListParagraph"/>
        <w:numPr>
          <w:ilvl w:val="0"/>
          <w:numId w:val="2"/>
        </w:numPr>
        <w:spacing w:before="40" w:after="40"/>
      </w:pPr>
      <w:r>
        <w:rPr>
          <w:rFonts w:ascii="Arial" w:cs="Arial" w:eastAsia="Arial" w:hAnsi="Arial"/>
          <w:color w:val="2D2D2D"/>
          <w:sz w:val="22"/>
          <w:szCs w:val="22"/>
        </w:rPr>
        <w:t xml:space="preserve">Multi-participant internal thread: alongside the candidate-facing thread, an internal-only discussion thread allows the recruiter, hiring manager, HR operations, and Finance to coordinate their response to negotiation requests without the candidate seeing internal deliberations — then presenting a unified response in the candidate-facing thread.</w:t>
      </w:r>
    </w:p>
    <w:p>
      <w:pPr>
        <w:pStyle w:val="ListParagraph"/>
        <w:numPr>
          <w:ilvl w:val="0"/>
          <w:numId w:val="2"/>
        </w:numPr>
        <w:spacing w:before="40" w:after="40"/>
      </w:pPr>
      <w:r>
        <w:rPr>
          <w:rFonts w:ascii="Arial" w:cs="Arial" w:eastAsia="Arial" w:hAnsi="Arial"/>
          <w:color w:val="2D2D2D"/>
          <w:sz w:val="22"/>
          <w:szCs w:val="22"/>
        </w:rPr>
        <w:t xml:space="preserve">Message history inclusion in offer record: all offer discussion messages — both candidate-facing and internal — are permanently attached to the offer record and included in the offer's activity timeline. This creates a complete documentation of every communication surrounding the offer, from creation to acceptance.</w:t>
      </w:r>
    </w:p>
    <w:p>
      <w:r>
        <w:br w:type="page"/>
      </w:r>
    </w:p>
    <w:p>
      <w:pPr>
        <w:pStyle w:val="Heading1"/>
        <w:pBdr>
          <w:bottom w:val="single" w:color="2E75B6" w:sz="10" w:space="6"/>
        </w:pBdr>
        <w:spacing w:before="480" w:after="160"/>
      </w:pPr>
      <w:r>
        <w:rPr>
          <w:rFonts w:ascii="Arial" w:cs="Arial" w:eastAsia="Arial" w:hAnsi="Arial"/>
          <w:b/>
          <w:bCs/>
          <w:color w:val="1B5E9B"/>
          <w:sz w:val="38"/>
          <w:szCs w:val="38"/>
        </w:rPr>
        <w:t xml:space="preserve">7. Compliance &amp; Documentation</w:t>
      </w:r>
    </w:p>
    <w:p>
      <w:pPr>
        <w:spacing w:before="60" w:after="100"/>
      </w:pPr>
      <w:r>
        <w:rPr>
          <w:rFonts w:ascii="Arial" w:cs="Arial" w:eastAsia="Arial" w:hAnsi="Arial"/>
          <w:color w:val="2D2D2D"/>
          <w:sz w:val="22"/>
          <w:szCs w:val="22"/>
        </w:rPr>
        <w:t xml:space="preserve">Employment offers carry legal weight that persists long after the candidate's first day of work. The language in an offer letter can define employment terms, create implied contracts, and establish compensation commitments that are enforceable in employment tribunals and courts. The Compliance &amp; Documentation module ensures that offers are legally sound when issued, properly stored when archived, and fully auditable when reviewed — whether for routine HR compliance, a regulatory inquiry, or employment litigation.</w:t>
      </w:r>
    </w:p>
    <w:p>
      <w:pPr>
        <w:spacing w:before="80" w:after="0"/>
      </w:pPr>
      <w:r>
        <w:t xml:space="preserve"/>
      </w:r>
    </w:p>
    <w:p>
      <w:pPr>
        <w:pStyle w:val="Heading2"/>
        <w:spacing w:before="320" w:after="120"/>
      </w:pPr>
      <w:r>
        <w:rPr>
          <w:rFonts w:ascii="Arial" w:cs="Arial" w:eastAsia="Arial" w:hAnsi="Arial"/>
          <w:b/>
          <w:bCs/>
          <w:color w:val="1A1A2E"/>
          <w:sz w:val="27"/>
          <w:szCs w:val="27"/>
        </w:rPr>
        <w:t xml:space="preserve">7.1 Legal Compliance Templates</w:t>
      </w:r>
    </w:p>
    <w:p>
      <w:pPr>
        <w:spacing w:before="60" w:after="100"/>
      </w:pPr>
      <w:r>
        <w:rPr>
          <w:rFonts w:ascii="Arial" w:cs="Arial" w:eastAsia="Arial" w:hAnsi="Arial"/>
          <w:color w:val="2D2D2D"/>
          <w:sz w:val="22"/>
          <w:szCs w:val="22"/>
        </w:rPr>
        <w:t xml:space="preserve">Employment law varies significantly across jurisdictions, industries, and role types — and the consequences of issuing an offer that omits a required disclosure or includes a legally unenforceable clause can range from regulatory fines to successful employee claims. Legal compliance templates embed jurisdiction-appropriate, attorney-reviewed language into every offer as a structural default rather than a manually remembered task.</w:t>
      </w:r>
    </w:p>
    <w:p>
      <w:pPr>
        <w:pStyle w:val="ListParagraph"/>
        <w:numPr>
          <w:ilvl w:val="0"/>
          <w:numId w:val="2"/>
        </w:numPr>
        <w:spacing w:before="40" w:after="40"/>
      </w:pPr>
      <w:r>
        <w:rPr>
          <w:rFonts w:ascii="Arial" w:cs="Arial" w:eastAsia="Arial" w:hAnsi="Arial"/>
          <w:color w:val="2D2D2D"/>
          <w:sz w:val="22"/>
          <w:szCs w:val="22"/>
        </w:rPr>
        <w:t xml:space="preserve">Jurisdiction-specific clause library: the platform maintains a comprehensive library of legally reviewed clauses for the most significant employment jurisdictions — US Federal, US state-specific (California, New York, Washington, Texas, and others with distinctive employment law requirements), UK, EU member states (with jurisdiction-specific differences in collective agreements, redundancy provisions, and statutory rights), Canada (federal and provincial), Australia, Singapore, India (Shops and Establishments Act variants), and UAE. Clause libraries are updated in response to regulatory changes by the platform's legal compliance team.</w:t>
      </w:r>
    </w:p>
    <w:p>
      <w:pPr>
        <w:pStyle w:val="ListParagraph"/>
        <w:numPr>
          <w:ilvl w:val="0"/>
          <w:numId w:val="2"/>
        </w:numPr>
        <w:spacing w:before="40" w:after="40"/>
      </w:pPr>
      <w:r>
        <w:rPr>
          <w:rFonts w:ascii="Arial" w:cs="Arial" w:eastAsia="Arial" w:hAnsi="Arial"/>
          <w:color w:val="2D2D2D"/>
          <w:sz w:val="22"/>
          <w:szCs w:val="22"/>
        </w:rPr>
        <w:t xml:space="preserve">Automatic clause inclusion by trigger: compliance clauses are included in offer letters based on configured triggers — At-Will Employment Disclaimer appears for all US roles outside Montana (the only US state without at-will employment); Right to Work verification notice appears for all UK roles; Pay Transparency Act disclosures appear for all California, Colorado, and New York roles; GDPR data processing notice appears for all EU roles. Trigger logic is maintained by administrators and reviewed during periodic compliance audits.</w:t>
      </w:r>
    </w:p>
    <w:p>
      <w:pPr>
        <w:pStyle w:val="ListParagraph"/>
        <w:numPr>
          <w:ilvl w:val="0"/>
          <w:numId w:val="2"/>
        </w:numPr>
        <w:spacing w:before="40" w:after="40"/>
      </w:pPr>
      <w:r>
        <w:rPr>
          <w:rFonts w:ascii="Arial" w:cs="Arial" w:eastAsia="Arial" w:hAnsi="Arial"/>
          <w:color w:val="2D2D2D"/>
          <w:sz w:val="22"/>
          <w:szCs w:val="22"/>
        </w:rPr>
        <w:t xml:space="preserve">Non-compete and restrictive covenant management: for roles where non-compete agreements, non-solicitation clauses, or garden leave provisions are appropriate, the platform supports configurable restrictive covenant templates with jurisdiction-enforceability awareness — flagging non-compete language that may be unenforceable in specific jurisdictions (e.g., California, where non-competes are generally void) and prompting legal review before inclusion.</w:t>
      </w:r>
    </w:p>
    <w:p>
      <w:pPr>
        <w:pStyle w:val="ListParagraph"/>
        <w:numPr>
          <w:ilvl w:val="0"/>
          <w:numId w:val="2"/>
        </w:numPr>
        <w:spacing w:before="40" w:after="40"/>
      </w:pPr>
      <w:r>
        <w:rPr>
          <w:rFonts w:ascii="Arial" w:cs="Arial" w:eastAsia="Arial" w:hAnsi="Arial"/>
          <w:color w:val="2D2D2D"/>
          <w:sz w:val="22"/>
          <w:szCs w:val="22"/>
        </w:rPr>
        <w:t xml:space="preserve">Confidentiality and IP assignment clauses: standard confidentiality, non-disclosure, intellectual property assignment, and inventions agreement language is integrated into the offer letter template structure as required sections, with configurable variation points for role-specific IP considerations (e.g., prior inventions exclusions, open-source contribution policies).</w:t>
      </w:r>
    </w:p>
    <w:p>
      <w:pPr>
        <w:pStyle w:val="ListParagraph"/>
        <w:numPr>
          <w:ilvl w:val="0"/>
          <w:numId w:val="2"/>
        </w:numPr>
        <w:spacing w:before="40" w:after="40"/>
      </w:pPr>
      <w:r>
        <w:rPr>
          <w:rFonts w:ascii="Arial" w:cs="Arial" w:eastAsia="Arial" w:hAnsi="Arial"/>
          <w:color w:val="2D2D2D"/>
          <w:sz w:val="22"/>
          <w:szCs w:val="22"/>
        </w:rPr>
        <w:t xml:space="preserve">Legal review integration: for non-standard offers — executive contracts, roles with unusual compensation structures, international hires requiring local employment agreements — the platform supports a Legal Review gate in the approval workflow, routing the specific non-standard provisions to legal counsel with a structured markup and approval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BF3FB" w:val="clear"/>
            <w:tcMar>
              <w:top w:type="dxa" w:w="120"/>
              <w:left w:type="dxa" w:w="220"/>
              <w:bottom w:type="dxa" w:w="120"/>
              <w:right w:type="dxa" w:w="220"/>
            </w:tcMar>
          </w:tcPr>
          <w:p>
            <w:pPr>
              <w:spacing w:before="0" w:after="0"/>
            </w:pPr>
            <w:r>
              <w:rPr>
                <w:rFonts w:ascii="Arial" w:cs="Arial" w:eastAsia="Arial" w:hAnsi="Arial"/>
                <w:b/>
                <w:bCs/>
                <w:color w:val="1B5E9B"/>
                <w:sz w:val="20"/>
                <w:szCs w:val="20"/>
              </w:rPr>
              <w:t xml:space="preserve">Compliance Note:  </w:t>
            </w:r>
            <w:r>
              <w:rPr>
                <w:rFonts w:ascii="Arial" w:cs="Arial" w:eastAsia="Arial" w:hAnsi="Arial"/>
                <w:i/>
                <w:iCs/>
                <w:color w:val="374151"/>
                <w:sz w:val="20"/>
                <w:szCs w:val="20"/>
              </w:rPr>
              <w:t xml:space="preserve">Regulatory changes — including salary transparency laws in new jurisdictions, updates to non-compete enforceability, and changes to mandatory employment disclosures — are incorporated into the platform's clause library within 30 days of enactment, with affected template owners notified to review and update their active templates.</w:t>
            </w:r>
          </w:p>
        </w:tc>
      </w:tr>
    </w:tbl>
    <w:p>
      <w:pPr>
        <w:spacing w:before="120" w:after="0"/>
      </w:pPr>
      <w:r>
        <w:t xml:space="preserve"/>
      </w:r>
    </w:p>
    <w:p>
      <w:pPr>
        <w:pStyle w:val="Heading2"/>
        <w:spacing w:before="320" w:after="120"/>
      </w:pPr>
      <w:r>
        <w:rPr>
          <w:rFonts w:ascii="Arial" w:cs="Arial" w:eastAsia="Arial" w:hAnsi="Arial"/>
          <w:b/>
          <w:bCs/>
          <w:color w:val="1A1A2E"/>
          <w:sz w:val="27"/>
          <w:szCs w:val="27"/>
        </w:rPr>
        <w:t xml:space="preserve">7.2 Document Management</w:t>
      </w:r>
    </w:p>
    <w:p>
      <w:pPr>
        <w:spacing w:before="60" w:after="100"/>
      </w:pPr>
      <w:r>
        <w:rPr>
          <w:rFonts w:ascii="Arial" w:cs="Arial" w:eastAsia="Arial" w:hAnsi="Arial"/>
          <w:color w:val="2D2D2D"/>
          <w:sz w:val="22"/>
          <w:szCs w:val="22"/>
        </w:rPr>
        <w:t xml:space="preserve">Offer letters and associated documents are employment records with retention obligations under labor law, tax regulation, and internal HR policy. Proper document management ensures these records are available when needed — for reference by the employee, for HR audit, or for legal proceedings — and are disposed of when retention periods expire.</w:t>
      </w:r>
    </w:p>
    <w:p>
      <w:pPr>
        <w:pStyle w:val="ListParagraph"/>
        <w:numPr>
          <w:ilvl w:val="0"/>
          <w:numId w:val="2"/>
        </w:numPr>
        <w:spacing w:before="40" w:after="40"/>
      </w:pPr>
      <w:r>
        <w:rPr>
          <w:rFonts w:ascii="Arial" w:cs="Arial" w:eastAsia="Arial" w:hAnsi="Arial"/>
          <w:color w:val="2D2D2D"/>
          <w:sz w:val="22"/>
          <w:szCs w:val="22"/>
        </w:rPr>
        <w:t xml:space="preserve">Centralized offer document vault: all offer-related documents — the offer letter (all versions), the signed final document, the compensation approval record, negotiation correspondence, supplementary benefit documents, and any candidate-submitted acknowledgements — are stored in a structured, searchable document vault organized by candidate, role, and hire date.</w:t>
      </w:r>
    </w:p>
    <w:p>
      <w:pPr>
        <w:pStyle w:val="ListParagraph"/>
        <w:numPr>
          <w:ilvl w:val="0"/>
          <w:numId w:val="2"/>
        </w:numPr>
        <w:spacing w:before="40" w:after="40"/>
      </w:pPr>
      <w:r>
        <w:rPr>
          <w:rFonts w:ascii="Arial" w:cs="Arial" w:eastAsia="Arial" w:hAnsi="Arial"/>
          <w:color w:val="2D2D2D"/>
          <w:sz w:val="22"/>
          <w:szCs w:val="22"/>
        </w:rPr>
        <w:t xml:space="preserve">Immutable finalized document storage: once an offer is accepted and digitally signed, the final signed document is stored as a tamper-evident, cryptographically sealed PDF. Any attempt to modify the stored document after sealing is detectable through the embedded document hash — ensuring the stored record accurately represents what the candidate signed.</w:t>
      </w:r>
    </w:p>
    <w:p>
      <w:pPr>
        <w:pStyle w:val="ListParagraph"/>
        <w:numPr>
          <w:ilvl w:val="0"/>
          <w:numId w:val="2"/>
        </w:numPr>
        <w:spacing w:before="40" w:after="40"/>
      </w:pPr>
      <w:r>
        <w:rPr>
          <w:rFonts w:ascii="Arial" w:cs="Arial" w:eastAsia="Arial" w:hAnsi="Arial"/>
          <w:color w:val="2D2D2D"/>
          <w:sz w:val="22"/>
          <w:szCs w:val="22"/>
        </w:rPr>
        <w:t xml:space="preserve">Access control and privacy scoping: offer documents are access-controlled at both the role level (only authorized users with access to the relevant role can view its offer documents) and the sensitivity level (compensation details may be accessible only to HR and Finance, not to all interviewers with access to the candidate's profile).</w:t>
      </w:r>
    </w:p>
    <w:p>
      <w:pPr>
        <w:pStyle w:val="ListParagraph"/>
        <w:numPr>
          <w:ilvl w:val="0"/>
          <w:numId w:val="2"/>
        </w:numPr>
        <w:spacing w:before="40" w:after="40"/>
      </w:pPr>
      <w:r>
        <w:rPr>
          <w:rFonts w:ascii="Arial" w:cs="Arial" w:eastAsia="Arial" w:hAnsi="Arial"/>
          <w:color w:val="2D2D2D"/>
          <w:sz w:val="22"/>
          <w:szCs w:val="22"/>
        </w:rPr>
        <w:t xml:space="preserve">Retention policy automation: configurable retention policies define how long offer documents are retained after the hire date or the role close date — e.g., accepted offer documents retained for the duration of employment plus 7 years; declined offer documents retained for 2 years for equal employment opportunity compliance. Automated disposal workflows execute at policy expiration, with notifications to HR administrators and optional manual review gates before permanent deletion.</w:t>
      </w:r>
    </w:p>
    <w:p>
      <w:pPr>
        <w:pStyle w:val="ListParagraph"/>
        <w:numPr>
          <w:ilvl w:val="0"/>
          <w:numId w:val="2"/>
        </w:numPr>
        <w:spacing w:before="40" w:after="40"/>
      </w:pPr>
      <w:r>
        <w:rPr>
          <w:rFonts w:ascii="Arial" w:cs="Arial" w:eastAsia="Arial" w:hAnsi="Arial"/>
          <w:color w:val="2D2D2D"/>
          <w:sz w:val="22"/>
          <w:szCs w:val="22"/>
        </w:rPr>
        <w:t xml:space="preserve">Candidate document access rights: under GDPR and equivalent right-of-access frameworks, employees and former candidates can request copies of their employment documents. The platform supports DSAR (Data Subject Access Request) fulfillment workflows that compile all documents related to a specific individual into a exportable package, with configurable redaction of third-party data before delivery.</w:t>
      </w:r>
    </w:p>
    <w:p>
      <w:pPr>
        <w:spacing w:before="120" w:after="0"/>
      </w:pPr>
      <w:r>
        <w:t xml:space="preserve"/>
      </w:r>
    </w:p>
    <w:p>
      <w:pPr>
        <w:pStyle w:val="Heading2"/>
        <w:spacing w:before="320" w:after="120"/>
      </w:pPr>
      <w:r>
        <w:rPr>
          <w:rFonts w:ascii="Arial" w:cs="Arial" w:eastAsia="Arial" w:hAnsi="Arial"/>
          <w:b/>
          <w:bCs/>
          <w:color w:val="1A1A2E"/>
          <w:sz w:val="27"/>
          <w:szCs w:val="27"/>
        </w:rPr>
        <w:t xml:space="preserve">7.3 Audit Logs</w:t>
      </w:r>
    </w:p>
    <w:p>
      <w:pPr>
        <w:spacing w:before="60" w:after="100"/>
      </w:pPr>
      <w:r>
        <w:rPr>
          <w:rFonts w:ascii="Arial" w:cs="Arial" w:eastAsia="Arial" w:hAnsi="Arial"/>
          <w:color w:val="2D2D2D"/>
          <w:sz w:val="22"/>
          <w:szCs w:val="22"/>
        </w:rPr>
        <w:t xml:space="preserve">In a regulated employment environment, the ability to answer 'who did what, when, and why' about any offer-related action is not optional — it's a compliance prerequisite. The offer management audit log provides a complete, tamper-evident, and legally admissible record of every action across the entire offer lifecycle.</w:t>
      </w:r>
    </w:p>
    <w:p>
      <w:pPr>
        <w:pStyle w:val="ListParagraph"/>
        <w:numPr>
          <w:ilvl w:val="0"/>
          <w:numId w:val="2"/>
        </w:numPr>
        <w:spacing w:before="40" w:after="40"/>
      </w:pPr>
      <w:r>
        <w:rPr>
          <w:rFonts w:ascii="Arial" w:cs="Arial" w:eastAsia="Arial" w:hAnsi="Arial"/>
          <w:color w:val="2D2D2D"/>
          <w:sz w:val="22"/>
          <w:szCs w:val="22"/>
        </w:rPr>
        <w:t xml:space="preserve">Granular event capture: the audit log records every offer-related action with actor identity, timestamp (UTC with millisecond precision), the affected offer identifier, the specific action performed, and all relevant contextual data — including field-level before/after values for every edit, the full approval decision text for every approval action, and the candidate interaction metadata for every portal access event.</w:t>
      </w:r>
    </w:p>
    <w:p>
      <w:pPr>
        <w:pStyle w:val="ListParagraph"/>
        <w:numPr>
          <w:ilvl w:val="0"/>
          <w:numId w:val="2"/>
        </w:numPr>
        <w:spacing w:before="40" w:after="40"/>
      </w:pPr>
      <w:r>
        <w:rPr>
          <w:rFonts w:ascii="Arial" w:cs="Arial" w:eastAsia="Arial" w:hAnsi="Arial"/>
          <w:color w:val="2D2D2D"/>
          <w:sz w:val="22"/>
          <w:szCs w:val="22"/>
        </w:rPr>
        <w:t xml:space="preserve">Append-only immutability: audit log records are written to an append-only store that prohibits modification or deletion by any user, including platform administrators. Log integrity is verifiable through cryptographic chain-of-custody mechanisms, ensuring that the audit record accurately reflects the actual sequence of events without possibility of retroactive alteration.</w:t>
      </w:r>
    </w:p>
    <w:p>
      <w:pPr>
        <w:pStyle w:val="ListParagraph"/>
        <w:numPr>
          <w:ilvl w:val="0"/>
          <w:numId w:val="2"/>
        </w:numPr>
        <w:spacing w:before="40" w:after="40"/>
      </w:pPr>
      <w:r>
        <w:rPr>
          <w:rFonts w:ascii="Arial" w:cs="Arial" w:eastAsia="Arial" w:hAnsi="Arial"/>
          <w:color w:val="2D2D2D"/>
          <w:sz w:val="22"/>
          <w:szCs w:val="22"/>
        </w:rPr>
        <w:t xml:space="preserve">Cross-module audit correlation: offer management audit events are correlated with events from connected modules — the ATS pipeline audit (showing when the candidate advanced to the offer stage), the compensation approval audit (showing when the salary band was approved), and the messaging audit (showing all communication with the candidate about the offer) — enabling a holistic audit of the complete offer process rather than a siloed view of offer management actions alone.</w:t>
      </w:r>
    </w:p>
    <w:p>
      <w:pPr>
        <w:pStyle w:val="ListParagraph"/>
        <w:numPr>
          <w:ilvl w:val="0"/>
          <w:numId w:val="2"/>
        </w:numPr>
        <w:spacing w:before="40" w:after="40"/>
      </w:pPr>
      <w:r>
        <w:rPr>
          <w:rFonts w:ascii="Arial" w:cs="Arial" w:eastAsia="Arial" w:hAnsi="Arial"/>
          <w:color w:val="2D2D2D"/>
          <w:sz w:val="22"/>
          <w:szCs w:val="22"/>
        </w:rPr>
        <w:t xml:space="preserve">Audit report generation: pre-built and custom audit reports can be generated for any offer, candidate, recruiter, time period, or event type — formatted for presentation to internal audit committees, external auditors, regulatory bodies, or legal counsel. Reports include a certification statement that the data was extracted from the immutable log without modification.</w:t>
      </w:r>
    </w:p>
    <w:p>
      <w:r>
        <w:br w:type="page"/>
      </w:r>
    </w:p>
    <w:p>
      <w:pPr>
        <w:pStyle w:val="Heading1"/>
        <w:pBdr>
          <w:bottom w:val="single" w:color="2E75B6" w:sz="10" w:space="6"/>
        </w:pBdr>
        <w:spacing w:before="480" w:after="160"/>
      </w:pPr>
      <w:r>
        <w:rPr>
          <w:rFonts w:ascii="Arial" w:cs="Arial" w:eastAsia="Arial" w:hAnsi="Arial"/>
          <w:b/>
          <w:bCs/>
          <w:color w:val="1B5E9B"/>
          <w:sz w:val="38"/>
          <w:szCs w:val="38"/>
        </w:rPr>
        <w:t xml:space="preserve">8. Analytics &amp; Reporting</w:t>
      </w:r>
    </w:p>
    <w:p>
      <w:pPr>
        <w:spacing w:before="60" w:after="100"/>
      </w:pPr>
      <w:r>
        <w:rPr>
          <w:rFonts w:ascii="Arial" w:cs="Arial" w:eastAsia="Arial" w:hAnsi="Arial"/>
          <w:color w:val="2D2D2D"/>
          <w:sz w:val="22"/>
          <w:szCs w:val="22"/>
        </w:rPr>
        <w:t xml:space="preserve">Offer analytics close the feedback loop on the entire recruiting investment. Every hour spent sourcing, screening, and interviewing a candidate that ultimately declines an offer is a cost that analytics can help reduce. By measuring offer acceptance rates, decline reasons, time-to-offer, and conversion metrics with statistical rigor, HR teams can identify and address systemic issues in their offer strategy rather than treating each decline as an isolated incident.</w:t>
      </w:r>
    </w:p>
    <w:p>
      <w:pPr>
        <w:spacing w:before="80" w:after="0"/>
      </w:pPr>
      <w:r>
        <w:t xml:space="preserve"/>
      </w:r>
    </w:p>
    <w:p>
      <w:pPr>
        <w:pStyle w:val="Heading2"/>
        <w:spacing w:before="320" w:after="120"/>
      </w:pPr>
      <w:r>
        <w:rPr>
          <w:rFonts w:ascii="Arial" w:cs="Arial" w:eastAsia="Arial" w:hAnsi="Arial"/>
          <w:b/>
          <w:bCs/>
          <w:color w:val="1A1A2E"/>
          <w:sz w:val="27"/>
          <w:szCs w:val="27"/>
        </w:rPr>
        <w:t xml:space="preserve">8.1 Offer Acceptance Rate</w:t>
      </w:r>
    </w:p>
    <w:p>
      <w:pPr>
        <w:spacing w:before="60" w:after="100"/>
      </w:pPr>
      <w:r>
        <w:rPr>
          <w:rFonts w:ascii="Arial" w:cs="Arial" w:eastAsia="Arial" w:hAnsi="Arial"/>
          <w:color w:val="2D2D2D"/>
          <w:sz w:val="22"/>
          <w:szCs w:val="22"/>
        </w:rPr>
        <w:t xml:space="preserve">The offer acceptance rate is the single most important metric for evaluating the effectiveness of the end-to-end recruiting process and compensation strategy. It measures how successfully the organization converts recruiting pipeline investment into secured headcount.</w:t>
      </w:r>
    </w:p>
    <w:p>
      <w:pPr>
        <w:pStyle w:val="ListParagraph"/>
        <w:numPr>
          <w:ilvl w:val="0"/>
          <w:numId w:val="2"/>
        </w:numPr>
        <w:spacing w:before="40" w:after="40"/>
      </w:pPr>
      <w:r>
        <w:rPr>
          <w:rFonts w:ascii="Arial" w:cs="Arial" w:eastAsia="Arial" w:hAnsi="Arial"/>
          <w:color w:val="2D2D2D"/>
          <w:sz w:val="22"/>
          <w:szCs w:val="22"/>
        </w:rPr>
        <w:t xml:space="preserve">Multi-dimensional acceptance rate tracking: acceptance rates are calculated and tracked across every meaningful dimension — overall organization-wide, by department, by role type, by seniority level, by recruiter, by hiring manager, by sourcing channel, by geographic market, and by time period — enabling precise identification of where acceptance rate challenges are concentrated.</w:t>
      </w:r>
    </w:p>
    <w:p>
      <w:pPr>
        <w:pStyle w:val="ListParagraph"/>
        <w:numPr>
          <w:ilvl w:val="0"/>
          <w:numId w:val="2"/>
        </w:numPr>
        <w:spacing w:before="40" w:after="40"/>
      </w:pPr>
      <w:r>
        <w:rPr>
          <w:rFonts w:ascii="Arial" w:cs="Arial" w:eastAsia="Arial" w:hAnsi="Arial"/>
          <w:color w:val="2D2D2D"/>
          <w:sz w:val="22"/>
          <w:szCs w:val="22"/>
        </w:rPr>
        <w:t xml:space="preserve">Trend analysis and benchmarking: time-series charts show acceptance rate trends month-over-month and year-over-year, enabling teams to identify whether rates are improving or declining over time and to correlate changes with external market events (e.g., competitive compensation changes) or internal process changes (e.g., a new offer letter format, a change in equity grant policy).</w:t>
      </w:r>
    </w:p>
    <w:p>
      <w:pPr>
        <w:pStyle w:val="ListParagraph"/>
        <w:numPr>
          <w:ilvl w:val="0"/>
          <w:numId w:val="2"/>
        </w:numPr>
        <w:spacing w:before="40" w:after="40"/>
      </w:pPr>
      <w:r>
        <w:rPr>
          <w:rFonts w:ascii="Arial" w:cs="Arial" w:eastAsia="Arial" w:hAnsi="Arial"/>
          <w:color w:val="2D2D2D"/>
          <w:sz w:val="22"/>
          <w:szCs w:val="22"/>
        </w:rPr>
        <w:t xml:space="preserve">Competitive benchmarking integration: where external compensation benchmark data is integrated (e.g., from Radford, Mercer, or Levels.fyi for tech roles), the platform compares the organization's acceptance rate against industry benchmarks for equivalent role types and markets — distinguishing between a competitive acceptance rate problem and a process quality problem.</w:t>
      </w:r>
    </w:p>
    <w:p>
      <w:pPr>
        <w:pStyle w:val="ListParagraph"/>
        <w:numPr>
          <w:ilvl w:val="0"/>
          <w:numId w:val="2"/>
        </w:numPr>
        <w:spacing w:before="40" w:after="40"/>
      </w:pPr>
      <w:r>
        <w:rPr>
          <w:rFonts w:ascii="Arial" w:cs="Arial" w:eastAsia="Arial" w:hAnsi="Arial"/>
          <w:color w:val="2D2D2D"/>
          <w:sz w:val="22"/>
          <w:szCs w:val="22"/>
        </w:rPr>
        <w:t xml:space="preserve">Acceptance rate by compensation component: acceptance rates are segmented by compensation range and by the presence/absence of specific components (e.g., 'Offers including equity have 23% higher acceptance rates than offers without equity for the same base salary range') — generating specific, actionable compensation strategy insights rather than generic observations about acceptance rates.</w:t>
      </w:r>
    </w:p>
    <w:p>
      <w:pPr>
        <w:spacing w:before="120" w:after="0"/>
      </w:pPr>
      <w:r>
        <w:t xml:space="preserve"/>
      </w:r>
    </w:p>
    <w:p>
      <w:pPr>
        <w:pStyle w:val="Heading2"/>
        <w:spacing w:before="320" w:after="120"/>
      </w:pPr>
      <w:r>
        <w:rPr>
          <w:rFonts w:ascii="Arial" w:cs="Arial" w:eastAsia="Arial" w:hAnsi="Arial"/>
          <w:b/>
          <w:bCs/>
          <w:color w:val="1A1A2E"/>
          <w:sz w:val="27"/>
          <w:szCs w:val="27"/>
        </w:rPr>
        <w:t xml:space="preserve">8.2 Offer Decline Reasons</w:t>
      </w:r>
    </w:p>
    <w:p>
      <w:pPr>
        <w:spacing w:before="60" w:after="100"/>
      </w:pPr>
      <w:r>
        <w:rPr>
          <w:rFonts w:ascii="Arial" w:cs="Arial" w:eastAsia="Arial" w:hAnsi="Arial"/>
          <w:color w:val="2D2D2D"/>
          <w:sz w:val="22"/>
          <w:szCs w:val="22"/>
        </w:rPr>
        <w:t xml:space="preserve">Understanding why candidates decline is as strategically important as knowing that they did. Decline reason analysis transforms individual rejection events into an organizational intelligence asset that can drive meaningful improvements to compensation, process, and employer brand.</w:t>
      </w:r>
    </w:p>
    <w:p>
      <w:pPr>
        <w:pStyle w:val="ListParagraph"/>
        <w:numPr>
          <w:ilvl w:val="0"/>
          <w:numId w:val="2"/>
        </w:numPr>
        <w:spacing w:before="40" w:after="40"/>
      </w:pPr>
      <w:r>
        <w:rPr>
          <w:rFonts w:ascii="Arial" w:cs="Arial" w:eastAsia="Arial" w:hAnsi="Arial"/>
          <w:color w:val="2D2D2D"/>
          <w:sz w:val="22"/>
          <w:szCs w:val="22"/>
        </w:rPr>
        <w:t xml:space="preserve">Structured reason taxonomy: decline reasons are captured through a structured selection interface with specific, non-overlapping categories — Compensation Below Expectations (with sub-categories: base salary, equity, bonus, total package), Accepted a Competing Offer (with competitor name capture where the candidate agrees to share), Role Responsibilities or Scope Concerns, Career Growth and Development Concerns, Company Culture or Management Concerns, Location or Commute (including remote work policy), Offer Timing or Start Date Inflexibility, Personal Circumstances, and Other (with mandatory free-text elaboration).</w:t>
      </w:r>
    </w:p>
    <w:p>
      <w:pPr>
        <w:pStyle w:val="ListParagraph"/>
        <w:numPr>
          <w:ilvl w:val="0"/>
          <w:numId w:val="2"/>
        </w:numPr>
        <w:spacing w:before="40" w:after="40"/>
      </w:pPr>
      <w:r>
        <w:rPr>
          <w:rFonts w:ascii="Arial" w:cs="Arial" w:eastAsia="Arial" w:hAnsi="Arial"/>
          <w:color w:val="2D2D2D"/>
          <w:sz w:val="22"/>
          <w:szCs w:val="22"/>
        </w:rPr>
        <w:t xml:space="preserve">Trend-driven pattern detection: the analytics engine identifies statistically significant decline reason patterns — e.g., 'In Q3, 68% of Engineering declines cited equity compensation as the primary reason, compared to 31% in Q2' — and surfaces these patterns as insight alerts in the analytics dashboard, prompting investigation rather than requiring manual data analysis to discover.</w:t>
      </w:r>
    </w:p>
    <w:p>
      <w:pPr>
        <w:pStyle w:val="ListParagraph"/>
        <w:numPr>
          <w:ilvl w:val="0"/>
          <w:numId w:val="2"/>
        </w:numPr>
        <w:spacing w:before="40" w:after="40"/>
      </w:pPr>
      <w:r>
        <w:rPr>
          <w:rFonts w:ascii="Arial" w:cs="Arial" w:eastAsia="Arial" w:hAnsi="Arial"/>
          <w:color w:val="2D2D2D"/>
          <w:sz w:val="22"/>
          <w:szCs w:val="22"/>
        </w:rPr>
        <w:t xml:space="preserve">Competitive offer intelligence: when candidates decline citing a competing offer, the optional competitor disclosure data (company name, role, and approximate compensation differential) is aggregated across all reported competing offer declines to build an intelligence picture of which organizations are consistently outcompeting in specific talent segments — informing both compensation strategy and talent acquisition channel investment.</w:t>
      </w:r>
    </w:p>
    <w:p>
      <w:pPr>
        <w:pStyle w:val="ListParagraph"/>
        <w:numPr>
          <w:ilvl w:val="0"/>
          <w:numId w:val="2"/>
        </w:numPr>
        <w:spacing w:before="40" w:after="40"/>
      </w:pPr>
      <w:r>
        <w:rPr>
          <w:rFonts w:ascii="Arial" w:cs="Arial" w:eastAsia="Arial" w:hAnsi="Arial"/>
          <w:color w:val="2D2D2D"/>
          <w:sz w:val="22"/>
          <w:szCs w:val="22"/>
        </w:rPr>
        <w:t xml:space="preserve">Decline reason to action workflow: significant decline reason pattern findings can be escalated directly from the analytics dashboard into action items — e.g., a finding that engineering offer declines are 70% compensation-related generates a recommended action to review the engineering compensation band against current market data, with a direct link to initiate a compensation review workflow.</w:t>
      </w:r>
    </w:p>
    <w:p>
      <w:pPr>
        <w:spacing w:before="120" w:after="0"/>
      </w:pPr>
      <w:r>
        <w:t xml:space="preserve"/>
      </w:r>
    </w:p>
    <w:p>
      <w:pPr>
        <w:pStyle w:val="Heading2"/>
        <w:spacing w:before="320" w:after="120"/>
      </w:pPr>
      <w:r>
        <w:rPr>
          <w:rFonts w:ascii="Arial" w:cs="Arial" w:eastAsia="Arial" w:hAnsi="Arial"/>
          <w:b/>
          <w:bCs/>
          <w:color w:val="1A1A2E"/>
          <w:sz w:val="27"/>
          <w:szCs w:val="27"/>
        </w:rPr>
        <w:t xml:space="preserve">8.3 Time to Offer</w:t>
      </w:r>
    </w:p>
    <w:p>
      <w:pPr>
        <w:spacing w:before="60" w:after="100"/>
      </w:pPr>
      <w:r>
        <w:rPr>
          <w:rFonts w:ascii="Arial" w:cs="Arial" w:eastAsia="Arial" w:hAnsi="Arial"/>
          <w:color w:val="2D2D2D"/>
          <w:sz w:val="22"/>
          <w:szCs w:val="22"/>
        </w:rPr>
        <w:t xml:space="preserve">Time to offer — the elapsed time from a final interview or hiring decision to the delivery of a formal offer to the candidate — is a critical efficiency metric that directly impacts offer acceptance rates. Top candidates are often managing multiple simultaneous processes, and delays in offer issuance directly increase the probability of losing them to a faster-moving competitor.</w:t>
      </w:r>
    </w:p>
    <w:p>
      <w:pPr>
        <w:pStyle w:val="ListParagraph"/>
        <w:numPr>
          <w:ilvl w:val="0"/>
          <w:numId w:val="2"/>
        </w:numPr>
        <w:spacing w:before="40" w:after="40"/>
      </w:pPr>
      <w:r>
        <w:rPr>
          <w:rFonts w:ascii="Arial" w:cs="Arial" w:eastAsia="Arial" w:hAnsi="Arial"/>
          <w:color w:val="2D2D2D"/>
          <w:sz w:val="22"/>
          <w:szCs w:val="22"/>
        </w:rPr>
        <w:t xml:space="preserve">Time-to-offer calculation methodology: the platform defines time-to-offer as the elapsed business hours between the 'Hiring Decision Made' timestamp (recorded when the final hiring decision is logged in the system) and the 'Offer Sent' timestamp. Business hours are configured per organization to exclude weekends and public holidays from the calculation, providing a meaningful operational metric rather than calendar-day noise.</w:t>
      </w:r>
    </w:p>
    <w:p>
      <w:pPr>
        <w:pStyle w:val="ListParagraph"/>
        <w:numPr>
          <w:ilvl w:val="0"/>
          <w:numId w:val="2"/>
        </w:numPr>
        <w:spacing w:before="40" w:after="40"/>
      </w:pPr>
      <w:r>
        <w:rPr>
          <w:rFonts w:ascii="Arial" w:cs="Arial" w:eastAsia="Arial" w:hAnsi="Arial"/>
          <w:color w:val="2D2D2D"/>
          <w:sz w:val="22"/>
          <w:szCs w:val="22"/>
        </w:rPr>
        <w:t xml:space="preserve">Bottleneck identification within time-to-offer: the metric is decomposed into its constituent sub-intervals — time to create offer draft, time waiting for each approval stage, time to resolve revision requests, time to deliver once approved — pinpointing exactly which step in the process accounts for the greatest delay. An organization with a 5-day average time-to-offer can determine whether that is due to slow offer drafting, a Finance approval bottleneck, or a legal review queue.</w:t>
      </w:r>
    </w:p>
    <w:p>
      <w:pPr>
        <w:pStyle w:val="ListParagraph"/>
        <w:numPr>
          <w:ilvl w:val="0"/>
          <w:numId w:val="2"/>
        </w:numPr>
        <w:spacing w:before="40" w:after="40"/>
      </w:pPr>
      <w:r>
        <w:rPr>
          <w:rFonts w:ascii="Arial" w:cs="Arial" w:eastAsia="Arial" w:hAnsi="Arial"/>
          <w:color w:val="2D2D2D"/>
          <w:sz w:val="22"/>
          <w:szCs w:val="22"/>
        </w:rPr>
        <w:t xml:space="preserve">Time-to-offer by approval chain complexity: offers requiring more approval stages naturally take longer. The analytics engine normalizes time-to-offer for approval chain length, enabling fair comparison between roles with different governance requirements and identifying delays that are attributable to process inefficiency rather than necessary governance.</w:t>
      </w:r>
    </w:p>
    <w:p>
      <w:pPr>
        <w:pStyle w:val="ListParagraph"/>
        <w:numPr>
          <w:ilvl w:val="0"/>
          <w:numId w:val="2"/>
        </w:numPr>
        <w:spacing w:before="40" w:after="40"/>
      </w:pPr>
      <w:r>
        <w:rPr>
          <w:rFonts w:ascii="Arial" w:cs="Arial" w:eastAsia="Arial" w:hAnsi="Arial"/>
          <w:color w:val="2D2D2D"/>
          <w:sz w:val="22"/>
          <w:szCs w:val="22"/>
        </w:rPr>
        <w:t xml:space="preserve">Industry benchmarking: time-to-offer is benchmarked against published industry data — average time-to-offer for technology roles is 3–5 business days; for executive roles 7–14 days; for high-volume hourly roles 24–48 hours. The analytics dashboard displays the organization's performance against these benchmarks with color-coded indicators.</w:t>
      </w:r>
    </w:p>
    <w:p>
      <w:pPr>
        <w:spacing w:before="120" w:after="0"/>
      </w:pPr>
      <w:r>
        <w:t xml:space="preserve"/>
      </w:r>
    </w:p>
    <w:p>
      <w:pPr>
        <w:pStyle w:val="Heading2"/>
        <w:spacing w:before="320" w:after="120"/>
      </w:pPr>
      <w:r>
        <w:rPr>
          <w:rFonts w:ascii="Arial" w:cs="Arial" w:eastAsia="Arial" w:hAnsi="Arial"/>
          <w:b/>
          <w:bCs/>
          <w:color w:val="1A1A2E"/>
          <w:sz w:val="27"/>
          <w:szCs w:val="27"/>
        </w:rPr>
        <w:t xml:space="preserve">8.4 Offer Conversion Metrics</w:t>
      </w:r>
    </w:p>
    <w:p>
      <w:pPr>
        <w:spacing w:before="60" w:after="100"/>
      </w:pPr>
      <w:r>
        <w:rPr>
          <w:rFonts w:ascii="Arial" w:cs="Arial" w:eastAsia="Arial" w:hAnsi="Arial"/>
          <w:color w:val="2D2D2D"/>
          <w:sz w:val="22"/>
          <w:szCs w:val="22"/>
        </w:rPr>
        <w:t xml:space="preserve">Offer conversion metrics provide a complete funnel view of how efficiently the recruiting process converts interviewed candidates into accepted hires — enabling data-driven optimization at every stage of the conversion path from interview to hire.</w:t>
      </w:r>
    </w:p>
    <w:p>
      <w:pPr>
        <w:pStyle w:val="ListParagraph"/>
        <w:numPr>
          <w:ilvl w:val="0"/>
          <w:numId w:val="2"/>
        </w:numPr>
        <w:spacing w:before="40" w:after="40"/>
      </w:pPr>
      <w:r>
        <w:rPr>
          <w:rFonts w:ascii="Arial" w:cs="Arial" w:eastAsia="Arial" w:hAnsi="Arial"/>
          <w:color w:val="2D2D2D"/>
          <w:sz w:val="22"/>
          <w:szCs w:val="22"/>
        </w:rPr>
        <w:t xml:space="preserve">Full conversion funnel visualization: a graphical funnel displays the progression from Interviewed → Hiring Decision Made → Offer Created → Offer Approved → Offer Sent → Offer Viewed → Offer Accepted, with absolute counts and conversion percentages at each stage transition — immediately revealing where attrition in the offer funnel is concentrated.</w:t>
      </w:r>
    </w:p>
    <w:p>
      <w:pPr>
        <w:pStyle w:val="ListParagraph"/>
        <w:numPr>
          <w:ilvl w:val="0"/>
          <w:numId w:val="2"/>
        </w:numPr>
        <w:spacing w:before="40" w:after="40"/>
      </w:pPr>
      <w:r>
        <w:rPr>
          <w:rFonts w:ascii="Arial" w:cs="Arial" w:eastAsia="Arial" w:hAnsi="Arial"/>
          <w:color w:val="2D2D2D"/>
          <w:sz w:val="22"/>
          <w:szCs w:val="22"/>
        </w:rPr>
        <w:t xml:space="preserve">Funnel segmentation: the conversion funnel is segmentable by department, role type, seniority level, recruiter, hiring manager, and sourcing channel — enabling identification of funnel performance differences across the organization. A hiring manager whose offers are accepted at a 40% rate compared to a peer's 80% rate is a coaching opportunity that aggregated data cannot surface.</w:t>
      </w:r>
    </w:p>
    <w:p>
      <w:pPr>
        <w:pStyle w:val="ListParagraph"/>
        <w:numPr>
          <w:ilvl w:val="0"/>
          <w:numId w:val="2"/>
        </w:numPr>
        <w:spacing w:before="40" w:after="40"/>
      </w:pPr>
      <w:r>
        <w:rPr>
          <w:rFonts w:ascii="Arial" w:cs="Arial" w:eastAsia="Arial" w:hAnsi="Arial"/>
          <w:color w:val="2D2D2D"/>
          <w:sz w:val="22"/>
          <w:szCs w:val="22"/>
        </w:rPr>
        <w:t xml:space="preserve">Time-in-stage analysis: alongside conversion rates, the analytics engine tracks average time candidates spend in each funnel stage — identifying stages where candidates dwell for extended periods (indicating friction or delay) versus stages where conversion happens quickly (indicating a smooth experience or potentially insufficient candidate deliberation time for role complexity).</w:t>
      </w:r>
    </w:p>
    <w:p>
      <w:pPr>
        <w:pStyle w:val="ListParagraph"/>
        <w:numPr>
          <w:ilvl w:val="0"/>
          <w:numId w:val="2"/>
        </w:numPr>
        <w:spacing w:before="40" w:after="40"/>
      </w:pPr>
      <w:r>
        <w:rPr>
          <w:rFonts w:ascii="Arial" w:cs="Arial" w:eastAsia="Arial" w:hAnsi="Arial"/>
          <w:color w:val="2D2D2D"/>
          <w:sz w:val="22"/>
          <w:szCs w:val="22"/>
        </w:rPr>
        <w:t xml:space="preserve">Offer-to-start conversion: beyond acceptance, the platform tracks start date show-up rate — the percentage of accepted offers where the candidate actually begins employment as planned. Unexpected no-starts (candidate accepted but did not join) are tracked with reason capture, as they represent a distinct and costly failure mode that requires different interventions than offer declines.</w:t>
      </w:r>
    </w:p>
    <w:p>
      <w:r>
        <w:br w:type="page"/>
      </w:r>
    </w:p>
    <w:p>
      <w:pPr>
        <w:pStyle w:val="Heading1"/>
        <w:pBdr>
          <w:bottom w:val="single" w:color="2E75B6" w:sz="10" w:space="6"/>
        </w:pBdr>
        <w:spacing w:before="480" w:after="160"/>
      </w:pPr>
      <w:r>
        <w:rPr>
          <w:rFonts w:ascii="Arial" w:cs="Arial" w:eastAsia="Arial" w:hAnsi="Arial"/>
          <w:b/>
          <w:bCs/>
          <w:color w:val="1B5E9B"/>
          <w:sz w:val="38"/>
          <w:szCs w:val="38"/>
        </w:rPr>
        <w:t xml:space="preserve">9. Integration Capabilities</w:t>
      </w:r>
    </w:p>
    <w:p>
      <w:pPr>
        <w:spacing w:before="60" w:after="100"/>
      </w:pPr>
      <w:r>
        <w:rPr>
          <w:rFonts w:ascii="Arial" w:cs="Arial" w:eastAsia="Arial" w:hAnsi="Arial"/>
          <w:color w:val="2D2D2D"/>
          <w:sz w:val="22"/>
          <w:szCs w:val="22"/>
        </w:rPr>
        <w:t xml:space="preserve">An offer management platform does not operate in isolation. The moment an offer is accepted, it triggers processes across HR operations, payroll, IT provisioning, and onboarding that span multiple systems. Integration capabilities ensure that the offer management platform is the authoritative source of hire data that flows seamlessly into every downstream system, eliminating manual data re-entry, reducing errors, and accelerating the time from accepted offer to productive new employee.</w:t>
      </w:r>
    </w:p>
    <w:p>
      <w:pPr>
        <w:spacing w:before="80" w:after="0"/>
      </w:pPr>
      <w:r>
        <w:t xml:space="preserve"/>
      </w:r>
    </w:p>
    <w:p>
      <w:pPr>
        <w:pStyle w:val="Heading2"/>
        <w:spacing w:before="320" w:after="120"/>
      </w:pPr>
      <w:r>
        <w:rPr>
          <w:rFonts w:ascii="Arial" w:cs="Arial" w:eastAsia="Arial" w:hAnsi="Arial"/>
          <w:b/>
          <w:bCs/>
          <w:color w:val="1A1A2E"/>
          <w:sz w:val="27"/>
          <w:szCs w:val="27"/>
        </w:rPr>
        <w:t xml:space="preserve">9.1 HRIS Integration</w:t>
      </w:r>
    </w:p>
    <w:p>
      <w:pPr>
        <w:spacing w:before="60" w:after="100"/>
      </w:pPr>
      <w:r>
        <w:rPr>
          <w:rFonts w:ascii="Arial" w:cs="Arial" w:eastAsia="Arial" w:hAnsi="Arial"/>
          <w:color w:val="2D2D2D"/>
          <w:sz w:val="22"/>
          <w:szCs w:val="22"/>
        </w:rPr>
        <w:t xml:space="preserve">The transition from candidate to employee is the most consequential data handoff in the hiring process. The HRIS integration automates this handoff, converting the accepted offer's structured data into a pre-populated employee record in the HRIS — ensuring the new employee's record is accurate, complete, and available before their first day.</w:t>
      </w:r>
    </w:p>
    <w:p>
      <w:pPr>
        <w:pStyle w:val="ListParagraph"/>
        <w:numPr>
          <w:ilvl w:val="0"/>
          <w:numId w:val="2"/>
        </w:numPr>
        <w:spacing w:before="40" w:after="40"/>
      </w:pPr>
      <w:r>
        <w:rPr>
          <w:rFonts w:ascii="Arial" w:cs="Arial" w:eastAsia="Arial" w:hAnsi="Arial"/>
          <w:color w:val="2D2D2D"/>
          <w:sz w:val="22"/>
          <w:szCs w:val="22"/>
        </w:rPr>
        <w:t xml:space="preserve">Hire event trigger: when an offer is marked as Accepted and the digital signature is confirmed, an automated hire event is dispatched to the configured HRIS (Workday, SAP SuccessFactors, Oracle HCM, BambooHR, Rippling, ADP Workforce Now, or others through certified integrations or a generic REST API connector). The trigger is configurable — some organizations prefer to initiate HRIS record creation at offer acceptance, others only on background check clearance.</w:t>
      </w:r>
    </w:p>
    <w:p>
      <w:pPr>
        <w:pStyle w:val="ListParagraph"/>
        <w:numPr>
          <w:ilvl w:val="0"/>
          <w:numId w:val="2"/>
        </w:numPr>
        <w:spacing w:before="40" w:after="40"/>
      </w:pPr>
      <w:r>
        <w:rPr>
          <w:rFonts w:ascii="Arial" w:cs="Arial" w:eastAsia="Arial" w:hAnsi="Arial"/>
          <w:color w:val="2D2D2D"/>
          <w:sz w:val="22"/>
          <w:szCs w:val="22"/>
        </w:rPr>
        <w:t xml:space="preserve">Comprehensive data field mapping: the integration transmits a complete employee record payload — Legal Name, Preferred Name, Contact Information, Job Title, Department, Team, Cost Center, Reporting Manager, Work Location (including country, site, and remote designation), Employment Type, Start Date, End Date (for fixed-term), FTE percentage, Compensation (base salary, bonus target, commission plan), Pay Frequency, Equity Grant reference, Benefits Enrollment eligibility date, and Employee ID (assigned by HRIS and returned to the offer record for cross-reference).</w:t>
      </w:r>
    </w:p>
    <w:p>
      <w:pPr>
        <w:pStyle w:val="ListParagraph"/>
        <w:numPr>
          <w:ilvl w:val="0"/>
          <w:numId w:val="2"/>
        </w:numPr>
        <w:spacing w:before="40" w:after="40"/>
      </w:pPr>
      <w:r>
        <w:rPr>
          <w:rFonts w:ascii="Arial" w:cs="Arial" w:eastAsia="Arial" w:hAnsi="Arial"/>
          <w:color w:val="2D2D2D"/>
          <w:sz w:val="22"/>
          <w:szCs w:val="22"/>
        </w:rPr>
        <w:t xml:space="preserve">Field transformation and normalization: offer management field formats and value sets may differ from HRIS requirements — e.g., job titles may need to be mapped to HRIS job codes, department names to department IDs, or compensation figures converted from annual to hourly rates for hourly employees. The integration layer applies configurable field transformation rules to normalize data before transmission, preventing HRIS record creation failures due to format mismatches.</w:t>
      </w:r>
    </w:p>
    <w:p>
      <w:pPr>
        <w:pStyle w:val="ListParagraph"/>
        <w:numPr>
          <w:ilvl w:val="0"/>
          <w:numId w:val="2"/>
        </w:numPr>
        <w:spacing w:before="40" w:after="40"/>
      </w:pPr>
      <w:r>
        <w:rPr>
          <w:rFonts w:ascii="Arial" w:cs="Arial" w:eastAsia="Arial" w:hAnsi="Arial"/>
          <w:color w:val="2D2D2D"/>
          <w:sz w:val="22"/>
          <w:szCs w:val="22"/>
        </w:rPr>
        <w:t xml:space="preserve">Error handling and reconciliation: when HRIS record creation fails due to a validation error (missing required field, invalid value, duplicate employee ID), the error is surfaced to the HR operations team with a structured error description and the specific field causing the failure — enabling rapid manual correction and re-trigger rather than silent failure that leaves the new employee without an HRIS record.</w:t>
      </w:r>
    </w:p>
    <w:p>
      <w:pPr>
        <w:pStyle w:val="ListParagraph"/>
        <w:numPr>
          <w:ilvl w:val="0"/>
          <w:numId w:val="2"/>
        </w:numPr>
        <w:spacing w:before="40" w:after="40"/>
      </w:pPr>
      <w:r>
        <w:rPr>
          <w:rFonts w:ascii="Arial" w:cs="Arial" w:eastAsia="Arial" w:hAnsi="Arial"/>
          <w:color w:val="2D2D2D"/>
          <w:sz w:val="22"/>
          <w:szCs w:val="22"/>
        </w:rPr>
        <w:t xml:space="preserve">Bidirectional sync for updates: post-hire changes to employment terms (e.g., revised start date, corrected compensation, updated reporting manager) made in the offer management system are synced to the HRIS to maintain record consistency — with conflict detection when the same field has been modified independently in both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BF3FB" w:val="clear"/>
            <w:tcMar>
              <w:top w:type="dxa" w:w="120"/>
              <w:left w:type="dxa" w:w="220"/>
              <w:bottom w:type="dxa" w:w="120"/>
              <w:right w:type="dxa" w:w="220"/>
            </w:tcMar>
          </w:tcPr>
          <w:p>
            <w:pPr>
              <w:spacing w:before="0" w:after="0"/>
            </w:pPr>
            <w:r>
              <w:rPr>
                <w:rFonts w:ascii="Arial" w:cs="Arial" w:eastAsia="Arial" w:hAnsi="Arial"/>
                <w:b/>
                <w:bCs/>
                <w:color w:val="1B5E9B"/>
                <w:sz w:val="20"/>
                <w:szCs w:val="20"/>
              </w:rPr>
              <w:t xml:space="preserve">Operational Impact:  </w:t>
            </w:r>
            <w:r>
              <w:rPr>
                <w:rFonts w:ascii="Arial" w:cs="Arial" w:eastAsia="Arial" w:hAnsi="Arial"/>
                <w:i/>
                <w:iCs/>
                <w:color w:val="374151"/>
                <w:sz w:val="20"/>
                <w:szCs w:val="20"/>
              </w:rPr>
              <w:t xml:space="preserve">Automated HRIS integration eliminates an average of 45 minutes of manual HR data entry per hire, reduces new hire record errors by over 80% compared to manual entry, and ensures onboarding workflows (IT provisioning, benefits enrollment, payroll setup) initiate on the day of acceptance rather than days later.</w:t>
            </w:r>
          </w:p>
        </w:tc>
      </w:tr>
    </w:tbl>
    <w:p>
      <w:pPr>
        <w:spacing w:before="120" w:after="0"/>
      </w:pPr>
      <w:r>
        <w:t xml:space="preserve"/>
      </w:r>
    </w:p>
    <w:p>
      <w:pPr>
        <w:pStyle w:val="Heading2"/>
        <w:spacing w:before="320" w:after="120"/>
      </w:pPr>
      <w:r>
        <w:rPr>
          <w:rFonts w:ascii="Arial" w:cs="Arial" w:eastAsia="Arial" w:hAnsi="Arial"/>
          <w:b/>
          <w:bCs/>
          <w:color w:val="1A1A2E"/>
          <w:sz w:val="27"/>
          <w:szCs w:val="27"/>
        </w:rPr>
        <w:t xml:space="preserve">9.2 E-Signature Integration</w:t>
      </w:r>
    </w:p>
    <w:p>
      <w:pPr>
        <w:spacing w:before="60" w:after="100"/>
      </w:pPr>
      <w:r>
        <w:rPr>
          <w:rFonts w:ascii="Arial" w:cs="Arial" w:eastAsia="Arial" w:hAnsi="Arial"/>
          <w:color w:val="2D2D2D"/>
          <w:sz w:val="22"/>
          <w:szCs w:val="22"/>
        </w:rPr>
        <w:t xml:space="preserve">While the platform includes a native e-signature capability, many organizations have enterprise-wide e-signature contracts and established workflows with specific providers. The e-signature integration layer connects the offer management module to these existing services, enabling legally valid electronic signature collection through the organization's preferred provider without disrupting existing compliance frameworks.</w:t>
      </w:r>
    </w:p>
    <w:p>
      <w:pPr>
        <w:pStyle w:val="ListParagraph"/>
        <w:numPr>
          <w:ilvl w:val="0"/>
          <w:numId w:val="2"/>
        </w:numPr>
        <w:spacing w:before="40" w:after="40"/>
      </w:pPr>
      <w:r>
        <w:rPr>
          <w:rFonts w:ascii="Arial" w:cs="Arial" w:eastAsia="Arial" w:hAnsi="Arial"/>
          <w:color w:val="2D2D2D"/>
          <w:sz w:val="22"/>
          <w:szCs w:val="22"/>
        </w:rPr>
        <w:t xml:space="preserve">Certified integrations with major providers: the platform maintains pre-built, certified integrations with DocuSign (including DocuSign CLM for contract management workflows), Adobe Acrobat Sign (formerly Adobe Sign), HelloSign (Dropbox Sign), PandaDoc, SignNow, Zoho Sign, and SignRequest — each integration is maintained against the provider's current API version and certified for compliance with eIDAS, ESIGN, and UETA standards.</w:t>
      </w:r>
    </w:p>
    <w:p>
      <w:pPr>
        <w:pStyle w:val="ListParagraph"/>
        <w:numPr>
          <w:ilvl w:val="0"/>
          <w:numId w:val="2"/>
        </w:numPr>
        <w:spacing w:before="40" w:after="40"/>
      </w:pPr>
      <w:r>
        <w:rPr>
          <w:rFonts w:ascii="Arial" w:cs="Arial" w:eastAsia="Arial" w:hAnsi="Arial"/>
          <w:color w:val="2D2D2D"/>
          <w:sz w:val="22"/>
          <w:szCs w:val="22"/>
        </w:rPr>
        <w:t xml:space="preserve">Automated envelope creation and routing: when an offer is approved and ready for delivery, the integration automatically creates a signing envelope in the configured e-signature platform, populates it with the offer letter PDF, places signature fields at the configured locations, adds the candidate and any countersigning parties as recipients in the correct signing order, and dispatches the signature request — all without manual action in the e-signature platform.</w:t>
      </w:r>
    </w:p>
    <w:p>
      <w:pPr>
        <w:pStyle w:val="ListParagraph"/>
        <w:numPr>
          <w:ilvl w:val="0"/>
          <w:numId w:val="2"/>
        </w:numPr>
        <w:spacing w:before="40" w:after="40"/>
      </w:pPr>
      <w:r>
        <w:rPr>
          <w:rFonts w:ascii="Arial" w:cs="Arial" w:eastAsia="Arial" w:hAnsi="Arial"/>
          <w:color w:val="2D2D2D"/>
          <w:sz w:val="22"/>
          <w:szCs w:val="22"/>
        </w:rPr>
        <w:t xml:space="preserve">Signing status real-time sync: the integration maintains a continuous status sync between the e-signature provider and the offer management platform — viewing events, partial signing completion, and final signature confirmation are reflected in the offer's status and activity timeline in real time, regardless of which party's signing portal is used.</w:t>
      </w:r>
    </w:p>
    <w:p>
      <w:pPr>
        <w:pStyle w:val="ListParagraph"/>
        <w:numPr>
          <w:ilvl w:val="0"/>
          <w:numId w:val="2"/>
        </w:numPr>
        <w:spacing w:before="40" w:after="40"/>
      </w:pPr>
      <w:r>
        <w:rPr>
          <w:rFonts w:ascii="Arial" w:cs="Arial" w:eastAsia="Arial" w:hAnsi="Arial"/>
          <w:color w:val="2D2D2D"/>
          <w:sz w:val="22"/>
          <w:szCs w:val="22"/>
        </w:rPr>
        <w:t xml:space="preserve">Completed document return and storage: upon completion of all signature stages, the executed document is automatically retrieved from the e-signature provider and stored in the platform's offer document vault as the canonical signed agreement — with the provider's certificate of completion embedded as a supplementary audit record.</w:t>
      </w:r>
    </w:p>
    <w:p>
      <w:pPr>
        <w:pStyle w:val="ListParagraph"/>
        <w:numPr>
          <w:ilvl w:val="0"/>
          <w:numId w:val="2"/>
        </w:numPr>
        <w:spacing w:before="40" w:after="40"/>
      </w:pPr>
      <w:r>
        <w:rPr>
          <w:rFonts w:ascii="Arial" w:cs="Arial" w:eastAsia="Arial" w:hAnsi="Arial"/>
          <w:color w:val="2D2D2D"/>
          <w:sz w:val="22"/>
          <w:szCs w:val="22"/>
        </w:rPr>
        <w:t xml:space="preserve">Wet signature fallback workflow: for exceptional circumstances requiring physical signatures (executive contracts in specific jurisdictions, offers for roles requiring wet signature under local law), the integration supports a managed exception workflow that generates a print-and-sign version of the offer, tracks when the physical signed document is received, and records its scanning and upload as a platform document — maintaining the audit record even for non-digital signature scenarios.</w:t>
      </w:r>
    </w:p>
    <w:p>
      <w:pPr>
        <w:spacing w:before="120" w:after="0"/>
      </w:pPr>
      <w:r>
        <w:t xml:space="preserve"/>
      </w:r>
    </w:p>
    <w:p>
      <w:pPr>
        <w:pStyle w:val="Heading2"/>
        <w:spacing w:before="320" w:after="120"/>
      </w:pPr>
      <w:r>
        <w:rPr>
          <w:rFonts w:ascii="Arial" w:cs="Arial" w:eastAsia="Arial" w:hAnsi="Arial"/>
          <w:b/>
          <w:bCs/>
          <w:color w:val="1A1A2E"/>
          <w:sz w:val="27"/>
          <w:szCs w:val="27"/>
        </w:rPr>
        <w:t xml:space="preserve">9.3 Payroll Integration</w:t>
      </w:r>
    </w:p>
    <w:p>
      <w:pPr>
        <w:spacing w:before="60" w:after="100"/>
      </w:pPr>
      <w:r>
        <w:rPr>
          <w:rFonts w:ascii="Arial" w:cs="Arial" w:eastAsia="Arial" w:hAnsi="Arial"/>
          <w:color w:val="2D2D2D"/>
          <w:sz w:val="22"/>
          <w:szCs w:val="22"/>
        </w:rPr>
        <w:t xml:space="preserve">Compensation data accepted in an offer letter must ultimately find its way into the payroll system that will process the new employee's first paycheck. Manually re-entering compensation structures — base salary, bonus plans, commission schedules, ESPP enrollment, and benefit deduction elections — from the offer letter into the payroll system is a high-error-risk step that directly impacts employee experience when the first paycheck is incorrect. Payroll integration automates this critical handoff.</w:t>
      </w:r>
    </w:p>
    <w:p>
      <w:pPr>
        <w:pStyle w:val="ListParagraph"/>
        <w:numPr>
          <w:ilvl w:val="0"/>
          <w:numId w:val="2"/>
        </w:numPr>
        <w:spacing w:before="40" w:after="40"/>
      </w:pPr>
      <w:r>
        <w:rPr>
          <w:rFonts w:ascii="Arial" w:cs="Arial" w:eastAsia="Arial" w:hAnsi="Arial"/>
          <w:color w:val="2D2D2D"/>
          <w:sz w:val="22"/>
          <w:szCs w:val="22"/>
        </w:rPr>
        <w:t xml:space="preserve">Compensation payload transmission: upon hire confirmation, the integration transmits a structured compensation payload to the payroll system — Base Salary Amount, Pay Frequency (weekly, bi-weekly, semi-monthly, monthly), Effective Date, Currency, Bonus Plan Code and Target Percentage, Commission Plan Code and OTE, Equity Grant Reference (for stock-based comp accounting), and any one-time payments (signing bonus disbursement schedule).</w:t>
      </w:r>
    </w:p>
    <w:p>
      <w:pPr>
        <w:pStyle w:val="ListParagraph"/>
        <w:numPr>
          <w:ilvl w:val="0"/>
          <w:numId w:val="2"/>
        </w:numPr>
        <w:spacing w:before="40" w:after="40"/>
      </w:pPr>
      <w:r>
        <w:rPr>
          <w:rFonts w:ascii="Arial" w:cs="Arial" w:eastAsia="Arial" w:hAnsi="Arial"/>
          <w:color w:val="2D2D2D"/>
          <w:sz w:val="22"/>
          <w:szCs w:val="22"/>
        </w:rPr>
        <w:t xml:space="preserve">Benefits deduction synchronization: where benefit elections are captured in the offer process (e.g., health insurance tier selection, 401(k) contribution rate), these elections are transmitted to the payroll system as pre-scheduled deductions effective from the appropriate enrollment date — ensuring the first payroll run correctly reflects the employee's benefit cost-sharing.</w:t>
      </w:r>
    </w:p>
    <w:p>
      <w:pPr>
        <w:pStyle w:val="ListParagraph"/>
        <w:numPr>
          <w:ilvl w:val="0"/>
          <w:numId w:val="2"/>
        </w:numPr>
        <w:spacing w:before="40" w:after="40"/>
      </w:pPr>
      <w:r>
        <w:rPr>
          <w:rFonts w:ascii="Arial" w:cs="Arial" w:eastAsia="Arial" w:hAnsi="Arial"/>
          <w:color w:val="2D2D2D"/>
          <w:sz w:val="22"/>
          <w:szCs w:val="22"/>
        </w:rPr>
        <w:t xml:space="preserve">Multi-country payroll support: for organizations with globally distributed workforces using different payroll systems per country (e.g., ADP for US, Payfit for France, Paychex for Canada), the integration layer supports country-specific payroll system connections and handles currency conversion, local tax classification fields, and jurisdiction-specific compensation structure requirements for each destination system.</w:t>
      </w:r>
    </w:p>
    <w:p>
      <w:pPr>
        <w:pStyle w:val="ListParagraph"/>
        <w:numPr>
          <w:ilvl w:val="0"/>
          <w:numId w:val="2"/>
        </w:numPr>
        <w:spacing w:before="40" w:after="40"/>
      </w:pPr>
      <w:r>
        <w:rPr>
          <w:rFonts w:ascii="Arial" w:cs="Arial" w:eastAsia="Arial" w:hAnsi="Arial"/>
          <w:color w:val="2D2D2D"/>
          <w:sz w:val="22"/>
          <w:szCs w:val="22"/>
        </w:rPr>
        <w:t xml:space="preserve">Compensation change propagation: when post-hire compensation changes occur — merit increases, promotion adjustments, commission plan updates, equity re-grants — the offer management system can serve as the compensation record of change that propagates updates to the payroll system, maintaining a centralized compensation history rather than requiring parallel record-keeping in multiple systems.</w:t>
      </w:r>
    </w:p>
    <w:p>
      <w:pPr>
        <w:pStyle w:val="ListParagraph"/>
        <w:numPr>
          <w:ilvl w:val="0"/>
          <w:numId w:val="2"/>
        </w:numPr>
        <w:spacing w:before="40" w:after="40"/>
      </w:pPr>
      <w:r>
        <w:rPr>
          <w:rFonts w:ascii="Arial" w:cs="Arial" w:eastAsia="Arial" w:hAnsi="Arial"/>
          <w:color w:val="2D2D2D"/>
          <w:sz w:val="22"/>
          <w:szCs w:val="22"/>
        </w:rPr>
        <w:t xml:space="preserve">Payroll readiness confirmation: after transmitting compensation data, the integration receives a payroll readiness confirmation from the payroll system acknowledging that the employee record is set up correctly and the first payroll run will process accurately. Failed confirmations — due to missing required fields, invalid plan codes, or HRIS-payroll sync issues — generate alerts to the HR operations team before the employee's first payroll date, enabling resolution well before a paycheck is missed.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tabs>
        <w:tab w:val="right" w:pos="9360"/>
      </w:tabs>
      <w:spacing w:before="100" w:after="0"/>
    </w:pPr>
    <w:r>
      <w:rPr>
        <w:rFonts w:ascii="Arial" w:cs="Arial" w:eastAsia="Arial" w:hAnsi="Arial"/>
        <w:color w:val="6B7280"/>
        <w:sz w:val="16"/>
        <w:szCs w:val="16"/>
      </w:rPr>
      <w:t xml:space="preserve">© 2025 Offer Management Platform</w:t>
    </w:r>
    <w:r>
      <w:rPr>
        <w:rFonts w:ascii="Arial" w:cs="Arial" w:eastAsia="Arial" w:hAnsi="Arial"/>
        <w:color w:val="6B7280"/>
        <w:sz w:val="16"/>
        <w:szCs w:val="16"/>
      </w:rPr>
      <w:t xml:space="preserve">	Internal Reference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before="0" w:after="120"/>
    </w:pPr>
    <w:r>
      <w:rPr>
        <w:rFonts w:ascii="Arial" w:cs="Arial" w:eastAsia="Arial" w:hAnsi="Arial"/>
        <w:color w:val="6B7280"/>
        <w:sz w:val="18"/>
        <w:szCs w:val="18"/>
      </w:rPr>
      <w:t xml:space="preserve">Offer Management — Feature Specifications</w:t>
    </w:r>
    <w:r>
      <w:rPr>
        <w:rFonts w:ascii="Arial" w:cs="Arial" w:eastAsia="Arial" w:hAnsi="Arial"/>
        <w:b/>
        <w:bCs/>
        <w:color w:val="1B5E9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color w:val="1B5E9B"/>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B5E9B"/>
      <w:sz w:val="38"/>
      <w:szCs w:val="38"/>
    </w:rPr>
  </w:style>
  <w:style w:type="paragraph" w:styleId="Heading2">
    <w:name w:val="Heading 2"/>
    <w:basedOn w:val="Normal"/>
    <w:next w:val="Normal"/>
    <w:qFormat/>
    <w:pPr>
      <w:spacing w:before="320" w:after="120"/>
      <w:outlineLvl w:val="1"/>
    </w:pPr>
    <w:rPr>
      <w:rFonts w:ascii="Arial" w:cs="Arial" w:eastAsia="Arial" w:hAnsi="Arial"/>
      <w:b/>
      <w:bCs/>
      <w:color w:val="1A1A2E"/>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2026-03-10T07:53:01.470Z</dcterms:created>
  <dcterms:modified xsi:type="dcterms:W3CDTF">2026-03-10T07:53:01.471Z</dcterms:modified>
</cp:coreProperties>
</file>

<file path=docProps/custom.xml><?xml version="1.0" encoding="utf-8"?>
<Properties xmlns="http://schemas.openxmlformats.org/officeDocument/2006/custom-properties" xmlns:vt="http://schemas.openxmlformats.org/officeDocument/2006/docPropsVTypes"/>
</file>