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Courses &amp; Programs List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A) Onboarding &amp; Setup</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This feature allows the institute to create a complete catalog of all programs and courses it offers. This catalog is used by the platform to match students with appropriate LMS content, match recruiters with relevant talent pools, and generate accurate compliance reports.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Program Type Classification: </w:t>
      </w:r>
      <w:r>
        <w:rPr>
          <w:rFonts w:ascii="Arial" w:cs="Arial" w:eastAsia="Arial" w:hAnsi="Arial"/>
          <w:sz w:val="22"/>
          <w:szCs w:val="22"/>
        </w:rPr>
        <w:t xml:space="preserve">Institute classifies each program — Degree (B.Tech, BBA, B.Sc), Diploma, Certificate, ITI Trade, Coaching Program, or Skill Development Course. Classification determines which recruiter categories can search for students in that program.</w:t>
      </w:r>
    </w:p>
    <w:p>
      <w:pPr>
        <w:pStyle w:val="ListParagraph"/>
        <w:numPr>
          <w:ilvl w:val="0"/>
          <w:numId w:val="2"/>
        </w:numPr>
        <w:spacing w:after="120"/>
      </w:pPr>
      <w:r>
        <w:rPr>
          <w:rFonts w:ascii="Arial" w:cs="Arial" w:eastAsia="Arial" w:hAnsi="Arial"/>
          <w:b/>
          <w:bCs/>
          <w:color w:val="1F7A4D"/>
          <w:sz w:val="22"/>
          <w:szCs w:val="22"/>
        </w:rPr>
        <w:t xml:space="preserve">Course Duration Entry: </w:t>
      </w:r>
      <w:r>
        <w:rPr>
          <w:rFonts w:ascii="Arial" w:cs="Arial" w:eastAsia="Arial" w:hAnsi="Arial"/>
          <w:sz w:val="22"/>
          <w:szCs w:val="22"/>
        </w:rPr>
        <w:t xml:space="preserve">Duration of each program is entered — 4 years for B.Tech, 2 years for MBA, 6 months for Diploma. This is used to auto-calculate when a student batch is expected to graduate.</w:t>
      </w:r>
    </w:p>
    <w:p>
      <w:pPr>
        <w:pStyle w:val="ListParagraph"/>
        <w:numPr>
          <w:ilvl w:val="0"/>
          <w:numId w:val="2"/>
        </w:numPr>
        <w:spacing w:after="120"/>
      </w:pPr>
      <w:r>
        <w:rPr>
          <w:rFonts w:ascii="Arial" w:cs="Arial" w:eastAsia="Arial" w:hAnsi="Arial"/>
          <w:b/>
          <w:bCs/>
          <w:color w:val="1F7A4D"/>
          <w:sz w:val="22"/>
          <w:szCs w:val="22"/>
        </w:rPr>
        <w:t xml:space="preserve">Intake Capacity: </w:t>
      </w:r>
      <w:r>
        <w:rPr>
          <w:rFonts w:ascii="Arial" w:cs="Arial" w:eastAsia="Arial" w:hAnsi="Arial"/>
          <w:sz w:val="22"/>
          <w:szCs w:val="22"/>
        </w:rPr>
        <w:t xml:space="preserve">Maximum number of seats per program per year is entered. Platform uses this to track utilization — how many seats are filled vs vacant each academic year.</w:t>
      </w:r>
    </w:p>
    <w:p>
      <w:pPr>
        <w:pStyle w:val="ListParagraph"/>
        <w:numPr>
          <w:ilvl w:val="0"/>
          <w:numId w:val="2"/>
        </w:numPr>
        <w:spacing w:after="120"/>
      </w:pPr>
      <w:r>
        <w:rPr>
          <w:rFonts w:ascii="Arial" w:cs="Arial" w:eastAsia="Arial" w:hAnsi="Arial"/>
          <w:b/>
          <w:bCs/>
          <w:color w:val="1F7A4D"/>
          <w:sz w:val="22"/>
          <w:szCs w:val="22"/>
        </w:rPr>
        <w:t xml:space="preserve">Fee Structure: </w:t>
      </w:r>
      <w:r>
        <w:rPr>
          <w:rFonts w:ascii="Arial" w:cs="Arial" w:eastAsia="Arial" w:hAnsi="Arial"/>
          <w:sz w:val="22"/>
          <w:szCs w:val="22"/>
        </w:rPr>
        <w:t xml:space="preserve">Annual or semester fee for each program is entered. This is used in the fee collection module for parent-facing dashboards and payment tracking.</w:t>
      </w:r>
    </w:p>
    <w:p>
      <w:pPr>
        <w:pStyle w:val="ListParagraph"/>
        <w:numPr>
          <w:ilvl w:val="0"/>
          <w:numId w:val="2"/>
        </w:numPr>
        <w:spacing w:after="120"/>
      </w:pPr>
      <w:r>
        <w:rPr>
          <w:rFonts w:ascii="Arial" w:cs="Arial" w:eastAsia="Arial" w:hAnsi="Arial"/>
          <w:b/>
          <w:bCs/>
          <w:color w:val="1F7A4D"/>
          <w:sz w:val="22"/>
          <w:szCs w:val="22"/>
        </w:rPr>
        <w:t xml:space="preserve">Specializations &amp; Branches: </w:t>
      </w:r>
      <w:r>
        <w:rPr>
          <w:rFonts w:ascii="Arial" w:cs="Arial" w:eastAsia="Arial" w:hAnsi="Arial"/>
          <w:sz w:val="22"/>
          <w:szCs w:val="22"/>
        </w:rPr>
        <w:t xml:space="preserve">Under each main program, specializations are listed — B.Tech with branches: CSE, ECE, Mechanical, Civil. This granularity helps recruiters search for students with specific branch expertise.</w:t>
      </w:r>
    </w:p>
    <w:p>
      <w:pPr>
        <w:pStyle w:val="ListParagraph"/>
        <w:numPr>
          <w:ilvl w:val="0"/>
          <w:numId w:val="2"/>
        </w:numPr>
        <w:spacing w:after="120"/>
      </w:pPr>
      <w:r>
        <w:rPr>
          <w:rFonts w:ascii="Arial" w:cs="Arial" w:eastAsia="Arial" w:hAnsi="Arial"/>
          <w:b/>
          <w:bCs/>
          <w:color w:val="1F7A4D"/>
          <w:sz w:val="22"/>
          <w:szCs w:val="22"/>
        </w:rPr>
        <w:t xml:space="preserve">Eligibility Criteria: </w:t>
      </w:r>
      <w:r>
        <w:rPr>
          <w:rFonts w:ascii="Arial" w:cs="Arial" w:eastAsia="Arial" w:hAnsi="Arial"/>
          <w:sz w:val="22"/>
          <w:szCs w:val="22"/>
        </w:rPr>
        <w:t xml:space="preserve">Minimum eligibility for admission is entered — 10+2 with 60% for B.Tech, Graduation for MBA. This helps the platform understand the incoming student quality level.</w:t>
      </w:r>
    </w:p>
    <w:p>
      <w:pPr>
        <w:pStyle w:val="ListParagraph"/>
        <w:numPr>
          <w:ilvl w:val="0"/>
          <w:numId w:val="2"/>
        </w:numPr>
        <w:spacing w:after="120"/>
      </w:pPr>
      <w:r>
        <w:rPr>
          <w:rFonts w:ascii="Arial" w:cs="Arial" w:eastAsia="Arial" w:hAnsi="Arial"/>
          <w:b/>
          <w:bCs/>
          <w:color w:val="1F7A4D"/>
          <w:sz w:val="22"/>
          <w:szCs w:val="22"/>
        </w:rPr>
        <w:t xml:space="preserve">Industry Alignment Tags: </w:t>
      </w:r>
      <w:r>
        <w:rPr>
          <w:rFonts w:ascii="Arial" w:cs="Arial" w:eastAsia="Arial" w:hAnsi="Arial"/>
          <w:sz w:val="22"/>
          <w:szCs w:val="22"/>
        </w:rPr>
        <w:t xml:space="preserve">Each course is tagged with industry sectors it prepares students for — IT, Finance, Manufacturing, Healthcare, Design. Recruiters searching for talent in specific sectors see these tagged programs first.</w:t>
      </w:r>
    </w:p>
    <w:p>
      <w:pPr>
        <w:pStyle w:val="ListParagraph"/>
        <w:numPr>
          <w:ilvl w:val="0"/>
          <w:numId w:val="2"/>
        </w:numPr>
        <w:spacing w:after="120"/>
      </w:pPr>
      <w:r>
        <w:rPr>
          <w:rFonts w:ascii="Arial" w:cs="Arial" w:eastAsia="Arial" w:hAnsi="Arial"/>
          <w:b/>
          <w:bCs/>
          <w:color w:val="1F7A4D"/>
          <w:sz w:val="22"/>
          <w:szCs w:val="22"/>
        </w:rPr>
        <w:t xml:space="preserve">Course Active/Inactive Status: </w:t>
      </w:r>
      <w:r>
        <w:rPr>
          <w:rFonts w:ascii="Arial" w:cs="Arial" w:eastAsia="Arial" w:hAnsi="Arial"/>
          <w:sz w:val="22"/>
          <w:szCs w:val="22"/>
        </w:rPr>
        <w:t xml:space="preserve">If an institute discontinues a program, it can be marked inactive. Inactive programs no longer appear in recruiter searches but historical student data is retained.</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2026-03-09T07:03:20.865Z</dcterms:created>
  <dcterms:modified xsi:type="dcterms:W3CDTF">2026-03-09T07:03:20.865Z</dcterms:modified>
</cp:coreProperties>
</file>

<file path=docProps/custom.xml><?xml version="1.0" encoding="utf-8"?>
<Properties xmlns="http://schemas.openxmlformats.org/officeDocument/2006/custom-properties" xmlns:vt="http://schemas.openxmlformats.org/officeDocument/2006/docPropsVTypes"/>
</file>