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pPr>
      <w:r>
        <w:rPr>
          <w:rFonts w:ascii="Arial" w:cs="Arial" w:eastAsia="Arial" w:hAnsi="Arial"/>
          <w:b/>
          <w:bCs/>
          <w:color w:val="1F7A4D"/>
          <w:sz w:val="36"/>
          <w:szCs w:val="36"/>
        </w:rPr>
        <w:t xml:space="preserve">Campus Details</w:t>
      </w:r>
    </w:p>
    <w:p>
      <w:pPr>
        <w:spacing w:after="100"/>
      </w:pPr>
      <w:r>
        <w:rPr>
          <w:rFonts w:ascii="Arial" w:cs="Arial" w:eastAsia="Arial" w:hAnsi="Arial"/>
          <w:b/>
          <w:bCs/>
          <w:color w:val="555555"/>
          <w:sz w:val="22"/>
          <w:szCs w:val="22"/>
        </w:rPr>
        <w:t xml:space="preserve">Feature Group: </w:t>
      </w:r>
      <w:r>
        <w:rPr>
          <w:rFonts w:ascii="Arial" w:cs="Arial" w:eastAsia="Arial" w:hAnsi="Arial"/>
          <w:b/>
          <w:bCs/>
          <w:color w:val="1F7A4D"/>
          <w:sz w:val="22"/>
          <w:szCs w:val="22"/>
        </w:rPr>
        <w:t xml:space="preserve">A) Onboarding &amp; Setup</w:t>
      </w:r>
    </w:p>
    <w:p>
      <w:pPr>
        <w:spacing w:after="300"/>
      </w:pPr>
      <w:r>
        <w:rPr>
          <w:rFonts w:ascii="Arial" w:cs="Arial" w:eastAsia="Arial" w:hAnsi="Arial"/>
          <w:b/>
          <w:bCs/>
          <w:color w:val="555555"/>
          <w:sz w:val="22"/>
          <w:szCs w:val="22"/>
        </w:rPr>
        <w:t xml:space="preserve">Platform: </w:t>
      </w:r>
      <w:r>
        <w:rPr>
          <w:rFonts w:ascii="Arial" w:cs="Arial" w:eastAsia="Arial" w:hAnsi="Arial"/>
          <w:sz w:val="22"/>
          <w:szCs w:val="22"/>
        </w:rPr>
        <w:t xml:space="preserve">EcoSkiller — Institute Module</w:t>
      </w:r>
    </w:p>
    <w:p>
      <w:pPr>
        <w:pBdr>
          <w:bottom w:val="single" w:color="1F7A4D" w:sz="6" w:space="1"/>
        </w:pBdr>
        <w:spacing w:after="300"/>
      </w:pPr>
    </w:p>
    <w:p>
      <w:pPr>
        <w:pStyle w:val="Heading2"/>
        <w:spacing w:after="150"/>
      </w:pPr>
      <w:r>
        <w:rPr>
          <w:rFonts w:ascii="Arial" w:cs="Arial" w:eastAsia="Arial" w:hAnsi="Arial"/>
          <w:b/>
          <w:bCs/>
          <w:color w:val="1A1A2E"/>
          <w:sz w:val="28"/>
          <w:szCs w:val="28"/>
        </w:rPr>
        <w:t xml:space="preserve">Overview</w:t>
      </w:r>
    </w:p>
    <w:p>
      <w:pPr>
        <w:spacing w:after="300"/>
      </w:pPr>
      <w:r>
        <w:rPr>
          <w:rFonts w:ascii="Arial" w:cs="Arial" w:eastAsia="Arial" w:hAnsi="Arial"/>
          <w:sz w:val="22"/>
          <w:szCs w:val="22"/>
        </w:rPr>
        <w:t xml:space="preserve">Campus Details provide physical and infrastructure context about the institute. Recruiters evaluate institutes not just on academic performance but also on infrastructure quality, facilities available, and campus environment. This feature ensures comprehensive information is available for all stakeholders.</w:t>
      </w:r>
    </w:p>
    <w:p>
      <w:pPr>
        <w:pStyle w:val="Heading2"/>
        <w:spacing w:after="150"/>
      </w:pPr>
      <w:r>
        <w:rPr>
          <w:rFonts w:ascii="Arial" w:cs="Arial" w:eastAsia="Arial" w:hAnsi="Arial"/>
          <w:b/>
          <w:bCs/>
          <w:color w:val="1A1A2E"/>
          <w:sz w:val="28"/>
          <w:szCs w:val="28"/>
        </w:rPr>
        <w:t xml:space="preserve">Detailed Functionality</w:t>
      </w:r>
    </w:p>
    <w:p>
      <w:pPr>
        <w:pStyle w:val="ListParagraph"/>
        <w:numPr>
          <w:ilvl w:val="0"/>
          <w:numId w:val="2"/>
        </w:numPr>
        <w:spacing w:after="120"/>
      </w:pPr>
      <w:r>
        <w:rPr>
          <w:rFonts w:ascii="Arial" w:cs="Arial" w:eastAsia="Arial" w:hAnsi="Arial"/>
          <w:b/>
          <w:bCs/>
          <w:color w:val="1F7A4D"/>
          <w:sz w:val="22"/>
          <w:szCs w:val="22"/>
        </w:rPr>
        <w:t xml:space="preserve">Physical Address &amp; GPS Location: </w:t>
      </w:r>
      <w:r>
        <w:rPr>
          <w:rFonts w:ascii="Arial" w:cs="Arial" w:eastAsia="Arial" w:hAnsi="Arial"/>
          <w:sz w:val="22"/>
          <w:szCs w:val="22"/>
        </w:rPr>
        <w:t xml:space="preserve">Complete address with pin code and Google Maps GPS coordinates are entered. This enables accurate geo-based searches and allows parents to verify the institute's physical location before enrollment.</w:t>
      </w:r>
    </w:p>
    <w:p>
      <w:pPr>
        <w:pStyle w:val="ListParagraph"/>
        <w:numPr>
          <w:ilvl w:val="0"/>
          <w:numId w:val="2"/>
        </w:numPr>
        <w:spacing w:after="120"/>
      </w:pPr>
      <w:r>
        <w:rPr>
          <w:rFonts w:ascii="Arial" w:cs="Arial" w:eastAsia="Arial" w:hAnsi="Arial"/>
          <w:b/>
          <w:bCs/>
          <w:color w:val="1F7A4D"/>
          <w:sz w:val="22"/>
          <w:szCs w:val="22"/>
        </w:rPr>
        <w:t xml:space="preserve">Campus Area &amp; Infrastructure: </w:t>
      </w:r>
      <w:r>
        <w:rPr>
          <w:rFonts w:ascii="Arial" w:cs="Arial" w:eastAsia="Arial" w:hAnsi="Arial"/>
          <w:sz w:val="22"/>
          <w:szCs w:val="22"/>
        </w:rPr>
        <w:t xml:space="preserve">Total campus area in acres/sq ft, number of buildings, and infrastructure overview — labs (computer, science, language), library, sports ground, auditorium — are detailed.</w:t>
      </w:r>
    </w:p>
    <w:p>
      <w:pPr>
        <w:pStyle w:val="ListParagraph"/>
        <w:numPr>
          <w:ilvl w:val="0"/>
          <w:numId w:val="2"/>
        </w:numPr>
        <w:spacing w:after="120"/>
      </w:pPr>
      <w:r>
        <w:rPr>
          <w:rFonts w:ascii="Arial" w:cs="Arial" w:eastAsia="Arial" w:hAnsi="Arial"/>
          <w:b/>
          <w:bCs/>
          <w:color w:val="1F7A4D"/>
          <w:sz w:val="22"/>
          <w:szCs w:val="22"/>
        </w:rPr>
        <w:t xml:space="preserve">Hostel Availability: </w:t>
      </w:r>
      <w:r>
        <w:rPr>
          <w:rFonts w:ascii="Arial" w:cs="Arial" w:eastAsia="Arial" w:hAnsi="Arial"/>
          <w:sz w:val="22"/>
          <w:szCs w:val="22"/>
        </w:rPr>
        <w:t xml:space="preserve">Whether hostel is available for boys, girls, or both is clearly stated. Hostel capacity, fee, and facilities are listed. This is important for outstation students and their parents.</w:t>
      </w:r>
    </w:p>
    <w:p>
      <w:pPr>
        <w:pStyle w:val="ListParagraph"/>
        <w:numPr>
          <w:ilvl w:val="0"/>
          <w:numId w:val="2"/>
        </w:numPr>
        <w:spacing w:after="120"/>
      </w:pPr>
      <w:r>
        <w:rPr>
          <w:rFonts w:ascii="Arial" w:cs="Arial" w:eastAsia="Arial" w:hAnsi="Arial"/>
          <w:b/>
          <w:bCs/>
          <w:color w:val="1F7A4D"/>
          <w:sz w:val="22"/>
          <w:szCs w:val="22"/>
        </w:rPr>
        <w:t xml:space="preserve">Laboratory Details: </w:t>
      </w:r>
      <w:r>
        <w:rPr>
          <w:rFonts w:ascii="Arial" w:cs="Arial" w:eastAsia="Arial" w:hAnsi="Arial"/>
          <w:sz w:val="22"/>
          <w:szCs w:val="22"/>
        </w:rPr>
        <w:t xml:space="preserve">Number and types of labs are listed — Computer Labs with how many systems, Science labs, Language labs, Research labs. This helps recruiters assess the practical learning environment.</w:t>
      </w:r>
    </w:p>
    <w:p>
      <w:pPr>
        <w:pStyle w:val="ListParagraph"/>
        <w:numPr>
          <w:ilvl w:val="0"/>
          <w:numId w:val="2"/>
        </w:numPr>
        <w:spacing w:after="120"/>
      </w:pPr>
      <w:r>
        <w:rPr>
          <w:rFonts w:ascii="Arial" w:cs="Arial" w:eastAsia="Arial" w:hAnsi="Arial"/>
          <w:b/>
          <w:bCs/>
          <w:color w:val="1F7A4D"/>
          <w:sz w:val="22"/>
          <w:szCs w:val="22"/>
        </w:rPr>
        <w:t xml:space="preserve">Internet &amp; Tech Infrastructure: </w:t>
      </w:r>
      <w:r>
        <w:rPr>
          <w:rFonts w:ascii="Arial" w:cs="Arial" w:eastAsia="Arial" w:hAnsi="Arial"/>
          <w:sz w:val="22"/>
          <w:szCs w:val="22"/>
        </w:rPr>
        <w:t xml:space="preserve">Internet bandwidth available, Wi-Fi coverage areas, number of smart classrooms, and availability of digital learning boards are captured. This affects platform usage quality.</w:t>
      </w:r>
    </w:p>
    <w:p>
      <w:pPr>
        <w:pStyle w:val="ListParagraph"/>
        <w:numPr>
          <w:ilvl w:val="0"/>
          <w:numId w:val="2"/>
        </w:numPr>
        <w:spacing w:after="120"/>
      </w:pPr>
      <w:r>
        <w:rPr>
          <w:rFonts w:ascii="Arial" w:cs="Arial" w:eastAsia="Arial" w:hAnsi="Arial"/>
          <w:b/>
          <w:bCs/>
          <w:color w:val="1F7A4D"/>
          <w:sz w:val="22"/>
          <w:szCs w:val="22"/>
        </w:rPr>
        <w:t xml:space="preserve">Transportation Facilities: </w:t>
      </w:r>
      <w:r>
        <w:rPr>
          <w:rFonts w:ascii="Arial" w:cs="Arial" w:eastAsia="Arial" w:hAnsi="Arial"/>
          <w:sz w:val="22"/>
          <w:szCs w:val="22"/>
        </w:rPr>
        <w:t xml:space="preserve">Whether institute provides transportation, routes covered, and pickup points are listed. Relevant for students selecting institutes based on commute convenience.</w:t>
      </w:r>
    </w:p>
    <w:p>
      <w:pPr>
        <w:pStyle w:val="ListParagraph"/>
        <w:numPr>
          <w:ilvl w:val="0"/>
          <w:numId w:val="2"/>
        </w:numPr>
        <w:spacing w:after="120"/>
      </w:pPr>
      <w:r>
        <w:rPr>
          <w:rFonts w:ascii="Arial" w:cs="Arial" w:eastAsia="Arial" w:hAnsi="Arial"/>
          <w:b/>
          <w:bCs/>
          <w:color w:val="1F7A4D"/>
          <w:sz w:val="22"/>
          <w:szCs w:val="22"/>
        </w:rPr>
        <w:t xml:space="preserve">Campus Photos Upload: </w:t>
      </w:r>
      <w:r>
        <w:rPr>
          <w:rFonts w:ascii="Arial" w:cs="Arial" w:eastAsia="Arial" w:hAnsi="Arial"/>
          <w:sz w:val="22"/>
          <w:szCs w:val="22"/>
        </w:rPr>
        <w:t xml:space="preserve">Institute can upload up to 20 photos of campus — entrance, classrooms, labs, library, sports facility, hostels. Photos are shown on the public profile and help in recruitment drives.</w:t>
      </w:r>
    </w:p>
    <w:p>
      <w:pPr>
        <w:pStyle w:val="ListParagraph"/>
        <w:numPr>
          <w:ilvl w:val="0"/>
          <w:numId w:val="2"/>
        </w:numPr>
        <w:spacing w:after="120"/>
      </w:pPr>
      <w:r>
        <w:rPr>
          <w:rFonts w:ascii="Arial" w:cs="Arial" w:eastAsia="Arial" w:hAnsi="Arial"/>
          <w:b/>
          <w:bCs/>
          <w:color w:val="1F7A4D"/>
          <w:sz w:val="22"/>
          <w:szCs w:val="22"/>
        </w:rPr>
        <w:t xml:space="preserve">Campus Virtual Tour Link: </w:t>
      </w:r>
      <w:r>
        <w:rPr>
          <w:rFonts w:ascii="Arial" w:cs="Arial" w:eastAsia="Arial" w:hAnsi="Arial"/>
          <w:sz w:val="22"/>
          <w:szCs w:val="22"/>
        </w:rPr>
        <w:t xml:space="preserve">If the institute has a YouTube virtual tour or 360-degree campus tour video, the link can be added. This is especially useful for outstation students who cannot visit physically.</w:t>
      </w:r>
    </w:p>
    <w:p>
      <w:pPr>
        <w:spacing w:after="300"/>
      </w:pPr>
    </w:p>
    <w:p>
      <w:pPr>
        <w:pBdr>
          <w:top w:val="single" w:color="CCCCCC" w:sz="4" w:space="1"/>
        </w:pBdr>
        <w:spacing w:before="200"/>
      </w:pPr>
      <w:r>
        <w:rPr>
          <w:rFonts w:ascii="Arial" w:cs="Arial" w:eastAsia="Arial" w:hAnsi="Arial"/>
          <w:i/>
          <w:iCs/>
          <w:color w:val="888888"/>
          <w:sz w:val="18"/>
          <w:szCs w:val="18"/>
        </w:rPr>
        <w:t xml:space="preserve">EcoSkiller Platform — Institute Research Documentation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00"/>
      <w:outlineLvl w:val="0"/>
    </w:pPr>
    <w:rPr>
      <w:rFonts w:ascii="Arial" w:cs="Arial" w:eastAsia="Arial" w:hAnsi="Arial"/>
      <w:b/>
      <w:bCs/>
      <w:color w:val="1F7A4D"/>
      <w:sz w:val="36"/>
      <w:szCs w:val="36"/>
    </w:rPr>
  </w:style>
  <w:style w:type="paragraph" w:styleId="Heading2">
    <w:name w:val="Heading 2"/>
    <w:basedOn w:val="Normal"/>
    <w:next w:val="Normal"/>
    <w:qFormat/>
    <w:pPr>
      <w:spacing w:before="180" w:after="150"/>
      <w:outlineLvl w:val="1"/>
    </w:pPr>
    <w:rPr>
      <w:rFonts w:ascii="Arial" w:cs="Arial" w:eastAsia="Arial" w:hAnsi="Arial"/>
      <w:b/>
      <w:bCs/>
      <w:color w:val="1A1A2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2026-03-09T07:03:21.050Z</dcterms:created>
  <dcterms:modified xsi:type="dcterms:W3CDTF">2026-03-09T07:03:21.050Z</dcterms:modified>
</cp:coreProperties>
</file>

<file path=docProps/custom.xml><?xml version="1.0" encoding="utf-8"?>
<Properties xmlns="http://schemas.openxmlformats.org/officeDocument/2006/custom-properties" xmlns:vt="http://schemas.openxmlformats.org/officeDocument/2006/docPropsVTypes"/>
</file>