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Placement Data Dashboard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C) Placement &amp; Recruiter Management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Placement statistics are the most scrutinized metrics in higher education. Yet today, these numbers are mostly self-reported and easily inflated. EcoSkiller's Placement Data Dashboard provides real-time, verified, tamper-proof placement statistics.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Real-Time Placement Counter: </w:t>
      </w:r>
      <w:r>
        <w:rPr>
          <w:rFonts w:ascii="Arial" w:cs="Arial" w:eastAsia="Arial" w:hAnsi="Arial"/>
          <w:sz w:val="22"/>
          <w:szCs w:val="22"/>
        </w:rPr>
        <w:t xml:space="preserve">Dashboard shows a live counter — X students placed out of Y eligible students this academic year. This number updates in real time as offers are accepted. No manual updating needed.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Placement Rate by Department: </w:t>
      </w:r>
      <w:r>
        <w:rPr>
          <w:rFonts w:ascii="Arial" w:cs="Arial" w:eastAsia="Arial" w:hAnsi="Arial"/>
          <w:sz w:val="22"/>
          <w:szCs w:val="22"/>
        </w:rPr>
        <w:t xml:space="preserve">Placement rate broken down by department — CSE 89% placed, ECE 72% placed, Mechanical 58% placed. Bar chart makes comparison instant. Departments below average are highlighted in yellow or red.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CTC Analysis: </w:t>
      </w:r>
      <w:r>
        <w:rPr>
          <w:rFonts w:ascii="Arial" w:cs="Arial" w:eastAsia="Arial" w:hAnsi="Arial"/>
          <w:sz w:val="22"/>
          <w:szCs w:val="22"/>
        </w:rPr>
        <w:t xml:space="preserve">Average CTC, highest CTC, lowest CTC, and median CTC are displayed. CTC distribution histogram shows how many students are in each salary band — below 3 LPA, 3-6 LPA, 6-10 LPA, above 10 LPA.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Company-wise Placement Summary: </w:t>
      </w:r>
      <w:r>
        <w:rPr>
          <w:rFonts w:ascii="Arial" w:cs="Arial" w:eastAsia="Arial" w:hAnsi="Arial"/>
          <w:sz w:val="22"/>
          <w:szCs w:val="22"/>
        </w:rPr>
        <w:t xml:space="preserve">List of all companies that recruited, how many students each company hired, and average CTC offered by each company. Companies that hired the most students are highlighted.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Placement Status Tracker: </w:t>
      </w:r>
      <w:r>
        <w:rPr>
          <w:rFonts w:ascii="Arial" w:cs="Arial" w:eastAsia="Arial" w:hAnsi="Arial"/>
          <w:sz w:val="22"/>
          <w:szCs w:val="22"/>
        </w:rPr>
        <w:t xml:space="preserve">Every student has a clear color-coded status — Not Placed (red), In Process / Interview Scheduled (yellow), Offer Received (blue), Offer Accepted (green), Joined Company (dark green), Offer Withdrawn (orange). Visible at a glance.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Placement vs Industry Benchmark: </w:t>
      </w:r>
      <w:r>
        <w:rPr>
          <w:rFonts w:ascii="Arial" w:cs="Arial" w:eastAsia="Arial" w:hAnsi="Arial"/>
          <w:sz w:val="22"/>
          <w:szCs w:val="22"/>
        </w:rPr>
        <w:t xml:space="preserve">Platform compares institute placement rate and average CTC against industry benchmarks for similar institutes in the same city and same program type. Shows where the institute stands in context.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Year-over-Year Comparison: </w:t>
      </w:r>
      <w:r>
        <w:rPr>
          <w:rFonts w:ascii="Arial" w:cs="Arial" w:eastAsia="Arial" w:hAnsi="Arial"/>
          <w:sz w:val="22"/>
          <w:szCs w:val="22"/>
        </w:rPr>
        <w:t xml:space="preserve">Current year placement data compared to previous years — is the placement rate improving or declining? Is average CTC going up? Are more companies visiting? Trends are shown in line graphs.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Export &amp; Share: </w:t>
      </w:r>
      <w:r>
        <w:rPr>
          <w:rFonts w:ascii="Arial" w:cs="Arial" w:eastAsia="Arial" w:hAnsi="Arial"/>
          <w:sz w:val="22"/>
          <w:szCs w:val="22"/>
        </w:rPr>
        <w:t xml:space="preserve">Complete placement report can be exported as PDF for NAAC reports, AICTE disclosures, Board presentations, or parent information sessions. Data cannot be manually edited in the export — what platform shows is what goes out.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2026-03-09T07:03:21.395Z</dcterms:created>
  <dcterms:modified xsi:type="dcterms:W3CDTF">2026-03-09T07:03:21.395Z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