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Manual Enrollment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B) Student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While bulk enrollment handles large groups, Manual Enrollment is used for adding individual students — a new joiner mid-year, a transfer student from another institute, or a special admission case. This feature provides full control over individual student records.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Step-by-Step Form: </w:t>
      </w:r>
      <w:r>
        <w:rPr>
          <w:rFonts w:ascii="Arial" w:cs="Arial" w:eastAsia="Arial" w:hAnsi="Arial"/>
          <w:sz w:val="22"/>
          <w:szCs w:val="22"/>
        </w:rPr>
        <w:t xml:space="preserve">A clean form guides the admin through entering student details step by step — Basic Info, Contact Details, Academic Details, Parent Details, and Documents. Progress indicator shows which step is current.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Real-Time Validation: </w:t>
      </w:r>
      <w:r>
        <w:rPr>
          <w:rFonts w:ascii="Arial" w:cs="Arial" w:eastAsia="Arial" w:hAnsi="Arial"/>
          <w:sz w:val="22"/>
          <w:szCs w:val="22"/>
        </w:rPr>
        <w:t xml:space="preserve">As admin types, the form validates in real time — if email is already registered, it shows "Email already exists" immediately. Phone number format is checked. Roll number uniqueness is verified.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Photo Upload: </w:t>
      </w:r>
      <w:r>
        <w:rPr>
          <w:rFonts w:ascii="Arial" w:cs="Arial" w:eastAsia="Arial" w:hAnsi="Arial"/>
          <w:sz w:val="22"/>
          <w:szCs w:val="22"/>
        </w:rPr>
        <w:t xml:space="preserve">A passport-size photo of the student is uploaded. This photo appears on the student dashboard, attendance records, and identity certificates generated by the platform.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Document Attachment: </w:t>
      </w:r>
      <w:r>
        <w:rPr>
          <w:rFonts w:ascii="Arial" w:cs="Arial" w:eastAsia="Arial" w:hAnsi="Arial"/>
          <w:sz w:val="22"/>
          <w:szCs w:val="22"/>
        </w:rPr>
        <w:t xml:space="preserve">Supporting documents can be attached — Previous School Transfer Certificate, Aadhaar copy, Caste Certificate for scholarship tracking, and any special needs documentation.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Immediate Account Activation: </w:t>
      </w:r>
      <w:r>
        <w:rPr>
          <w:rFonts w:ascii="Arial" w:cs="Arial" w:eastAsia="Arial" w:hAnsi="Arial"/>
          <w:sz w:val="22"/>
          <w:szCs w:val="22"/>
        </w:rPr>
        <w:t xml:space="preserve">Unlike bulk enrollment which may take minutes, manually added students get immediate account access. Admin can choose to send login credentials instantly or hold until approval.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Transfer Student Handling: </w:t>
      </w:r>
      <w:r>
        <w:rPr>
          <w:rFonts w:ascii="Arial" w:cs="Arial" w:eastAsia="Arial" w:hAnsi="Arial"/>
          <w:sz w:val="22"/>
          <w:szCs w:val="22"/>
        </w:rPr>
        <w:t xml:space="preserve">For students transferring from another EcoSkiller-registered institute, their existing profile data — GD scores, LMS progress, tournament history — can be imported with consent. No data loss on transfer.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Special Category Marking: </w:t>
      </w:r>
      <w:r>
        <w:rPr>
          <w:rFonts w:ascii="Arial" w:cs="Arial" w:eastAsia="Arial" w:hAnsi="Arial"/>
          <w:sz w:val="22"/>
          <w:szCs w:val="22"/>
        </w:rPr>
        <w:t xml:space="preserve">Students with special needs, scholarship beneficiaries, or students under specific government schemes can be tagged during manual enrollment for targeted tracking and reporting.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Enrollment Approval Workflow: </w:t>
      </w:r>
      <w:r>
        <w:rPr>
          <w:rFonts w:ascii="Arial" w:cs="Arial" w:eastAsia="Arial" w:hAnsi="Arial"/>
          <w:sz w:val="22"/>
          <w:szCs w:val="22"/>
        </w:rPr>
        <w:t xml:space="preserve">If the institute requires HOD approval before a student is formally enrolled, a workflow can be set up. Admin submits the record, HOD reviews and approves, then account is activated. Approval chain is fully logged.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2026-03-09T07:03:21.145Z</dcterms:created>
  <dcterms:modified xsi:type="dcterms:W3CDTF">2026-03-09T07:03:21.145Z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