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rPr>
          <w:rFonts w:ascii="Arial" w:cs="Arial" w:eastAsia="Arial" w:hAnsi="Arial"/>
          <w:b/>
          <w:bCs/>
          <w:color w:val="1F7A4D"/>
          <w:sz w:val="36"/>
          <w:szCs w:val="36"/>
        </w:rPr>
        <w:t xml:space="preserve">Attendance Tracking</w:t>
      </w:r>
    </w:p>
    <w:p>
      <w:pPr>
        <w:spacing w:after="100"/>
      </w:pPr>
      <w:r>
        <w:rPr>
          <w:rFonts w:ascii="Arial" w:cs="Arial" w:eastAsia="Arial" w:hAnsi="Arial"/>
          <w:b/>
          <w:bCs/>
          <w:color w:val="555555"/>
          <w:sz w:val="22"/>
          <w:szCs w:val="22"/>
        </w:rPr>
        <w:t xml:space="preserve">Feature Group: </w:t>
      </w:r>
      <w:r>
        <w:rPr>
          <w:rFonts w:ascii="Arial" w:cs="Arial" w:eastAsia="Arial" w:hAnsi="Arial"/>
          <w:b/>
          <w:bCs/>
          <w:color w:val="1F7A4D"/>
          <w:sz w:val="22"/>
          <w:szCs w:val="22"/>
        </w:rPr>
        <w:t xml:space="preserve">B) Student Management</w:t>
      </w:r>
    </w:p>
    <w:p>
      <w:pPr>
        <w:spacing w:after="300"/>
      </w:pPr>
      <w:r>
        <w:rPr>
          <w:rFonts w:ascii="Arial" w:cs="Arial" w:eastAsia="Arial" w:hAnsi="Arial"/>
          <w:b/>
          <w:bCs/>
          <w:color w:val="555555"/>
          <w:sz w:val="22"/>
          <w:szCs w:val="22"/>
        </w:rPr>
        <w:t xml:space="preserve">Platform: </w:t>
      </w:r>
      <w:r>
        <w:rPr>
          <w:rFonts w:ascii="Arial" w:cs="Arial" w:eastAsia="Arial" w:hAnsi="Arial"/>
          <w:sz w:val="22"/>
          <w:szCs w:val="22"/>
        </w:rPr>
        <w:t xml:space="preserve">EcoSkiller — Institute Module</w:t>
      </w:r>
    </w:p>
    <w:p>
      <w:pPr>
        <w:pBdr>
          <w:bottom w:val="single" w:color="1F7A4D" w:sz="6" w:space="1"/>
        </w:pBdr>
        <w:spacing w:after="300"/>
      </w:pPr>
    </w:p>
    <w:p>
      <w:pPr>
        <w:pStyle w:val="Heading2"/>
        <w:spacing w:after="150"/>
      </w:pPr>
      <w:r>
        <w:rPr>
          <w:rFonts w:ascii="Arial" w:cs="Arial" w:eastAsia="Arial" w:hAnsi="Arial"/>
          <w:b/>
          <w:bCs/>
          <w:color w:val="1A1A2E"/>
          <w:sz w:val="28"/>
          <w:szCs w:val="28"/>
        </w:rPr>
        <w:t xml:space="preserve">Overview</w:t>
      </w:r>
    </w:p>
    <w:p>
      <w:pPr>
        <w:spacing w:after="300"/>
      </w:pPr>
      <w:r>
        <w:rPr>
          <w:rFonts w:ascii="Arial" w:cs="Arial" w:eastAsia="Arial" w:hAnsi="Arial"/>
          <w:sz w:val="22"/>
          <w:szCs w:val="22"/>
        </w:rPr>
        <w:t xml:space="preserve">Attendance is one of the most fundamental academic requirements. EcoSkiller's Attendance Tracking system goes beyond simple present/absent marking to provide intelligent insights, automated alerts, and multiple input methods suited for all types of teachers.</w:t>
      </w:r>
    </w:p>
    <w:p>
      <w:pPr>
        <w:pStyle w:val="Heading2"/>
        <w:spacing w:after="150"/>
      </w:pPr>
      <w:r>
        <w:rPr>
          <w:rFonts w:ascii="Arial" w:cs="Arial" w:eastAsia="Arial" w:hAnsi="Arial"/>
          <w:b/>
          <w:bCs/>
          <w:color w:val="1A1A2E"/>
          <w:sz w:val="28"/>
          <w:szCs w:val="28"/>
        </w:rPr>
        <w:t xml:space="preserve">Detailed Functionality</w:t>
      </w:r>
    </w:p>
    <w:p>
      <w:pPr>
        <w:pStyle w:val="ListParagraph"/>
        <w:numPr>
          <w:ilvl w:val="0"/>
          <w:numId w:val="2"/>
        </w:numPr>
        <w:spacing w:after="120"/>
      </w:pPr>
      <w:r>
        <w:rPr>
          <w:rFonts w:ascii="Arial" w:cs="Arial" w:eastAsia="Arial" w:hAnsi="Arial"/>
          <w:b/>
          <w:bCs/>
          <w:color w:val="1F7A4D"/>
          <w:sz w:val="22"/>
          <w:szCs w:val="22"/>
        </w:rPr>
        <w:t xml:space="preserve">Mobile App Attendance: </w:t>
      </w:r>
      <w:r>
        <w:rPr>
          <w:rFonts w:ascii="Arial" w:cs="Arial" w:eastAsia="Arial" w:hAnsi="Arial"/>
          <w:sz w:val="22"/>
          <w:szCs w:val="22"/>
        </w:rPr>
        <w:t xml:space="preserve">Teachers take attendance through the EcoSkiller mobile app. A class roster appears for the current period. Teacher taps on each student — green for present, red for absent, yellow for late. Submits in seconds.</w:t>
      </w:r>
    </w:p>
    <w:p>
      <w:pPr>
        <w:pStyle w:val="ListParagraph"/>
        <w:numPr>
          <w:ilvl w:val="0"/>
          <w:numId w:val="2"/>
        </w:numPr>
        <w:spacing w:after="120"/>
      </w:pPr>
      <w:r>
        <w:rPr>
          <w:rFonts w:ascii="Arial" w:cs="Arial" w:eastAsia="Arial" w:hAnsi="Arial"/>
          <w:b/>
          <w:bCs/>
          <w:color w:val="1F7A4D"/>
          <w:sz w:val="22"/>
          <w:szCs w:val="22"/>
        </w:rPr>
        <w:t xml:space="preserve">WhatsApp Bot Attendance: </w:t>
      </w:r>
      <w:r>
        <w:rPr>
          <w:rFonts w:ascii="Arial" w:cs="Arial" w:eastAsia="Arial" w:hAnsi="Arial"/>
          <w:sz w:val="22"/>
          <w:szCs w:val="22"/>
        </w:rPr>
        <w:t xml:space="preserve">Teachers uncomfortable with apps can take attendance via WhatsApp. Teacher messages the EcoSkiller bot: "Attendance CSE-A Today." Bot replies with student list numbered. Teacher replies with absent student numbers. Done.</w:t>
      </w:r>
    </w:p>
    <w:p>
      <w:pPr>
        <w:pStyle w:val="ListParagraph"/>
        <w:numPr>
          <w:ilvl w:val="0"/>
          <w:numId w:val="2"/>
        </w:numPr>
        <w:spacing w:after="120"/>
      </w:pPr>
      <w:r>
        <w:rPr>
          <w:rFonts w:ascii="Arial" w:cs="Arial" w:eastAsia="Arial" w:hAnsi="Arial"/>
          <w:b/>
          <w:bCs/>
          <w:color w:val="1F7A4D"/>
          <w:sz w:val="22"/>
          <w:szCs w:val="22"/>
        </w:rPr>
        <w:t xml:space="preserve">Biometric Integration: </w:t>
      </w:r>
      <w:r>
        <w:rPr>
          <w:rFonts w:ascii="Arial" w:cs="Arial" w:eastAsia="Arial" w:hAnsi="Arial"/>
          <w:sz w:val="22"/>
          <w:szCs w:val="22"/>
        </w:rPr>
        <w:t xml:space="preserve">For institutes with biometric devices, attendance data from the biometric system can be synced to EcoSkiller daily. Students who swipe in are marked present, others marked absent. Reduces manual work to zero.</w:t>
      </w:r>
    </w:p>
    <w:p>
      <w:pPr>
        <w:pStyle w:val="ListParagraph"/>
        <w:numPr>
          <w:ilvl w:val="0"/>
          <w:numId w:val="2"/>
        </w:numPr>
        <w:spacing w:after="120"/>
      </w:pPr>
      <w:r>
        <w:rPr>
          <w:rFonts w:ascii="Arial" w:cs="Arial" w:eastAsia="Arial" w:hAnsi="Arial"/>
          <w:b/>
          <w:bCs/>
          <w:color w:val="1F7A4D"/>
          <w:sz w:val="22"/>
          <w:szCs w:val="22"/>
        </w:rPr>
        <w:t xml:space="preserve">QR Code Attendance: </w:t>
      </w:r>
      <w:r>
        <w:rPr>
          <w:rFonts w:ascii="Arial" w:cs="Arial" w:eastAsia="Arial" w:hAnsi="Arial"/>
          <w:sz w:val="22"/>
          <w:szCs w:val="22"/>
        </w:rPr>
        <w:t xml:space="preserve">Teacher generates a session-specific QR code on their phone. Students scan the QR with the EcoSkiller app to mark themselves present. QR expires after 10 minutes to prevent proxy attendance.</w:t>
      </w:r>
    </w:p>
    <w:p>
      <w:pPr>
        <w:pStyle w:val="ListParagraph"/>
        <w:numPr>
          <w:ilvl w:val="0"/>
          <w:numId w:val="2"/>
        </w:numPr>
        <w:spacing w:after="120"/>
      </w:pPr>
      <w:r>
        <w:rPr>
          <w:rFonts w:ascii="Arial" w:cs="Arial" w:eastAsia="Arial" w:hAnsi="Arial"/>
          <w:b/>
          <w:bCs/>
          <w:color w:val="1F7A4D"/>
          <w:sz w:val="22"/>
          <w:szCs w:val="22"/>
        </w:rPr>
        <w:t xml:space="preserve">Attendance Threshold Alert: </w:t>
      </w:r>
      <w:r>
        <w:rPr>
          <w:rFonts w:ascii="Arial" w:cs="Arial" w:eastAsia="Arial" w:hAnsi="Arial"/>
          <w:sz w:val="22"/>
          <w:szCs w:val="22"/>
        </w:rPr>
        <w:t xml:space="preserve">When a student's attendance falls below 75% (or institute-defined threshold), automatic alert is sent to: Student (reminder), Parent (notification), Class Teacher (alert), HOD (report). Escalation is layered.</w:t>
      </w:r>
    </w:p>
    <w:p>
      <w:pPr>
        <w:pStyle w:val="ListParagraph"/>
        <w:numPr>
          <w:ilvl w:val="0"/>
          <w:numId w:val="2"/>
        </w:numPr>
        <w:spacing w:after="120"/>
      </w:pPr>
      <w:r>
        <w:rPr>
          <w:rFonts w:ascii="Arial" w:cs="Arial" w:eastAsia="Arial" w:hAnsi="Arial"/>
          <w:b/>
          <w:bCs/>
          <w:color w:val="1F7A4D"/>
          <w:sz w:val="22"/>
          <w:szCs w:val="22"/>
        </w:rPr>
        <w:t xml:space="preserve">Leave Application &amp; Approval: </w:t>
      </w:r>
      <w:r>
        <w:rPr>
          <w:rFonts w:ascii="Arial" w:cs="Arial" w:eastAsia="Arial" w:hAnsi="Arial"/>
          <w:sz w:val="22"/>
          <w:szCs w:val="22"/>
        </w:rPr>
        <w:t xml:space="preserve">Students can apply for leave through the platform — enter dates and reason. Teacher reviews and approves or rejects. Approved leaves are excluded from attendance percentage calculation per institute policy.</w:t>
      </w:r>
    </w:p>
    <w:p>
      <w:pPr>
        <w:pStyle w:val="ListParagraph"/>
        <w:numPr>
          <w:ilvl w:val="0"/>
          <w:numId w:val="2"/>
        </w:numPr>
        <w:spacing w:after="120"/>
      </w:pPr>
      <w:r>
        <w:rPr>
          <w:rFonts w:ascii="Arial" w:cs="Arial" w:eastAsia="Arial" w:hAnsi="Arial"/>
          <w:b/>
          <w:bCs/>
          <w:color w:val="1F7A4D"/>
          <w:sz w:val="22"/>
          <w:szCs w:val="22"/>
        </w:rPr>
        <w:t xml:space="preserve">Attendance Report Generation: </w:t>
      </w:r>
      <w:r>
        <w:rPr>
          <w:rFonts w:ascii="Arial" w:cs="Arial" w:eastAsia="Arial" w:hAnsi="Arial"/>
          <w:sz w:val="22"/>
          <w:szCs w:val="22"/>
        </w:rPr>
        <w:t xml:space="preserve">Month-wise, semester-wise, and year-wise attendance reports can be generated for any student, any class, or any department. Reports export to PDF or Excel for official submission.</w:t>
      </w:r>
    </w:p>
    <w:p>
      <w:pPr>
        <w:pStyle w:val="ListParagraph"/>
        <w:numPr>
          <w:ilvl w:val="0"/>
          <w:numId w:val="2"/>
        </w:numPr>
        <w:spacing w:after="120"/>
      </w:pPr>
      <w:r>
        <w:rPr>
          <w:rFonts w:ascii="Arial" w:cs="Arial" w:eastAsia="Arial" w:hAnsi="Arial"/>
          <w:b/>
          <w:bCs/>
          <w:color w:val="1F7A4D"/>
          <w:sz w:val="22"/>
          <w:szCs w:val="22"/>
        </w:rPr>
        <w:t xml:space="preserve">Retroactive Attendance Correction: </w:t>
      </w:r>
      <w:r>
        <w:rPr>
          <w:rFonts w:ascii="Arial" w:cs="Arial" w:eastAsia="Arial" w:hAnsi="Arial"/>
          <w:sz w:val="22"/>
          <w:szCs w:val="22"/>
        </w:rPr>
        <w:t xml:space="preserve">If a teacher marked wrong attendance, corrections can be made within 24 hours by the teacher, and within 7 days by HOD. All corrections are logged with reason and approver name.</w:t>
      </w:r>
    </w:p>
    <w:p>
      <w:pPr>
        <w:pStyle w:val="ListParagraph"/>
        <w:numPr>
          <w:ilvl w:val="0"/>
          <w:numId w:val="2"/>
        </w:numPr>
        <w:spacing w:after="120"/>
      </w:pPr>
      <w:r>
        <w:rPr>
          <w:rFonts w:ascii="Arial" w:cs="Arial" w:eastAsia="Arial" w:hAnsi="Arial"/>
          <w:b/>
          <w:bCs/>
          <w:color w:val="1F7A4D"/>
          <w:sz w:val="22"/>
          <w:szCs w:val="22"/>
        </w:rPr>
        <w:t xml:space="preserve">Attendance vs Performance Correlation: </w:t>
      </w:r>
      <w:r>
        <w:rPr>
          <w:rFonts w:ascii="Arial" w:cs="Arial" w:eastAsia="Arial" w:hAnsi="Arial"/>
          <w:sz w:val="22"/>
          <w:szCs w:val="22"/>
        </w:rPr>
        <w:t xml:space="preserve">Platform generates a correlation report — students with below 75% attendance have X% lower GD scores and Y% lower LMS completion rates. This data-backed insight helps institutes justify strict attendance policies.</w:t>
      </w:r>
    </w:p>
    <w:p>
      <w:pPr>
        <w:pStyle w:val="ListParagraph"/>
        <w:numPr>
          <w:ilvl w:val="0"/>
          <w:numId w:val="2"/>
        </w:numPr>
        <w:spacing w:after="120"/>
      </w:pPr>
      <w:r>
        <w:rPr>
          <w:rFonts w:ascii="Arial" w:cs="Arial" w:eastAsia="Arial" w:hAnsi="Arial"/>
          <w:b/>
          <w:bCs/>
          <w:color w:val="1F7A4D"/>
          <w:sz w:val="22"/>
          <w:szCs w:val="22"/>
        </w:rPr>
        <w:t xml:space="preserve">Exam Eligibility Blocking: </w:t>
      </w:r>
      <w:r>
        <w:rPr>
          <w:rFonts w:ascii="Arial" w:cs="Arial" w:eastAsia="Arial" w:hAnsi="Arial"/>
          <w:sz w:val="22"/>
          <w:szCs w:val="22"/>
        </w:rPr>
        <w:t xml:space="preserve">If institute rules require minimum attendance for exam eligibility, platform automatically blocks exam registration for students below threshold. Students see a message explaining why they are blocked.</w:t>
      </w:r>
    </w:p>
    <w:p>
      <w:pPr>
        <w:spacing w:after="300"/>
      </w:pPr>
    </w:p>
    <w:p>
      <w:pPr>
        <w:pBdr>
          <w:top w:val="single" w:color="CCCCCC" w:sz="4" w:space="1"/>
        </w:pBdr>
        <w:spacing w:before="200"/>
      </w:pPr>
      <w:r>
        <w:rPr>
          <w:rFonts w:ascii="Arial" w:cs="Arial" w:eastAsia="Arial" w:hAnsi="Arial"/>
          <w:i/>
          <w:iCs/>
          <w:color w:val="888888"/>
          <w:sz w:val="18"/>
          <w:szCs w:val="18"/>
        </w:rPr>
        <w:t xml:space="preserve">EcoSkiller Platform — Institute Research Documentation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00"/>
      <w:outlineLvl w:val="0"/>
    </w:pPr>
    <w:rPr>
      <w:rFonts w:ascii="Arial" w:cs="Arial" w:eastAsia="Arial" w:hAnsi="Arial"/>
      <w:b/>
      <w:bCs/>
      <w:color w:val="1F7A4D"/>
      <w:sz w:val="36"/>
      <w:szCs w:val="36"/>
    </w:rPr>
  </w:style>
  <w:style w:type="paragraph" w:styleId="Heading2">
    <w:name w:val="Heading 2"/>
    <w:basedOn w:val="Normal"/>
    <w:next w:val="Normal"/>
    <w:qFormat/>
    <w:pPr>
      <w:spacing w:before="180" w:after="150"/>
      <w:outlineLvl w:val="1"/>
    </w:pPr>
    <w:rPr>
      <w:rFonts w:ascii="Arial" w:cs="Arial" w:eastAsia="Arial" w:hAnsi="Arial"/>
      <w:b/>
      <w:bCs/>
      <w:color w:val="1A1A2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2026-03-09T07:03:21.172Z</dcterms:created>
  <dcterms:modified xsi:type="dcterms:W3CDTF">2026-03-09T07:03:21.172Z</dcterms:modified>
</cp:coreProperties>
</file>

<file path=docProps/custom.xml><?xml version="1.0" encoding="utf-8"?>
<Properties xmlns="http://schemas.openxmlformats.org/officeDocument/2006/custom-properties" xmlns:vt="http://schemas.openxmlformats.org/officeDocument/2006/docPropsVTypes"/>
</file>