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Payment Process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K) Subscription &amp; Billing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The payment process must be simple, secure, and flexible. EcoSkiller supports multiple payment methods suited to Indian educational institutions — from UPI for quick payments to bank transfers for large institutional payments — all with automatic GST-compliant invoicing.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UPI Payment: </w:t>
      </w:r>
      <w:r>
        <w:rPr>
          <w:rFonts w:ascii="Arial" w:cs="Arial" w:eastAsia="Arial" w:hAnsi="Arial"/>
          <w:sz w:val="22"/>
          <w:szCs w:val="22"/>
        </w:rPr>
        <w:t xml:space="preserve">Fastest payment method. Institute admin scans a QR code or enters EcoSkiller's UPI ID. Payment confirmed within seconds. Ideal for monthly subscription renewals. Works with all major UPI apps — GPay, PhonePe, Paytm, BHIM.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Net Banking: </w:t>
      </w:r>
      <w:r>
        <w:rPr>
          <w:rFonts w:ascii="Arial" w:cs="Arial" w:eastAsia="Arial" w:hAnsi="Arial"/>
          <w:sz w:val="22"/>
          <w:szCs w:val="22"/>
        </w:rPr>
        <w:t xml:space="preserve">Institute admin selects their bank from a list and is redirected to the bank's secure payment page. After authentication, payment is confirmed and institute is redirected back to EcoSkiller with subscription activated. All major Indian banks supported.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Credit &amp; Debit Card: </w:t>
      </w:r>
      <w:r>
        <w:rPr>
          <w:rFonts w:ascii="Arial" w:cs="Arial" w:eastAsia="Arial" w:hAnsi="Arial"/>
          <w:sz w:val="22"/>
          <w:szCs w:val="22"/>
        </w:rPr>
        <w:t xml:space="preserve">Visa, Mastercard, and RuPay cards accepted. 3D Secure authentication for all card payments. Card details are never stored on EcoSkiller servers — processed entirely through PCI-DSS compliant payment gateway.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Bank Transfer / NEFT / RTGS: </w:t>
      </w:r>
      <w:r>
        <w:rPr>
          <w:rFonts w:ascii="Arial" w:cs="Arial" w:eastAsia="Arial" w:hAnsi="Arial"/>
          <w:sz w:val="22"/>
          <w:szCs w:val="22"/>
        </w:rPr>
        <w:t xml:space="preserve">For large enterprise payments, bank transfer option is available. Institute admin gets EcoSkiller's bank account details and reference number. Payment is verified within 1-2 working days after transfer confirmation is uploaded.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Cheque Payment (Enterprise Only): </w:t>
      </w:r>
      <w:r>
        <w:rPr>
          <w:rFonts w:ascii="Arial" w:cs="Arial" w:eastAsia="Arial" w:hAnsi="Arial"/>
          <w:sz w:val="22"/>
          <w:szCs w:val="22"/>
        </w:rPr>
        <w:t xml:space="preserve">For government institutions and large enterprises that require cheque payment for accounting compliance, cheque acceptance is available. Cheque is couriered to EcoSkiller. Subscription activates after cheque clearance (3-5 working days).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Payment Confirmation: </w:t>
      </w:r>
      <w:r>
        <w:rPr>
          <w:rFonts w:ascii="Arial" w:cs="Arial" w:eastAsia="Arial" w:hAnsi="Arial"/>
          <w:sz w:val="22"/>
          <w:szCs w:val="22"/>
        </w:rPr>
        <w:t xml:space="preserve">Immediately after successful payment, institute admin receives: Email confirmation with transaction ID and amount, SMS confirmation on registered mobile, In-app notification showing plan activated and subscription end date.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Automatic GST Invoice: </w:t>
      </w:r>
      <w:r>
        <w:rPr>
          <w:rFonts w:ascii="Arial" w:cs="Arial" w:eastAsia="Arial" w:hAnsi="Arial"/>
          <w:sz w:val="22"/>
          <w:szCs w:val="22"/>
        </w:rPr>
        <w:t xml:space="preserve">Within 5 minutes of payment, a GST-compliant invoice is automatically generated and emailed to the institute. Invoice includes: Institute name, GSTIN (if provided), transaction ID, plan details, amount before GST, GST (18%), and total amount. Valid for accounting and tax filing.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Payment Security: </w:t>
      </w:r>
      <w:r>
        <w:rPr>
          <w:rFonts w:ascii="Arial" w:cs="Arial" w:eastAsia="Arial" w:hAnsi="Arial"/>
          <w:sz w:val="22"/>
          <w:szCs w:val="22"/>
        </w:rPr>
        <w:t xml:space="preserve">All payment pages use 256-bit SSL encryption. EcoSkiller is PCI-DSS Level 1 compliant. Payment gateway used is RBI-authorized. No payment data is stored on EcoSkiller servers. Security certificates are publicly verifiable.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Payment Failure Handling: </w:t>
      </w:r>
      <w:r>
        <w:rPr>
          <w:rFonts w:ascii="Arial" w:cs="Arial" w:eastAsia="Arial" w:hAnsi="Arial"/>
          <w:sz w:val="22"/>
          <w:szCs w:val="22"/>
        </w:rPr>
        <w:t xml:space="preserve">If payment fails (network issue, insufficient balance, bank decline), institute admin sees a clear error message with reason. They can retry immediately or choose a different payment method. Failed payment attempts are not charged.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Payment Receipt Download: </w:t>
      </w:r>
      <w:r>
        <w:rPr>
          <w:rFonts w:ascii="Arial" w:cs="Arial" w:eastAsia="Arial" w:hAnsi="Arial"/>
          <w:sz w:val="22"/>
          <w:szCs w:val="22"/>
        </w:rPr>
        <w:t xml:space="preserve">All payment receipts are permanently stored in the Billing section of the institute dashboard. Admin can download any historical receipt at any time — useful for audits, budget reports, and reimbursement claims.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2026-03-09T07:46:53.358Z</dcterms:created>
  <dcterms:modified xsi:type="dcterms:W3CDTF">2026-03-09T07:46:53.358Z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