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Invoice &amp; Receipt Generation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K) Subscription &amp; Billing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Indian educational institutions require GST-compliant invoices for accounting, tax filing, and reimbursement processes. EcoSkiller auto-generates professional invoices for every transaction — eliminating manual invoice creation and ensuring compliance.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Automatic Invoice Generation: </w:t>
      </w:r>
      <w:r>
        <w:rPr>
          <w:rFonts w:ascii="Arial" w:cs="Arial" w:eastAsia="Arial" w:hAnsi="Arial"/>
          <w:sz w:val="22"/>
          <w:szCs w:val="22"/>
        </w:rPr>
        <w:t xml:space="preserve">Every payment — initial subscription, renewal, upgrade, or any billing event — triggers automatic invoice generation within 5 minutes. No manual request needed. Invoice is emailed to the institute's billing email immediately.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GST Compliance: </w:t>
      </w:r>
      <w:r>
        <w:rPr>
          <w:rFonts w:ascii="Arial" w:cs="Arial" w:eastAsia="Arial" w:hAnsi="Arial"/>
          <w:sz w:val="22"/>
          <w:szCs w:val="22"/>
        </w:rPr>
        <w:t xml:space="preserve">All invoices are fully GST compliant — HSN/SAC code for educational software services, GSTIN of EcoSkiller (seller), Institute GSTIN (buyer, if provided), taxable amount, CGST (9%), SGST (9%) or IGST (18%), and total amount with tax. Valid for GST filing.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Invoice Number Series: </w:t>
      </w:r>
      <w:r>
        <w:rPr>
          <w:rFonts w:ascii="Arial" w:cs="Arial" w:eastAsia="Arial" w:hAnsi="Arial"/>
          <w:sz w:val="22"/>
          <w:szCs w:val="22"/>
        </w:rPr>
        <w:t xml:space="preserve">Each invoice has a unique sequential invoice number — ECO/2025-26/001234. Series resets each financial year. Sequential numbering is required for GST compliance and helps with accounting reconciliation.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Invoice Components: </w:t>
      </w:r>
      <w:r>
        <w:rPr>
          <w:rFonts w:ascii="Arial" w:cs="Arial" w:eastAsia="Arial" w:hAnsi="Arial"/>
          <w:sz w:val="22"/>
          <w:szCs w:val="22"/>
        </w:rPr>
        <w:t xml:space="preserve">Every invoice includes: EcoSkiller's registered business details, Institute's billing details, Invoice date and due date, Subscription plan name and period covered, Number of students in plan, Monthly/Annual rate, GST breakdown, and total amount payable or paid.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Institute GSTIN Input: </w:t>
      </w:r>
      <w:r>
        <w:rPr>
          <w:rFonts w:ascii="Arial" w:cs="Arial" w:eastAsia="Arial" w:hAnsi="Arial"/>
          <w:sz w:val="22"/>
          <w:szCs w:val="22"/>
        </w:rPr>
        <w:t xml:space="preserve">Institute admin enters their GSTIN in Billing Settings. Once entered, all future invoices include the institute's GSTIN as buyer. GSTIN format is validated in real time — incorrect format is flagged before saving.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PDF Invoice Download: </w:t>
      </w:r>
      <w:r>
        <w:rPr>
          <w:rFonts w:ascii="Arial" w:cs="Arial" w:eastAsia="Arial" w:hAnsi="Arial"/>
          <w:sz w:val="22"/>
          <w:szCs w:val="22"/>
        </w:rPr>
        <w:t xml:space="preserve">All invoices are downloadable as PDF from the Billing section. High-quality PDF with EcoSkiller letterhead, digital signature, and all required details. Print-ready format for physical records.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Invoice Email Customization: </w:t>
      </w:r>
      <w:r>
        <w:rPr>
          <w:rFonts w:ascii="Arial" w:cs="Arial" w:eastAsia="Arial" w:hAnsi="Arial"/>
          <w:sz w:val="22"/>
          <w:szCs w:val="22"/>
        </w:rPr>
        <w:t xml:space="preserve">Institute can set a separate billing email (example: accounts@institute.edu.in) different from the admin login email. All invoices go to this billing email. Multiple billing emails can be added — CC feature for accounts and admin both.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Invoice History Archive: </w:t>
      </w:r>
      <w:r>
        <w:rPr>
          <w:rFonts w:ascii="Arial" w:cs="Arial" w:eastAsia="Arial" w:hAnsi="Arial"/>
          <w:sz w:val="22"/>
          <w:szCs w:val="22"/>
        </w:rPr>
        <w:t xml:space="preserve">Complete invoice history is permanently accessible in Billing section. Search by date range, amount, or invoice number. Download individual invoices or bulk download all invoices for a financial year as a ZIP file.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Credit Note for Refunds: </w:t>
      </w:r>
      <w:r>
        <w:rPr>
          <w:rFonts w:ascii="Arial" w:cs="Arial" w:eastAsia="Arial" w:hAnsi="Arial"/>
          <w:sz w:val="22"/>
          <w:szCs w:val="22"/>
        </w:rPr>
        <w:t xml:space="preserve">When a refund is processed, a Credit Note is automatically generated — compliant with GST refund documentation requirements. Credit Note references the original invoice number and clearly states the reason for refund.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Proforma Invoice for Approval: </w:t>
      </w:r>
      <w:r>
        <w:rPr>
          <w:rFonts w:ascii="Arial" w:cs="Arial" w:eastAsia="Arial" w:hAnsi="Arial"/>
          <w:sz w:val="22"/>
          <w:szCs w:val="22"/>
        </w:rPr>
        <w:t xml:space="preserve">Before payment, institute can generate a Proforma Invoice — a pre-payment invoice showing exactly what will be charged. Useful for institutes that need finance department approval before paying. Proforma clearly marked as not a tax invoice.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2026-03-09T07:46:53.534Z</dcterms:created>
  <dcterms:modified xsi:type="dcterms:W3CDTF">2026-03-09T07:46:53.534Z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