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Payment History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K) Subscription &amp; Billing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Financial transparency and easy access to billing history are essential for institutional accounting. The Payment History Dashboard gives institute admin and finance team a complete, searchable record of all financial transactions with EcoSkiller.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Transaction List View: </w:t>
      </w:r>
      <w:r>
        <w:rPr>
          <w:rFonts w:ascii="Arial" w:cs="Arial" w:eastAsia="Arial" w:hAnsi="Arial"/>
          <w:sz w:val="22"/>
          <w:szCs w:val="22"/>
        </w:rPr>
        <w:t xml:space="preserve">All transactions shown in reverse chronological order — most recent first. Each row shows: Date, Transaction ID, Description (plan name + period), Amount, GST, Total, Payment Method, and Status (Paid, Pending, Failed, Refunded).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Filter &amp; Search: </w:t>
      </w:r>
      <w:r>
        <w:rPr>
          <w:rFonts w:ascii="Arial" w:cs="Arial" w:eastAsia="Arial" w:hAnsi="Arial"/>
          <w:sz w:val="22"/>
          <w:szCs w:val="22"/>
        </w:rPr>
        <w:t xml:space="preserve">Filter transactions by: Date range, Payment method, Amount range, Status (paid/refunded/failed). Search by transaction ID or invoice number. Quickly find any specific payment without scrolling through entire history.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Total Spend Summary: </w:t>
      </w:r>
      <w:r>
        <w:rPr>
          <w:rFonts w:ascii="Arial" w:cs="Arial" w:eastAsia="Arial" w:hAnsi="Arial"/>
          <w:sz w:val="22"/>
          <w:szCs w:val="22"/>
        </w:rPr>
        <w:t xml:space="preserve">Summary section at top shows: Total paid this financial year, Total paid last financial year, Average monthly spend, and Subscription plan value vs features used (ROI indicator). Helps finance team with budget planning.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Payment Method Breakdown: </w:t>
      </w:r>
      <w:r>
        <w:rPr>
          <w:rFonts w:ascii="Arial" w:cs="Arial" w:eastAsia="Arial" w:hAnsi="Arial"/>
          <w:sz w:val="22"/>
          <w:szCs w:val="22"/>
        </w:rPr>
        <w:t xml:space="preserve">Pie chart showing breakdown of payments by method — 60% UPI, 30% Net Banking, 10% Card. Useful for reconciliation and understanding which payment methods the institute relies on most.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Failed Payment Log: </w:t>
      </w:r>
      <w:r>
        <w:rPr>
          <w:rFonts w:ascii="Arial" w:cs="Arial" w:eastAsia="Arial" w:hAnsi="Arial"/>
          <w:sz w:val="22"/>
          <w:szCs w:val="22"/>
        </w:rPr>
        <w:t xml:space="preserve">All failed payment attempts are also logged — date, amount, reason for failure (bank decline, network error, card expired). Failed payments help identify payment method issues before they cause subscription lapses.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Refund History: </w:t>
      </w:r>
      <w:r>
        <w:rPr>
          <w:rFonts w:ascii="Arial" w:cs="Arial" w:eastAsia="Arial" w:hAnsi="Arial"/>
          <w:sz w:val="22"/>
          <w:szCs w:val="22"/>
        </w:rPr>
        <w:t xml:space="preserve">All refunds clearly shown with refund date, original transaction reference, refund amount, and refund reason. Refunds appear in a different color (typically orange or yellow) for easy identification.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Export to Excel / CSV: </w:t>
      </w:r>
      <w:r>
        <w:rPr>
          <w:rFonts w:ascii="Arial" w:cs="Arial" w:eastAsia="Arial" w:hAnsi="Arial"/>
          <w:sz w:val="22"/>
          <w:szCs w:val="22"/>
        </w:rPr>
        <w:t xml:space="preserve">Entire payment history or filtered subset can be exported to Excel or CSV. Useful for importing into accounting software (Tally, Zoho Books, etc.) or for chartered accountant review during audits.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Annual Financial Summary: </w:t>
      </w:r>
      <w:r>
        <w:rPr>
          <w:rFonts w:ascii="Arial" w:cs="Arial" w:eastAsia="Arial" w:hAnsi="Arial"/>
          <w:sz w:val="22"/>
          <w:szCs w:val="22"/>
        </w:rPr>
        <w:t xml:space="preserve">One-click generation of annual financial summary for any financial year — total subscriptions paid, GST paid, number of transactions, plan breakdown. PDF format suitable for including in institute's annual financial report.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Upcoming Payment Notification: </w:t>
      </w:r>
      <w:r>
        <w:rPr>
          <w:rFonts w:ascii="Arial" w:cs="Arial" w:eastAsia="Arial" w:hAnsi="Arial"/>
          <w:sz w:val="22"/>
          <w:szCs w:val="22"/>
        </w:rPr>
        <w:t xml:space="preserve">Dashboard shows upcoming payments — "Next renewal: March 15, 2025 — Rs 5,999 will be charged to UPI registered account." Gives finance team advance visibility to ensure funds are available.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Multi-User Billing Access: </w:t>
      </w:r>
      <w:r>
        <w:rPr>
          <w:rFonts w:ascii="Arial" w:cs="Arial" w:eastAsia="Arial" w:hAnsi="Arial"/>
          <w:sz w:val="22"/>
          <w:szCs w:val="22"/>
        </w:rPr>
        <w:t xml:space="preserve">Billing dashboard access can be given to a dedicated Finance Staff role — someone who can view and download billing information but cannot change subscription plans or access academic data. Separation of financial and academic roles.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2026-03-09T07:46:53.545Z</dcterms:created>
  <dcterms:modified xsi:type="dcterms:W3CDTF">2026-03-09T07:46:53.545Z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