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GST Compliant Billing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GST compliance is mandatory for all B2B transactions in India. Educational technology services attract 18% GST. EcoSkiller's billing system is fully designed to meet all GST requirements — for both EcoSkiller as the seller and the institute as the buyer.</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EcoSkiller GSTIN: </w:t>
      </w:r>
      <w:r>
        <w:rPr>
          <w:rFonts w:ascii="Arial" w:cs="Arial" w:eastAsia="Arial" w:hAnsi="Arial"/>
          <w:sz w:val="22"/>
          <w:szCs w:val="22"/>
        </w:rPr>
        <w:t xml:space="preserve">EcoSkiller's GST registration number is displayed on all invoices. EcoSkiller is registered under the GST regime as an Information Technology enabled Services (ITeS) provider. Registration is valid and current, verifiable on the GST portal.</w:t>
      </w:r>
    </w:p>
    <w:p>
      <w:pPr>
        <w:pStyle w:val="ListParagraph"/>
        <w:numPr>
          <w:ilvl w:val="0"/>
          <w:numId w:val="2"/>
        </w:numPr>
        <w:spacing w:after="120"/>
      </w:pPr>
      <w:r>
        <w:rPr>
          <w:rFonts w:ascii="Arial" w:cs="Arial" w:eastAsia="Arial" w:hAnsi="Arial"/>
          <w:b/>
          <w:bCs/>
          <w:color w:val="1F7A4D"/>
          <w:sz w:val="22"/>
          <w:szCs w:val="22"/>
        </w:rPr>
        <w:t xml:space="preserve">HSN/SAC Code: </w:t>
      </w:r>
      <w:r>
        <w:rPr>
          <w:rFonts w:ascii="Arial" w:cs="Arial" w:eastAsia="Arial" w:hAnsi="Arial"/>
          <w:sz w:val="22"/>
          <w:szCs w:val="22"/>
        </w:rPr>
        <w:t xml:space="preserve">The correct SAC (Service Accounting Code) for EcoSkiller's educational software services is applied on all invoices. SAC code determines the applicable GST rate — 18% for software services. Code is shown on invoice for buyer's records.</w:t>
      </w:r>
    </w:p>
    <w:p>
      <w:pPr>
        <w:pStyle w:val="ListParagraph"/>
        <w:numPr>
          <w:ilvl w:val="0"/>
          <w:numId w:val="2"/>
        </w:numPr>
        <w:spacing w:after="120"/>
      </w:pPr>
      <w:r>
        <w:rPr>
          <w:rFonts w:ascii="Arial" w:cs="Arial" w:eastAsia="Arial" w:hAnsi="Arial"/>
          <w:b/>
          <w:bCs/>
          <w:color w:val="1F7A4D"/>
          <w:sz w:val="22"/>
          <w:szCs w:val="22"/>
        </w:rPr>
        <w:t xml:space="preserve">IGST vs CGST+SGST Application: </w:t>
      </w:r>
      <w:r>
        <w:rPr>
          <w:rFonts w:ascii="Arial" w:cs="Arial" w:eastAsia="Arial" w:hAnsi="Arial"/>
          <w:sz w:val="22"/>
          <w:szCs w:val="22"/>
        </w:rPr>
        <w:t xml:space="preserve">If EcoSkiller (seller) and the institute (buyer) are in different states, IGST (18%) is applied on the invoice. If both are in Maharashtra for example, CGST (9%) + SGST (9%) is applied. Platform automatically determines the correct GST type based on state of supply rules.</w:t>
      </w:r>
    </w:p>
    <w:p>
      <w:pPr>
        <w:pStyle w:val="ListParagraph"/>
        <w:numPr>
          <w:ilvl w:val="0"/>
          <w:numId w:val="2"/>
        </w:numPr>
        <w:spacing w:after="120"/>
      </w:pPr>
      <w:r>
        <w:rPr>
          <w:rFonts w:ascii="Arial" w:cs="Arial" w:eastAsia="Arial" w:hAnsi="Arial"/>
          <w:b/>
          <w:bCs/>
          <w:color w:val="1F7A4D"/>
          <w:sz w:val="22"/>
          <w:szCs w:val="22"/>
        </w:rPr>
        <w:t xml:space="preserve">Institute GSTIN Capture: </w:t>
      </w:r>
      <w:r>
        <w:rPr>
          <w:rFonts w:ascii="Arial" w:cs="Arial" w:eastAsia="Arial" w:hAnsi="Arial"/>
          <w:sz w:val="22"/>
          <w:szCs w:val="22"/>
        </w:rPr>
        <w:t xml:space="preserve">Institute admin enters their institute's GSTIN in Billing Settings. Platform validates the GSTIN format (15 characters, specific structure) in real time. Validated GSTIN appears on all invoices as buyer GSTIN — enabling institute to claim Input Tax Credit (ITC).</w:t>
      </w:r>
    </w:p>
    <w:p>
      <w:pPr>
        <w:pStyle w:val="ListParagraph"/>
        <w:numPr>
          <w:ilvl w:val="0"/>
          <w:numId w:val="2"/>
        </w:numPr>
        <w:spacing w:after="120"/>
      </w:pPr>
      <w:r>
        <w:rPr>
          <w:rFonts w:ascii="Arial" w:cs="Arial" w:eastAsia="Arial" w:hAnsi="Arial"/>
          <w:b/>
          <w:bCs/>
          <w:color w:val="1F7A4D"/>
          <w:sz w:val="22"/>
          <w:szCs w:val="22"/>
        </w:rPr>
        <w:t xml:space="preserve">Input Tax Credit Eligibility: </w:t>
      </w:r>
      <w:r>
        <w:rPr>
          <w:rFonts w:ascii="Arial" w:cs="Arial" w:eastAsia="Arial" w:hAnsi="Arial"/>
          <w:sz w:val="22"/>
          <w:szCs w:val="22"/>
        </w:rPr>
        <w:t xml:space="preserve">Institutes registered under GST can claim ITC on the GST paid to EcoSkiller. EcoSkiller's invoices include all required details for ITC claims — seller GSTIN, buyer GSTIN, invoice number, date, taxable amount, and GST amount.</w:t>
      </w:r>
    </w:p>
    <w:p>
      <w:pPr>
        <w:pStyle w:val="ListParagraph"/>
        <w:numPr>
          <w:ilvl w:val="0"/>
          <w:numId w:val="2"/>
        </w:numPr>
        <w:spacing w:after="120"/>
      </w:pPr>
      <w:r>
        <w:rPr>
          <w:rFonts w:ascii="Arial" w:cs="Arial" w:eastAsia="Arial" w:hAnsi="Arial"/>
          <w:b/>
          <w:bCs/>
          <w:color w:val="1F7A4D"/>
          <w:sz w:val="22"/>
          <w:szCs w:val="22"/>
        </w:rPr>
        <w:t xml:space="preserve">GSTR-1 Filing Support: </w:t>
      </w:r>
      <w:r>
        <w:rPr>
          <w:rFonts w:ascii="Arial" w:cs="Arial" w:eastAsia="Arial" w:hAnsi="Arial"/>
          <w:sz w:val="22"/>
          <w:szCs w:val="22"/>
        </w:rPr>
        <w:t xml:space="preserve">EcoSkiller files its GSTR-1 (outward supply return) on time every month. Institutes can see their transactions reflected in GSTR-2B (auto-populated ITC statement) within the GST portal after EcoSkiller files. Seamless ITC reconciliation.</w:t>
      </w:r>
    </w:p>
    <w:p>
      <w:pPr>
        <w:pStyle w:val="ListParagraph"/>
        <w:numPr>
          <w:ilvl w:val="0"/>
          <w:numId w:val="2"/>
        </w:numPr>
        <w:spacing w:after="120"/>
      </w:pPr>
      <w:r>
        <w:rPr>
          <w:rFonts w:ascii="Arial" w:cs="Arial" w:eastAsia="Arial" w:hAnsi="Arial"/>
          <w:b/>
          <w:bCs/>
          <w:color w:val="1F7A4D"/>
          <w:sz w:val="22"/>
          <w:szCs w:val="22"/>
        </w:rPr>
        <w:t xml:space="preserve">Annual GST Summary for Institutes: </w:t>
      </w:r>
      <w:r>
        <w:rPr>
          <w:rFonts w:ascii="Arial" w:cs="Arial" w:eastAsia="Arial" w:hAnsi="Arial"/>
          <w:sz w:val="22"/>
          <w:szCs w:val="22"/>
        </w:rPr>
        <w:t xml:space="preserve">At end of each financial year, EcoSkiller provides each institute with a GST summary statement — total GST paid to EcoSkiller during the year, broken down by month. Useful for annual ITC reconciliation and audit.</w:t>
      </w:r>
    </w:p>
    <w:p>
      <w:pPr>
        <w:pStyle w:val="ListParagraph"/>
        <w:numPr>
          <w:ilvl w:val="0"/>
          <w:numId w:val="2"/>
        </w:numPr>
        <w:spacing w:after="120"/>
      </w:pPr>
      <w:r>
        <w:rPr>
          <w:rFonts w:ascii="Arial" w:cs="Arial" w:eastAsia="Arial" w:hAnsi="Arial"/>
          <w:b/>
          <w:bCs/>
          <w:color w:val="1F7A4D"/>
          <w:sz w:val="22"/>
          <w:szCs w:val="22"/>
        </w:rPr>
        <w:t xml:space="preserve">Reverse Charge Mechanism Handling: </w:t>
      </w:r>
      <w:r>
        <w:rPr>
          <w:rFonts w:ascii="Arial" w:cs="Arial" w:eastAsia="Arial" w:hAnsi="Arial"/>
          <w:sz w:val="22"/>
          <w:szCs w:val="22"/>
        </w:rPr>
        <w:t xml:space="preserve">For government institutions that may be subject to Reverse Charge Mechanism (RCM) on certain services, invoices are clearly marked. RCM applicability is determined by GST rules and clearly communicated on the invoice.</w:t>
      </w:r>
    </w:p>
    <w:p>
      <w:pPr>
        <w:pStyle w:val="ListParagraph"/>
        <w:numPr>
          <w:ilvl w:val="0"/>
          <w:numId w:val="2"/>
        </w:numPr>
        <w:spacing w:after="120"/>
      </w:pPr>
      <w:r>
        <w:rPr>
          <w:rFonts w:ascii="Arial" w:cs="Arial" w:eastAsia="Arial" w:hAnsi="Arial"/>
          <w:b/>
          <w:bCs/>
          <w:color w:val="1F7A4D"/>
          <w:sz w:val="22"/>
          <w:szCs w:val="22"/>
        </w:rPr>
        <w:t xml:space="preserve">Credit Note GST Compliance: </w:t>
      </w:r>
      <w:r>
        <w:rPr>
          <w:rFonts w:ascii="Arial" w:cs="Arial" w:eastAsia="Arial" w:hAnsi="Arial"/>
          <w:sz w:val="22"/>
          <w:szCs w:val="22"/>
        </w:rPr>
        <w:t xml:space="preserve">When a refund is issued, a GST-compliant Credit Note is generated — referencing the original invoice, showing the GST amount being reversed. Institute can use this Credit Note to reverse the ITC previously claimed.</w:t>
      </w:r>
    </w:p>
    <w:p>
      <w:pPr>
        <w:pStyle w:val="ListParagraph"/>
        <w:numPr>
          <w:ilvl w:val="0"/>
          <w:numId w:val="2"/>
        </w:numPr>
        <w:spacing w:after="120"/>
      </w:pPr>
      <w:r>
        <w:rPr>
          <w:rFonts w:ascii="Arial" w:cs="Arial" w:eastAsia="Arial" w:hAnsi="Arial"/>
          <w:b/>
          <w:bCs/>
          <w:color w:val="1F7A4D"/>
          <w:sz w:val="22"/>
          <w:szCs w:val="22"/>
        </w:rPr>
        <w:t xml:space="preserve">GST Registration Assistance: </w:t>
      </w:r>
      <w:r>
        <w:rPr>
          <w:rFonts w:ascii="Arial" w:cs="Arial" w:eastAsia="Arial" w:hAnsi="Arial"/>
          <w:sz w:val="22"/>
          <w:szCs w:val="22"/>
        </w:rPr>
        <w:t xml:space="preserve">Institutes that are not yet GST registered but wish to claim ITC on EcoSkiller subscription can use EcoSkiller's resources to understand the GST registration process. EcoSkiller partners with chartered accountants who offer discounted GST registration assistance to EcoSkiller customers.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2026-03-09T07:46:53.635Z</dcterms:created>
  <dcterms:modified xsi:type="dcterms:W3CDTF">2026-03-09T07:46:53.635Z</dcterms:modified>
</cp:coreProperties>
</file>

<file path=docProps/custom.xml><?xml version="1.0" encoding="utf-8"?>
<Properties xmlns="http://schemas.openxmlformats.org/officeDocument/2006/custom-properties" xmlns:vt="http://schemas.openxmlformats.org/officeDocument/2006/docPropsVTypes"/>
</file>