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Sponsor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Sponsors make bigger prizes possible and reduce the financial burden on institutes. Sponsor Management gives institutes a professional way to bring corporate and community sponsors into their tournaments.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Sponsor Profile Creation: </w:t>
      </w:r>
      <w:r>
        <w:rPr>
          <w:rFonts w:ascii="Arial" w:cs="Arial" w:eastAsia="Arial" w:hAnsi="Arial"/>
          <w:sz w:val="22"/>
          <w:szCs w:val="22"/>
        </w:rPr>
        <w:t xml:space="preserve">Institute admin creates sponsor profiles — sponsor company name, logo, sponsorship amount or kind, and specific tournament they are sponsoring. Multiple sponsors per tournament are supported.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Sponsorship Tiers: </w:t>
      </w:r>
      <w:r>
        <w:rPr>
          <w:rFonts w:ascii="Arial" w:cs="Arial" w:eastAsia="Arial" w:hAnsi="Arial"/>
          <w:sz w:val="22"/>
          <w:szCs w:val="22"/>
        </w:rPr>
        <w:t xml:space="preserve">Define sponsorship tiers — Title Sponsor (highest visibility, exclusive naming rights), Gold Sponsor (prominent logo placement), Silver Sponsor (standard logo placement), and Community Sponsor (acknowledgment only).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Sponsor Logo Display: </w:t>
      </w:r>
      <w:r>
        <w:rPr>
          <w:rFonts w:ascii="Arial" w:cs="Arial" w:eastAsia="Arial" w:hAnsi="Arial"/>
          <w:sz w:val="22"/>
          <w:szCs w:val="22"/>
        </w:rPr>
        <w:t xml:space="preserve">Sponsor logos automatically appear on: Tournament landing page, Competition bracket page, Certificate design (if Title Sponsor), and Post-tournament announcement. Sponsors get agreed-upon visibility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Sponsorship Agreement Documentation: </w:t>
      </w:r>
      <w:r>
        <w:rPr>
          <w:rFonts w:ascii="Arial" w:cs="Arial" w:eastAsia="Arial" w:hAnsi="Arial"/>
          <w:sz w:val="22"/>
          <w:szCs w:val="22"/>
        </w:rPr>
        <w:t xml:space="preserve">Institute uploads the sponsorship agreement document on the platform. This creates a formal record — what was promised to the sponsor and what was delivered. Transparency and accountability on both sides.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Prize Pool Management: </w:t>
      </w:r>
      <w:r>
        <w:rPr>
          <w:rFonts w:ascii="Arial" w:cs="Arial" w:eastAsia="Arial" w:hAnsi="Arial"/>
          <w:sz w:val="22"/>
          <w:szCs w:val="22"/>
        </w:rPr>
        <w:t xml:space="preserve">If sponsors contribute cash prizes, the prize pool is tracked on platform — total pool, breakdown by placement (1st: 50%, 2nd: 30%, 3rd: 20%). Transparent to all participants from the start.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Sponsor Communication: </w:t>
      </w:r>
      <w:r>
        <w:rPr>
          <w:rFonts w:ascii="Arial" w:cs="Arial" w:eastAsia="Arial" w:hAnsi="Arial"/>
          <w:sz w:val="22"/>
          <w:szCs w:val="22"/>
        </w:rPr>
        <w:t xml:space="preserve">Institute can share real-time tournament updates with sponsors — participation count, photos, leaderboard. Sponsors see the impact of their investment in real time. Builds long-term sponsorship relationships.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Post-Tournament Sponsor Report: </w:t>
      </w:r>
      <w:r>
        <w:rPr>
          <w:rFonts w:ascii="Arial" w:cs="Arial" w:eastAsia="Arial" w:hAnsi="Arial"/>
          <w:sz w:val="22"/>
          <w:szCs w:val="22"/>
        </w:rPr>
        <w:t xml:space="preserve">After tournament, platform generates a sponsor impact report — number of participants, reach (parents and students who saw sponsor logo), media coverage if any, and student engagement. Professional reporting increases sponsor renewal likelihood.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CSR Compliance Documentation: </w:t>
      </w:r>
      <w:r>
        <w:rPr>
          <w:rFonts w:ascii="Arial" w:cs="Arial" w:eastAsia="Arial" w:hAnsi="Arial"/>
          <w:sz w:val="22"/>
          <w:szCs w:val="22"/>
        </w:rPr>
        <w:t xml:space="preserve">For corporate sponsors using tournament sponsorship as part of their CSR initiatives, platform generates CSR compliance documentation — tournament purpose, beneficiary count, social impact. Valuable for sponsor's own reporting.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2026-03-09T07:16:39.780Z</dcterms:created>
  <dcterms:modified xsi:type="dcterms:W3CDTF">2026-03-09T07:16:39.780Z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