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
      </w:pPr>
      <w:r>
        <w:rPr>
          <w:rFonts w:ascii="Arial" w:cs="Arial" w:eastAsia="Arial" w:hAnsi="Arial"/>
          <w:b/>
          <w:bCs/>
          <w:color w:val="1B5E20"/>
          <w:sz w:val="72"/>
          <w:szCs w:val="72"/>
        </w:rPr>
        <w:t xml:space="preserve">ECOSKILLER</w:t>
      </w:r>
    </w:p>
    <w:p>
      <w:pPr>
        <w:spacing w:before="0" w:after="60"/>
      </w:pPr>
      <w:r>
        <w:rPr>
          <w:rFonts w:ascii="Arial" w:cs="Arial" w:eastAsia="Arial" w:hAnsi="Arial"/>
          <w:b/>
          <w:bCs/>
          <w:color w:val="00695C"/>
          <w:sz w:val="40"/>
          <w:szCs w:val="40"/>
        </w:rPr>
        <w:t xml:space="preserve">Mentor Module</w:t>
      </w:r>
    </w:p>
    <w:p>
      <w:pPr>
        <w:spacing w:before="0" w:after="60"/>
      </w:pPr>
      <w:r>
        <w:rPr>
          <w:rFonts w:ascii="Arial" w:cs="Arial" w:eastAsia="Arial" w:hAnsi="Arial"/>
          <w:b/>
          <w:bCs/>
          <w:color w:val="388E3C"/>
          <w:sz w:val="32"/>
          <w:szCs w:val="32"/>
        </w:rPr>
        <w:t xml:space="preserve">Section E: Earnings &amp; Growth</w:t>
      </w:r>
    </w:p>
    <w:p>
      <w:pPr>
        <w:spacing w:before="0" w:after="60"/>
      </w:pPr>
      <w:r>
        <w:rPr>
          <w:rFonts w:ascii="Arial" w:cs="Arial" w:eastAsia="Arial" w:hAnsi="Arial"/>
          <w:color w:val="616161"/>
          <w:sz w:val="24"/>
          <w:szCs w:val="24"/>
        </w:rPr>
        <w:t xml:space="preserve">Complete Feature Documentation</w:t>
      </w:r>
    </w:p>
    <w:p>
      <w:pPr>
        <w:spacing w:before="0" w:after="500"/>
      </w:pPr>
      <w:r>
        <w:rPr>
          <w:rFonts w:ascii="Arial" w:cs="Arial" w:eastAsia="Arial" w:hAnsi="Arial"/>
          <w:i/>
          <w:iCs/>
          <w:color w:val="616161"/>
          <w:sz w:val="20"/>
          <w:szCs w:val="20"/>
        </w:rPr>
        <w:t xml:space="preserve">Version 1.0  |  March 2026  |  Confidential</w:t>
      </w:r>
    </w:p>
    <w:p>
      <w:pPr>
        <w:pBdr>
          <w:bottom w:val="single" w:color="1B5E20" w:sz="16" w:space="1"/>
        </w:pBdr>
        <w:spacing w:before="0" w:after="0"/>
      </w:pPr>
    </w:p>
    <w:p>
      <w:pPr>
        <w:spacing w:before="400" w:after="100"/>
      </w:pPr>
      <w:r>
        <w:rPr>
          <w:rFonts w:ascii="Arial" w:cs="Arial" w:eastAsia="Arial" w:hAnsi="Arial"/>
          <w:b/>
          <w:bCs/>
          <w:color w:val="1B5E20"/>
          <w:sz w:val="28"/>
          <w:szCs w:val="28"/>
        </w:rPr>
        <w:t xml:space="preserve">About This Document</w:t>
      </w:r>
    </w:p>
    <w:p>
      <w:pPr>
        <w:spacing w:before="80" w:after="80" w:line="276"/>
        <w:jc w:val="left"/>
      </w:pPr>
      <w:r>
        <w:rPr>
          <w:rFonts w:ascii="Arial" w:cs="Arial" w:eastAsia="Arial" w:hAnsi="Arial"/>
          <w:b w:val="false"/>
          <w:bCs w:val="false"/>
          <w:i w:val="false"/>
          <w:iCs w:val="false"/>
          <w:color w:val="1A1A1A"/>
          <w:sz w:val="22"/>
          <w:szCs w:val="22"/>
        </w:rPr>
        <w:t xml:space="preserve">This document provides complete operational documentation for Section E (Earnings &amp; Growth) of the EcoSkiller Mentor Module. It covers all 8 features in full detail — including purpose, functionality, end-to-end workflow, real-world example scenarios, visibility rules, and implementation checklists.</w:t>
      </w:r>
    </w:p>
    <w:p>
      <w:pPr>
        <w:spacing w:before="80" w:after="80" w:line="276"/>
        <w:jc w:val="left"/>
      </w:pPr>
      <w:r>
        <w:rPr>
          <w:rFonts w:ascii="Arial" w:cs="Arial" w:eastAsia="Arial" w:hAnsi="Arial"/>
          <w:b w:val="false"/>
          <w:bCs w:val="false"/>
          <w:i w:val="false"/>
          <w:iCs w:val="false"/>
          <w:color w:val="1A1A1A"/>
          <w:sz w:val="22"/>
          <w:szCs w:val="22"/>
        </w:rPr>
        <w:t xml:space="preserve">Section E is the financial and strategic intelligence layer of the Mentor Module. It answers three fundamental questions every mentor has: How much will I earn? When will I be paid? And how do I grow? The 8 features move from the tactical (setting a fee, receiving a payout) to the strategic (understanding which activities drive the most income, which domains have the highest demand, and what the platform's composite quality score says about a mentor's market position).</w:t>
      </w:r>
    </w:p>
    <w:p>
      <w:pPr>
        <w:spacing w:before="80" w:after="300" w:line="276"/>
        <w:jc w:val="left"/>
      </w:pPr>
      <w:r>
        <w:rPr>
          <w:rFonts w:ascii="Arial" w:cs="Arial" w:eastAsia="Arial" w:hAnsi="Arial"/>
          <w:b w:val="false"/>
          <w:bCs w:val="false"/>
          <w:i w:val="false"/>
          <w:iCs w:val="false"/>
          <w:color w:val="1A1A1A"/>
          <w:sz w:val="22"/>
          <w:szCs w:val="22"/>
        </w:rPr>
        <w:t xml:space="preserve">Unlike the other sections which focus on what mentors do for students, Section E focuses on what the platform does for mentors — providing transparent earnings, reliable payments, actionable analytics, and a credibility framework that rewards quality with visibility and income growth.</w:t>
      </w:r>
    </w:p>
    <w:p>
      <w:pPr>
        <w:pBdr>
          <w:bottom w:val="single" w:color="1B5E20" w:sz="6" w:space="2"/>
        </w:pBdr>
        <w:spacing w:before="300" w:after="120"/>
      </w:pPr>
      <w:r>
        <w:rPr>
          <w:rFonts w:ascii="Arial" w:cs="Arial" w:eastAsia="Arial" w:hAnsi="Arial"/>
          <w:b/>
          <w:bCs/>
          <w:color w:val="1B5E20"/>
          <w:sz w:val="26"/>
          <w:szCs w:val="26"/>
        </w:rPr>
        <w:t xml:space="preserve">Section E — Feature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400"/>
        <w:gridCol w:w="3600"/>
        <w:gridCol w:w="2820"/>
      </w:tblGrid>
      <w:tr>
        <w:trPr>
          <w:tblHeader/>
        </w:trPr>
        <w:tc>
          <w:tcPr>
            <w:tcW w:type="dxa" w:w="54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No.</w:t>
            </w:r>
          </w:p>
        </w:tc>
        <w:tc>
          <w:tcPr>
            <w:tcW w:type="dxa" w:w="24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Feature Name</w:t>
            </w:r>
          </w:p>
        </w:tc>
        <w:tc>
          <w:tcPr>
            <w:tcW w:type="dxa" w:w="36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Core Purpose</w:t>
            </w:r>
          </w:p>
        </w:tc>
        <w:tc>
          <w:tcPr>
            <w:tcW w:type="dxa" w:w="282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Key Metric</w:t>
            </w:r>
          </w:p>
        </w:tc>
      </w:tr>
      <w:tr>
        <w:tc>
          <w:tcPr>
            <w:tcW w:type="dxa" w:w="54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1</w:t>
            </w:r>
          </w:p>
        </w:tc>
        <w:tc>
          <w:tcPr>
            <w:tcW w:type="dxa" w:w="2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Session Fee Setting</w:t>
            </w:r>
          </w:p>
        </w:tc>
        <w:tc>
          <w:tcPr>
            <w:tcW w:type="dxa" w:w="3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Empower mentors to price their own sessions competitively and accurately — with platform guidance to optimise earnings without ...</w:t>
            </w:r>
          </w:p>
        </w:tc>
        <w:tc>
          <w:tcPr>
            <w:tcW w:type="dxa" w:w="282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Suggested fee range + Price Sensitivity Indicator</w:t>
            </w:r>
          </w:p>
        </w:tc>
      </w:tr>
      <w:tr>
        <w:tc>
          <w:tcPr>
            <w:tcW w:type="dxa" w:w="54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2</w:t>
            </w:r>
          </w:p>
        </w:tc>
        <w:tc>
          <w:tcPr>
            <w:tcW w:type="dxa" w:w="2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Earnings Dashboard</w:t>
            </w:r>
          </w:p>
        </w:tc>
        <w:tc>
          <w:tcPr>
            <w:tcW w:type="dxa" w:w="3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Give mentors a complete, real-time, and fully transparent view of all income streams — enabling informed decisions about time a...</w:t>
            </w:r>
          </w:p>
        </w:tc>
        <w:tc>
          <w:tcPr>
            <w:tcW w:type="dxa" w:w="282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4 income stream breakdown + 12-month bar chart</w:t>
            </w:r>
          </w:p>
        </w:tc>
      </w:tr>
      <w:tr>
        <w:tc>
          <w:tcPr>
            <w:tcW w:type="dxa" w:w="54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3</w:t>
            </w:r>
          </w:p>
        </w:tc>
        <w:tc>
          <w:tcPr>
            <w:tcW w:type="dxa" w:w="2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Revenue Share Model</w:t>
            </w:r>
          </w:p>
        </w:tc>
        <w:tc>
          <w:tcPr>
            <w:tcW w:type="dxa" w:w="3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Define a clear, fair, and consistently applied financial split between mentors and the platform — ensuring mentors understand e...</w:t>
            </w:r>
          </w:p>
        </w:tc>
        <w:tc>
          <w:tcPr>
            <w:tcW w:type="dxa" w:w="282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70% session share / 10% project commission / flat referral bonus</w:t>
            </w:r>
          </w:p>
        </w:tc>
      </w:tr>
      <w:tr>
        <w:tc>
          <w:tcPr>
            <w:tcW w:type="dxa" w:w="54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4</w:t>
            </w:r>
          </w:p>
        </w:tc>
        <w:tc>
          <w:tcPr>
            <w:tcW w:type="dxa" w:w="2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Payment Schedule</w:t>
            </w:r>
          </w:p>
        </w:tc>
        <w:tc>
          <w:tcPr>
            <w:tcW w:type="dxa" w:w="3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Ensure mentors receive their earned income on a reliable, predictable, and fully automated schedule — with no manual chasing, i...</w:t>
            </w:r>
          </w:p>
        </w:tc>
        <w:tc>
          <w:tcPr>
            <w:tcW w:type="dxa" w:w="282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Monthly payout on 5th / weekly option for Score 75+</w:t>
            </w:r>
          </w:p>
        </w:tc>
      </w:tr>
      <w:tr>
        <w:tc>
          <w:tcPr>
            <w:tcW w:type="dxa" w:w="54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5</w:t>
            </w:r>
          </w:p>
        </w:tc>
        <w:tc>
          <w:tcPr>
            <w:tcW w:type="dxa" w:w="2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Referral Bonus</w:t>
            </w:r>
          </w:p>
        </w:tc>
        <w:tc>
          <w:tcPr>
            <w:tcW w:type="dxa" w:w="3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Incentivise mentors to organically grow the platform's mentor network by recommending qualified professionals from their own ne...</w:t>
            </w:r>
          </w:p>
        </w:tc>
        <w:tc>
          <w:tcPr>
            <w:tcW w:type="dxa" w:w="282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₹3,000–₹5,000 per qualifying referral after 3 active months</w:t>
            </w:r>
          </w:p>
        </w:tc>
      </w:tr>
      <w:tr>
        <w:tc>
          <w:tcPr>
            <w:tcW w:type="dxa" w:w="54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6</w:t>
            </w:r>
          </w:p>
        </w:tc>
        <w:tc>
          <w:tcPr>
            <w:tcW w:type="dxa" w:w="2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Success Rate Tracking</w:t>
            </w:r>
          </w:p>
        </w:tc>
        <w:tc>
          <w:tcPr>
            <w:tcW w:type="dxa" w:w="3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Measure and display the single most important outcome metric for a career mentor — the percentage of their students who achieve...</w:t>
            </w:r>
          </w:p>
        </w:tc>
        <w:tc>
          <w:tcPr>
            <w:tcW w:type="dxa" w:w="282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Placement rate % + average days to placement</w:t>
            </w:r>
          </w:p>
        </w:tc>
      </w:tr>
      <w:tr>
        <w:tc>
          <w:tcPr>
            <w:tcW w:type="dxa" w:w="54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7</w:t>
            </w:r>
          </w:p>
        </w:tc>
        <w:tc>
          <w:tcPr>
            <w:tcW w:type="dxa" w:w="2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Credibility Score</w:t>
            </w:r>
          </w:p>
        </w:tc>
        <w:tc>
          <w:tcPr>
            <w:tcW w:type="dxa" w:w="3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Provide a single, composite, platform-calculated metric (0–100) that reflects the mentor's overall quality across all dimension...</w:t>
            </w:r>
          </w:p>
        </w:tc>
        <w:tc>
          <w:tcPr>
            <w:tcW w:type="dxa" w:w="282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Composite 0–100 score from 6 weighted components</w:t>
            </w:r>
          </w:p>
        </w:tc>
      </w:tr>
      <w:tr>
        <w:tc>
          <w:tcPr>
            <w:tcW w:type="dxa" w:w="54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8</w:t>
            </w:r>
          </w:p>
        </w:tc>
        <w:tc>
          <w:tcPr>
            <w:tcW w:type="dxa" w:w="2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Growth Insights</w:t>
            </w:r>
          </w:p>
        </w:tc>
        <w:tc>
          <w:tcPr>
            <w:tcW w:type="dxa" w:w="3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Provide mentors with actionable, data-driven intelligence about their own performance patterns — enabling them to optimise thei...</w:t>
            </w:r>
          </w:p>
        </w:tc>
        <w:tc>
          <w:tcPr>
            <w:tcW w:type="dxa" w:w="282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5 insight categories with plain-language action recommendations</w:t>
            </w:r>
          </w:p>
        </w:tc>
      </w:tr>
    </w:tbl>
    <w:p>
      <w:pPr>
        <w:spacing w:before="400" w:after="0"/>
      </w:pPr>
    </w:p>
    <w:p>
      <w:pPr>
        <w:pageBreakBefore/>
        <w:spacing w:before="0" w:after="0"/>
      </w:pPr>
    </w:p>
    <w:p>
      <w:pPr>
        <w:pBdr>
          <w:bottom w:val="single" w:color="1B5E20" w:sz="6" w:space="2"/>
        </w:pBdr>
        <w:spacing w:before="200" w:after="120"/>
      </w:pPr>
      <w:r>
        <w:rPr>
          <w:rFonts w:ascii="Arial" w:cs="Arial" w:eastAsia="Arial" w:hAnsi="Arial"/>
          <w:b/>
          <w:bCs/>
          <w:color w:val="1B5E20"/>
          <w:sz w:val="26"/>
          <w:szCs w:val="26"/>
        </w:rPr>
        <w:t xml:space="preserve">All Mentor Income Streams — Master Reference</w:t>
      </w:r>
    </w:p>
    <w:p>
      <w:pPr>
        <w:spacing w:before="80" w:after="160" w:line="276"/>
        <w:jc w:val="left"/>
      </w:pPr>
      <w:r>
        <w:rPr>
          <w:rFonts w:ascii="Arial" w:cs="Arial" w:eastAsia="Arial" w:hAnsi="Arial"/>
          <w:b w:val="false"/>
          <w:bCs w:val="false"/>
          <w:i/>
          <w:iCs/>
          <w:color w:val="616161"/>
          <w:sz w:val="22"/>
          <w:szCs w:val="22"/>
        </w:rPr>
        <w:t xml:space="preserve">A mentor on EcoSkiller can earn from four distinct income streams. This table provides a complete reference for all streams — share percentage, calculation basis, payout timing, and monthly income potential at different activity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160"/>
        <w:gridCol w:w="1600"/>
        <w:gridCol w:w="2600"/>
      </w:tblGrid>
      <w:tr>
        <w:trPr>
          <w:tblHeader/>
        </w:trPr>
        <w:tc>
          <w:tcPr>
            <w:tcW w:type="dxa" w:w="19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Income Stream</w:t>
            </w:r>
          </w:p>
        </w:tc>
        <w:tc>
          <w:tcPr>
            <w:tcW w:type="dxa" w:w="11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0"/>
                <w:szCs w:val="20"/>
              </w:rPr>
              <w:t xml:space="preserve">Share</w:t>
            </w:r>
          </w:p>
        </w:tc>
        <w:tc>
          <w:tcPr>
            <w:tcW w:type="dxa" w:w="21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Calculation</w:t>
            </w:r>
          </w:p>
        </w:tc>
        <w:tc>
          <w:tcPr>
            <w:tcW w:type="dxa" w:w="16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Payout Timing</w:t>
            </w:r>
          </w:p>
        </w:tc>
        <w:tc>
          <w:tcPr>
            <w:tcW w:type="dxa" w:w="26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Monthly Potential (Examples)</w:t>
            </w:r>
          </w:p>
        </w:tc>
      </w:tr>
      <w:tr>
        <w:tc>
          <w:tcPr>
            <w:tcW w:type="dxa" w:w="19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1-on-1 Sessions</w:t>
            </w:r>
          </w:p>
        </w:tc>
        <w:tc>
          <w:tcPr>
            <w:tcW w:type="dxa" w:w="11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70%</w:t>
            </w:r>
          </w:p>
        </w:tc>
        <w:tc>
          <w:tcPr>
            <w:tcW w:type="dxa" w:w="21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70% of session fee set by mentor</w:t>
            </w:r>
          </w:p>
        </w:tc>
        <w:tc>
          <w:tcPr>
            <w:tcW w:type="dxa" w:w="1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Monthly (5th)</w:t>
            </w:r>
          </w:p>
        </w:tc>
        <w:tc>
          <w:tcPr>
            <w:tcW w:type="dxa" w:w="2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8 sessions × ₹900 × 70% = ₹5,040 / 15 sessions × ₹1,300 × 70% = ₹13,650</w:t>
            </w:r>
          </w:p>
        </w:tc>
      </w:tr>
      <w:tr>
        <w:tc>
          <w:tcPr>
            <w:tcW w:type="dxa" w:w="190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Group Sessions</w:t>
            </w:r>
          </w:p>
        </w:tc>
        <w:tc>
          <w:tcPr>
            <w:tcW w:type="dxa" w:w="110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00695C"/>
                <w:sz w:val="20"/>
                <w:szCs w:val="20"/>
              </w:rPr>
              <w:t xml:space="preserve">70%</w:t>
            </w:r>
          </w:p>
        </w:tc>
        <w:tc>
          <w:tcPr>
            <w:tcW w:type="dxa" w:w="21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70% of total student fees collected for the session</w:t>
            </w:r>
          </w:p>
        </w:tc>
        <w:tc>
          <w:tcPr>
            <w:tcW w:type="dxa" w:w="160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Monthly (5th)</w:t>
            </w:r>
          </w:p>
        </w:tc>
        <w:tc>
          <w:tcPr>
            <w:tcW w:type="dxa" w:w="260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2 sessions × 10 students × ₹300 × 70% = ₹4,200 / month</w:t>
            </w:r>
          </w:p>
        </w:tc>
      </w:tr>
      <w:tr>
        <w:tc>
          <w:tcPr>
            <w:tcW w:type="dxa" w:w="1900"/>
            <w:gridSpan w:val="1"/>
            <w:tcBorders>
              <w:top w:val="single" w:color="C8E6C9" w:sz="4"/>
              <w:left w:val="single" w:color="C8E6C9" w:sz="4"/>
              <w:bottom w:val="single" w:color="C8E6C9" w:sz="4"/>
              <w:right w:val="single" w:color="C8E6C9" w:sz="4"/>
            </w:tcBorders>
            <w:shd w:fill="FFF8E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Project Commissions</w:t>
            </w:r>
          </w:p>
        </w:tc>
        <w:tc>
          <w:tcPr>
            <w:tcW w:type="dxa" w:w="1100"/>
            <w:gridSpan w:val="1"/>
            <w:tcBorders>
              <w:top w:val="single" w:color="C8E6C9" w:sz="4"/>
              <w:left w:val="single" w:color="C8E6C9" w:sz="4"/>
              <w:bottom w:val="single" w:color="C8E6C9" w:sz="4"/>
              <w:right w:val="single" w:color="C8E6C9" w:sz="4"/>
            </w:tcBorders>
            <w:shd w:fill="FFF8E1"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57F17"/>
                <w:sz w:val="20"/>
                <w:szCs w:val="20"/>
              </w:rPr>
              <w:t xml:space="preserve">10%</w:t>
            </w:r>
          </w:p>
        </w:tc>
        <w:tc>
          <w:tcPr>
            <w:tcW w:type="dxa" w:w="2160"/>
            <w:gridSpan w:val="1"/>
            <w:tcBorders>
              <w:top w:val="single" w:color="C8E6C9" w:sz="4"/>
              <w:left w:val="single" w:color="C8E6C9" w:sz="4"/>
              <w:bottom w:val="single" w:color="C8E6C9" w:sz="4"/>
              <w:right w:val="single" w:color="C8E6C9" w:sz="4"/>
            </w:tcBorders>
            <w:shd w:fill="FFF8E1"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10% of gross project fee (before student/platform shares)</w:t>
            </w:r>
          </w:p>
        </w:tc>
        <w:tc>
          <w:tcPr>
            <w:tcW w:type="dxa" w:w="1600"/>
            <w:gridSpan w:val="1"/>
            <w:tcBorders>
              <w:top w:val="single" w:color="C8E6C9" w:sz="4"/>
              <w:left w:val="single" w:color="C8E6C9" w:sz="4"/>
              <w:bottom w:val="single" w:color="C8E6C9" w:sz="4"/>
              <w:right w:val="single" w:color="C8E6C9" w:sz="4"/>
            </w:tcBorders>
            <w:shd w:fill="FFF8E1"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Monthly (5th)
+7-day escrow</w:t>
            </w:r>
          </w:p>
        </w:tc>
        <w:tc>
          <w:tcPr>
            <w:tcW w:type="dxa" w:w="2600"/>
            <w:gridSpan w:val="1"/>
            <w:tcBorders>
              <w:top w:val="single" w:color="C8E6C9" w:sz="4"/>
              <w:left w:val="single" w:color="C8E6C9" w:sz="4"/>
              <w:bottom w:val="single" w:color="C8E6C9" w:sz="4"/>
              <w:right w:val="single" w:color="C8E6C9" w:sz="4"/>
            </w:tcBorders>
            <w:shd w:fill="FFF8E1"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2 projects × ₹15,000 × 10% = ₹3,000 / 3 projects × ₹25,000 × 10% = ₹7,500</w:t>
            </w:r>
          </w:p>
        </w:tc>
      </w:tr>
      <w:tr>
        <w:tc>
          <w:tcPr>
            <w:tcW w:type="dxa" w:w="1900"/>
            <w:gridSpan w:val="1"/>
            <w:tcBorders>
              <w:top w:val="single" w:color="C8E6C9" w:sz="4"/>
              <w:left w:val="single" w:color="C8E6C9" w:sz="4"/>
              <w:bottom w:val="single" w:color="C8E6C9" w:sz="4"/>
              <w:right w:val="single" w:color="C8E6C9" w:sz="4"/>
            </w:tcBorders>
            <w:shd w:fill="E8EAF6"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Referral Bonuses</w:t>
            </w:r>
          </w:p>
        </w:tc>
        <w:tc>
          <w:tcPr>
            <w:tcW w:type="dxa" w:w="1100"/>
            <w:gridSpan w:val="1"/>
            <w:tcBorders>
              <w:top w:val="single" w:color="C8E6C9" w:sz="4"/>
              <w:left w:val="single" w:color="C8E6C9" w:sz="4"/>
              <w:bottom w:val="single" w:color="C8E6C9" w:sz="4"/>
              <w:right w:val="single" w:color="C8E6C9" w:sz="4"/>
            </w:tcBorders>
            <w:shd w:fill="E8EAF6"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A237E"/>
                <w:sz w:val="20"/>
                <w:szCs w:val="20"/>
              </w:rPr>
              <w:t xml:space="preserve">Flat</w:t>
            </w:r>
          </w:p>
        </w:tc>
        <w:tc>
          <w:tcPr>
            <w:tcW w:type="dxa" w:w="2160"/>
            <w:gridSpan w:val="1"/>
            <w:tcBorders>
              <w:top w:val="single" w:color="C8E6C9" w:sz="4"/>
              <w:left w:val="single" w:color="C8E6C9" w:sz="4"/>
              <w:bottom w:val="single" w:color="C8E6C9" w:sz="4"/>
              <w:right w:val="single" w:color="C8E6C9" w:sz="4"/>
            </w:tcBorders>
            <w:shd w:fill="E8EAF6"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₹5,000 (high-demand domain) / ₹3,000 (standard domain) per qualifying referral</w:t>
            </w:r>
          </w:p>
        </w:tc>
        <w:tc>
          <w:tcPr>
            <w:tcW w:type="dxa" w:w="1600"/>
            <w:gridSpan w:val="1"/>
            <w:tcBorders>
              <w:top w:val="single" w:color="C8E6C9" w:sz="4"/>
              <w:left w:val="single" w:color="C8E6C9" w:sz="4"/>
              <w:bottom w:val="single" w:color="C8E6C9" w:sz="4"/>
              <w:right w:val="single" w:color="C8E6C9" w:sz="4"/>
            </w:tcBorders>
            <w:shd w:fill="E8EAF6"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Monthly cycle after Month 3 confirmed</w:t>
            </w:r>
          </w:p>
        </w:tc>
        <w:tc>
          <w:tcPr>
            <w:tcW w:type="dxa" w:w="2600"/>
            <w:gridSpan w:val="1"/>
            <w:tcBorders>
              <w:top w:val="single" w:color="C8E6C9" w:sz="4"/>
              <w:left w:val="single" w:color="C8E6C9" w:sz="4"/>
              <w:bottom w:val="single" w:color="C8E6C9" w:sz="4"/>
              <w:right w:val="single" w:color="C8E6C9" w:sz="4"/>
            </w:tcBorders>
            <w:shd w:fill="E8EAF6"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1 tech referral/quarter = ₹1,667/month average / 4 referrals/year = ₹16,000</w:t>
            </w:r>
          </w:p>
        </w:tc>
      </w:tr>
    </w:tbl>
    <w:p>
      <w:pPr>
        <w:spacing w:before="400" w:after="0"/>
      </w:pPr>
    </w:p>
    <w:p>
      <w:pPr>
        <w:pBdr>
          <w:bottom w:val="single" w:color="1B5E20" w:sz="6" w:space="2"/>
        </w:pBdr>
        <w:spacing w:before="300" w:after="120"/>
      </w:pPr>
      <w:r>
        <w:rPr>
          <w:rFonts w:ascii="Arial" w:cs="Arial" w:eastAsia="Arial" w:hAnsi="Arial"/>
          <w:b/>
          <w:bCs/>
          <w:color w:val="1B5E20"/>
          <w:sz w:val="26"/>
          <w:szCs w:val="26"/>
        </w:rPr>
        <w:t xml:space="preserve">Credibility Score — Component Breakdown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2660"/>
        <w:gridCol w:w="3400"/>
      </w:tblGrid>
      <w:tr>
        <w:trPr>
          <w:tblHeader/>
        </w:trPr>
        <w:tc>
          <w:tcPr>
            <w:tcW w:type="dxa" w:w="24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Component</w:t>
            </w:r>
          </w:p>
        </w:tc>
        <w:tc>
          <w:tcPr>
            <w:tcW w:type="dxa" w:w="9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0"/>
                <w:szCs w:val="20"/>
              </w:rPr>
              <w:t xml:space="preserve">Weight</w:t>
            </w:r>
          </w:p>
        </w:tc>
        <w:tc>
          <w:tcPr>
            <w:tcW w:type="dxa" w:w="26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Data Source</w:t>
            </w:r>
          </w:p>
        </w:tc>
        <w:tc>
          <w:tcPr>
            <w:tcW w:type="dxa" w:w="34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to Improve</w:t>
            </w:r>
          </w:p>
        </w:tc>
      </w:tr>
      <w:tr>
        <w:tc>
          <w:tcPr>
            <w:tcW w:type="dxa" w:w="2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Session Rating Average</w:t>
            </w:r>
          </w:p>
        </w:tc>
        <w:tc>
          <w:tcPr>
            <w:tcW w:type="dxa" w:w="9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00695C"/>
                <w:sz w:val="20"/>
                <w:szCs w:val="20"/>
              </w:rPr>
              <w:t xml:space="preserve">30%</w:t>
            </w:r>
          </w:p>
        </w:tc>
        <w:tc>
          <w:tcPr>
            <w:tcW w:type="dxa" w:w="26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Post-session student ratings (1–5 stars)</w:t>
            </w:r>
          </w:p>
        </w:tc>
        <w:tc>
          <w:tcPr>
            <w:tcW w:type="dxa" w:w="3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Prepare thoroughly for each session. Follow up on action items. Customise advice to student's specific profile, not generic guidance.</w:t>
            </w:r>
          </w:p>
        </w:tc>
      </w:tr>
      <w:tr>
        <w:tc>
          <w:tcPr>
            <w:tcW w:type="dxa" w:w="2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Placement Success Rate</w:t>
            </w:r>
          </w:p>
        </w:tc>
        <w:tc>
          <w:tcPr>
            <w:tcW w:type="dxa" w:w="9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00695C"/>
                <w:sz w:val="20"/>
                <w:szCs w:val="20"/>
              </w:rPr>
              <w:t xml:space="preserve">25%</w:t>
            </w:r>
          </w:p>
        </w:tc>
        <w:tc>
          <w:tcPr>
            <w:tcW w:type="dxa" w:w="26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Tracked career outcomes within 180 days of assignment</w:t>
            </w:r>
          </w:p>
        </w:tc>
        <w:tc>
          <w:tcPr>
            <w:tcW w:type="dxa" w:w="3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Focus on job-ready milestones — not just session content. Actively track students post-session and encourage recruiter applications.</w:t>
            </w:r>
          </w:p>
        </w:tc>
      </w:tr>
      <w:tr>
        <w:tc>
          <w:tcPr>
            <w:tcW w:type="dxa" w:w="2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Endorsement Accuracy</w:t>
            </w:r>
          </w:p>
        </w:tc>
        <w:tc>
          <w:tcPr>
            <w:tcW w:type="dxa" w:w="9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00695C"/>
                <w:sz w:val="20"/>
                <w:szCs w:val="20"/>
              </w:rPr>
              <w:t xml:space="preserve">15%</w:t>
            </w:r>
          </w:p>
        </w:tc>
        <w:tc>
          <w:tcPr>
            <w:tcW w:type="dxa" w:w="26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Post-hire recruiter feedback on endorsed skills</w:t>
            </w:r>
          </w:p>
        </w:tc>
        <w:tc>
          <w:tcPr>
            <w:tcW w:type="dxa" w:w="3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Only endorse skills you have directly observed. Use the 5-tier scale honestly. Decline endorsement requests for skills not evidenced on the platform.</w:t>
            </w:r>
          </w:p>
        </w:tc>
      </w:tr>
      <w:tr>
        <w:tc>
          <w:tcPr>
            <w:tcW w:type="dxa" w:w="2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Project Review Quality</w:t>
            </w:r>
          </w:p>
        </w:tc>
        <w:tc>
          <w:tcPr>
            <w:tcW w:type="dxa" w:w="9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00695C"/>
                <w:sz w:val="20"/>
                <w:szCs w:val="20"/>
              </w:rPr>
              <w:t xml:space="preserve">15%</w:t>
            </w:r>
          </w:p>
        </w:tc>
        <w:tc>
          <w:tcPr>
            <w:tcW w:type="dxa" w:w="26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Company satisfaction scores on delivered projects</w:t>
            </w:r>
          </w:p>
        </w:tc>
        <w:tc>
          <w:tcPr>
            <w:tcW w:type="dxa" w:w="3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Invest in thorough brief reviews. Catch quality gaps at milestones — not at final submission. Write detailed, specific revision briefs.</w:t>
            </w:r>
          </w:p>
        </w:tc>
      </w:tr>
      <w:tr>
        <w:tc>
          <w:tcPr>
            <w:tcW w:type="dxa" w:w="2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Platform Engagement</w:t>
            </w:r>
          </w:p>
        </w:tc>
        <w:tc>
          <w:tcPr>
            <w:tcW w:type="dxa" w:w="9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00695C"/>
                <w:sz w:val="20"/>
                <w:szCs w:val="20"/>
              </w:rPr>
              <w:t xml:space="preserve">10%</w:t>
            </w:r>
          </w:p>
        </w:tc>
        <w:tc>
          <w:tcPr>
            <w:tcW w:type="dxa" w:w="26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Response times, session delivery rate, action follow-through</w:t>
            </w:r>
          </w:p>
        </w:tc>
        <w:tc>
          <w:tcPr>
            <w:tcW w:type="dxa" w:w="3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Respond to messages within 12 hours. Don't cancel or reschedule confirmed sessions. Always complete session notes within 2 hours.</w:t>
            </w:r>
          </w:p>
        </w:tc>
      </w:tr>
      <w:tr>
        <w:tc>
          <w:tcPr>
            <w:tcW w:type="dxa" w:w="2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Referral Quality</w:t>
            </w:r>
          </w:p>
        </w:tc>
        <w:tc>
          <w:tcPr>
            <w:tcW w:type="dxa" w:w="9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00695C"/>
                <w:sz w:val="20"/>
                <w:szCs w:val="20"/>
              </w:rPr>
              <w:t xml:space="preserve">5%</w:t>
            </w:r>
          </w:p>
        </w:tc>
        <w:tc>
          <w:tcPr>
            <w:tcW w:type="dxa" w:w="26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Average credibility score of referred mentors</w:t>
            </w:r>
          </w:p>
        </w:tc>
        <w:tc>
          <w:tcPr>
            <w:tcW w:type="dxa" w:w="3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Refer professionals who are genuinely committed. Support your referrals during their first 3 months to help them build their score.</w:t>
            </w:r>
          </w:p>
        </w:tc>
      </w:tr>
    </w:tbl>
    <w:p>
      <w:pPr>
        <w:spacing w:before="400" w:after="0"/>
      </w:pP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E.1</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Session Fee Setting</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[Pricing]   [Fee Setting]   [Recommendation Engine]   [Market Rate]</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Empower mentors to price their own sessions competitively and accurately — with platform guidance to optimise earnings without pricing themselves out of the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Every mentor sets their own per-session fee independently. Two session durations are priced separately: 30-minute session fee and 60-minute session fee. The platform does not mandate a fee — but it enforces a minimum (₹200 per session) and a maximum (₹10,000 per session) to maintain marketplace trust. A Pricing Recommendation Engine analyses the mentor's credibility score, domain demand, booking conversion rate, and comparable mentor pricing in the same domain and city — then suggests an optimal fee range. The mentor is free to accept, exceed, or undercut the suggestion. Fee changes take effect from the next booking — existing confirmed bookings are not affected.</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navigates to Settings → Session Pricing. Two fee fields are shown: 30-minute fee and 60-minute fee. The Pricing Recommendation Engine displays: 'Mentors with similar profiles in your domain are charging ₹800–₹1,200 for a 60-minute session. Based on your Credibility Score of 91 and current booking rate, we suggest ₹1,000.' Mentor enters their chosen fee and saves. Fee is immediately visible on the mentor's public profile and in search results. The platform also shows a 'Price Sensitivity Indicator' — a green/amber/red signal showing whether the current fee is likely to attract high, moderate, or low booking volume based on historical demand data in that segment.</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Priya — Initial fee setting:
Platform recommendation for her profile: ₹800–₹1,100 for 60-minute session.
Priya sets: 30-minute session: ₹500, 60-minute session: ₹900.
Price Sensitivity Indicator: Green — high booking likelihood at this price.
6 months later — after achieving Credibility Score 94 and 78% placement success rate:
Platform recommendation updated: ₹1,200–₹1,600.
Priya updates: 30-minute: ₹700, 60-minute: ₹1,300.
Price Sensitivity Indicator: Green — still in high-demand range for her updated profile.
Result: Monthly session income increased from ₹7,200 (8 sessions × ₹900) to ₹10,400 (8 sessions × ₹1,300) — a 44% income increase with the same number of sessions.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Arbitrary fee setting — too high or too low — hurts mentors in opposite ways. Too high: booking volume drops, income suffers. Too low: mentor is undervalued, burnout risk from high volume at low return. The Pricing Recommendation Engine solves both problems by giving mentors market-calibrated data. As a mentor's credibility and track record improve, the platform surfaces higher recommended ranges — automatically incentivising quality improvement with a direct income reward.</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Students (fee shown on mentor profile and booking interface), Recruiters (fee not shown — irrelevant to their use case), Platform Admin (all fee settings and changes with timestamps)</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Separate fee fields for 30-minute and 60-minute sessions</w:t>
      </w:r>
    </w:p>
    <w:p>
      <w:pPr>
        <w:spacing w:before="40" w:after="40" w:line="276"/>
        <w:jc w:val="left"/>
      </w:pPr>
      <w:r>
        <w:rPr>
          <w:rFonts w:ascii="Arial" w:cs="Arial" w:eastAsia="Arial" w:hAnsi="Arial"/>
          <w:b w:val="false"/>
          <w:bCs w:val="false"/>
          <w:i w:val="false"/>
          <w:iCs w:val="false"/>
          <w:color w:val="1A1A1A"/>
          <w:sz w:val="20"/>
          <w:szCs w:val="20"/>
        </w:rPr>
        <w:t xml:space="preserve">☑  Platform minimum: ₹200 per session — maximum: ₹10,000 per session</w:t>
      </w:r>
    </w:p>
    <w:p>
      <w:pPr>
        <w:spacing w:before="40" w:after="40" w:line="276"/>
        <w:jc w:val="left"/>
      </w:pPr>
      <w:r>
        <w:rPr>
          <w:rFonts w:ascii="Arial" w:cs="Arial" w:eastAsia="Arial" w:hAnsi="Arial"/>
          <w:b w:val="false"/>
          <w:bCs w:val="false"/>
          <w:i w:val="false"/>
          <w:iCs w:val="false"/>
          <w:color w:val="1A1A1A"/>
          <w:sz w:val="20"/>
          <w:szCs w:val="20"/>
        </w:rPr>
        <w:t xml:space="preserve">☑  Pricing Recommendation Engine displays suggested range with reasoning</w:t>
      </w:r>
    </w:p>
    <w:p>
      <w:pPr>
        <w:spacing w:before="40" w:after="40" w:line="276"/>
        <w:jc w:val="left"/>
      </w:pPr>
      <w:r>
        <w:rPr>
          <w:rFonts w:ascii="Arial" w:cs="Arial" w:eastAsia="Arial" w:hAnsi="Arial"/>
          <w:b w:val="false"/>
          <w:bCs w:val="false"/>
          <w:i w:val="false"/>
          <w:iCs w:val="false"/>
          <w:color w:val="1A1A1A"/>
          <w:sz w:val="20"/>
          <w:szCs w:val="20"/>
        </w:rPr>
        <w:t xml:space="preserve">☑  Price Sensitivity Indicator: green / amber / red based on demand data</w:t>
      </w:r>
    </w:p>
    <w:p>
      <w:pPr>
        <w:spacing w:before="40" w:after="40" w:line="276"/>
        <w:jc w:val="left"/>
      </w:pPr>
      <w:r>
        <w:rPr>
          <w:rFonts w:ascii="Arial" w:cs="Arial" w:eastAsia="Arial" w:hAnsi="Arial"/>
          <w:b w:val="false"/>
          <w:bCs w:val="false"/>
          <w:i w:val="false"/>
          <w:iCs w:val="false"/>
          <w:color w:val="1A1A1A"/>
          <w:sz w:val="20"/>
          <w:szCs w:val="20"/>
        </w:rPr>
        <w:t xml:space="preserve">☑  Fee changes apply to future bookings only — confirmed bookings not affected</w:t>
      </w:r>
    </w:p>
    <w:p>
      <w:pPr>
        <w:spacing w:before="40" w:after="40" w:line="276"/>
        <w:jc w:val="left"/>
      </w:pPr>
      <w:r>
        <w:rPr>
          <w:rFonts w:ascii="Arial" w:cs="Arial" w:eastAsia="Arial" w:hAnsi="Arial"/>
          <w:b w:val="false"/>
          <w:bCs w:val="false"/>
          <w:i w:val="false"/>
          <w:iCs w:val="false"/>
          <w:color w:val="1A1A1A"/>
          <w:sz w:val="20"/>
          <w:szCs w:val="20"/>
        </w:rPr>
        <w:t xml:space="preserve">☑  Fee visible on public profile and in search result cards</w:t>
      </w:r>
    </w:p>
    <w:p>
      <w:pPr>
        <w:spacing w:before="40" w:after="40" w:line="276"/>
        <w:jc w:val="left"/>
      </w:pPr>
      <w:r>
        <w:rPr>
          <w:rFonts w:ascii="Arial" w:cs="Arial" w:eastAsia="Arial" w:hAnsi="Arial"/>
          <w:b w:val="false"/>
          <w:bCs w:val="false"/>
          <w:i w:val="false"/>
          <w:iCs w:val="false"/>
          <w:color w:val="1A1A1A"/>
          <w:sz w:val="20"/>
          <w:szCs w:val="20"/>
        </w:rPr>
        <w:t xml:space="preserve">☑  Mentor can update fee at any time — no approval required</w:t>
      </w:r>
    </w:p>
    <w:p>
      <w:pPr>
        <w:spacing w:before="40" w:after="40" w:line="276"/>
        <w:jc w:val="left"/>
      </w:pPr>
      <w:r>
        <w:rPr>
          <w:rFonts w:ascii="Arial" w:cs="Arial" w:eastAsia="Arial" w:hAnsi="Arial"/>
          <w:b w:val="false"/>
          <w:bCs w:val="false"/>
          <w:i w:val="false"/>
          <w:iCs w:val="false"/>
          <w:color w:val="1A1A1A"/>
          <w:sz w:val="20"/>
          <w:szCs w:val="20"/>
        </w:rPr>
        <w:t xml:space="preserve">☑  Fee history logged — changes tracked with timestamps for analytics</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E.2</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Earnings Dashboard</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[Dashboard]   [Earnings]   [Income Streams]   [Transparency]</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Give mentors a complete, real-time, and fully transparent view of all income streams — enabling informed decisions about time allocation, pricing, and growth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The Earnings Dashboard is the mentor's financial control centre. It aggregates earnings from all four income streams — 1-on-1 session fees, group session fees, project review commissions, and referral bonuses — into a unified view. The dashboard shows: This Week Earnings (running total since Monday), This Month Earnings (running total since the 1st), Last Month Earnings (final confirmed total), Year-to-Date Earnings (cumulative since 1 January), and Lifetime Earnings (total since joining the platform). Each time period has a Breakdown panel — showing exactly how much came from each income stream. Pending Payout shows the amount confirmed but awaiting the next payout cycle. All figures update in real time as sessions are completed and projects are approved.</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navigates to Dashboard → Earnings tab. The top section shows five summary cards — one per time period. Below, a tabbed Breakdown panel shows: Sessions tab (list of all sessions completed — date, student, duration, fee collected, mentor's 70% share), Projects tab (list of approved projects — project name, company, fee, mentor's 10% commission), Group Sessions tab (all group sessions — date, topic, student count, total collected, mentor's 70%), Referrals tab (referred mentors, their active status, bonus amount, payout date). An interactive bar chart shows month-by-month earnings for the trailing 12 months — colour-coded by income stream. A CSV export button allows the mentor to download their full earnings history for tax or personal record purposes.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Earnings Dashboard — Mentor Priya Sharma | March 2026:
This Week: ₹3,800
This Month: ₹10,700
Last Month (Feb): ₹8,400
Year-to-Date: ₹27,300
Lifetime Earnings: ₹1,14,500
March Breakdown:
Income Stream         Sessions    Amount      Share
1-on-1 Sessions       12 sessions ₹15,600     70% = ₹10,920
Group Sessions        2 sessions  ₹4,200      70% = ₹2,940
Project Commissions   2 projects  ₹23,000     10% = ₹2,300
Referral Bonus        0           —           —
March Gross Collected: ₹42,800
Mentor's March Earnings: ₹16,160
Platform Retained: ₹26,640
Pending Payout (payable 05 April): ₹16,160
Last Payout (05 March): ₹8,400 — Bank transfer confirmed.</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Financial opacity is a trust destroyer. If mentors cannot see exactly what they earned, from which source, and when it will be paid, they disengage from the platform — regardless of earnings level. The Earnings Dashboard removes every form of ambiguity: every session is listed, every project is listed, every referral bonus is shown with its payout date. The month-by-month bar chart reveals seasonal patterns — mentors can see that March is a high-booking month (campus placement season) and plan their availability accordingly. The CSV export enables clean tax filing without manual record-keeping.</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Mentor only (all earnings data is private — no other user type sees it). Platform Admin has read-only access for payout verification and dispute resolution.</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Five time-period cards: This Week, This Month, Last Month, YTD, Lifetime</w:t>
      </w:r>
    </w:p>
    <w:p>
      <w:pPr>
        <w:spacing w:before="40" w:after="40" w:line="276"/>
        <w:jc w:val="left"/>
      </w:pPr>
      <w:r>
        <w:rPr>
          <w:rFonts w:ascii="Arial" w:cs="Arial" w:eastAsia="Arial" w:hAnsi="Arial"/>
          <w:b w:val="false"/>
          <w:bCs w:val="false"/>
          <w:i w:val="false"/>
          <w:iCs w:val="false"/>
          <w:color w:val="1A1A1A"/>
          <w:sz w:val="20"/>
          <w:szCs w:val="20"/>
        </w:rPr>
        <w:t xml:space="preserve">☑  Breakdown panel with four tabs: Sessions, Projects, Group Sessions, Referrals</w:t>
      </w:r>
    </w:p>
    <w:p>
      <w:pPr>
        <w:spacing w:before="40" w:after="40" w:line="276"/>
        <w:jc w:val="left"/>
      </w:pPr>
      <w:r>
        <w:rPr>
          <w:rFonts w:ascii="Arial" w:cs="Arial" w:eastAsia="Arial" w:hAnsi="Arial"/>
          <w:b w:val="false"/>
          <w:bCs w:val="false"/>
          <w:i w:val="false"/>
          <w:iCs w:val="false"/>
          <w:color w:val="1A1A1A"/>
          <w:sz w:val="20"/>
          <w:szCs w:val="20"/>
        </w:rPr>
        <w:t xml:space="preserve">☑  Each session entry shows: date, student name, duration, fee, mentor's share</w:t>
      </w:r>
    </w:p>
    <w:p>
      <w:pPr>
        <w:spacing w:before="40" w:after="40" w:line="276"/>
        <w:jc w:val="left"/>
      </w:pPr>
      <w:r>
        <w:rPr>
          <w:rFonts w:ascii="Arial" w:cs="Arial" w:eastAsia="Arial" w:hAnsi="Arial"/>
          <w:b w:val="false"/>
          <w:bCs w:val="false"/>
          <w:i w:val="false"/>
          <w:iCs w:val="false"/>
          <w:color w:val="1A1A1A"/>
          <w:sz w:val="20"/>
          <w:szCs w:val="20"/>
        </w:rPr>
        <w:t xml:space="preserve">☑  Each project entry shows: project name, company, total fee, commission amount</w:t>
      </w:r>
    </w:p>
    <w:p>
      <w:pPr>
        <w:spacing w:before="40" w:after="40" w:line="276"/>
        <w:jc w:val="left"/>
      </w:pPr>
      <w:r>
        <w:rPr>
          <w:rFonts w:ascii="Arial" w:cs="Arial" w:eastAsia="Arial" w:hAnsi="Arial"/>
          <w:b w:val="false"/>
          <w:bCs w:val="false"/>
          <w:i w:val="false"/>
          <w:iCs w:val="false"/>
          <w:color w:val="1A1A1A"/>
          <w:sz w:val="20"/>
          <w:szCs w:val="20"/>
        </w:rPr>
        <w:t xml:space="preserve">☑  Interactive bar chart: trailing 12 months, colour-coded by income stream</w:t>
      </w:r>
    </w:p>
    <w:p>
      <w:pPr>
        <w:spacing w:before="40" w:after="40" w:line="276"/>
        <w:jc w:val="left"/>
      </w:pPr>
      <w:r>
        <w:rPr>
          <w:rFonts w:ascii="Arial" w:cs="Arial" w:eastAsia="Arial" w:hAnsi="Arial"/>
          <w:b w:val="false"/>
          <w:bCs w:val="false"/>
          <w:i w:val="false"/>
          <w:iCs w:val="false"/>
          <w:color w:val="1A1A1A"/>
          <w:sz w:val="20"/>
          <w:szCs w:val="20"/>
        </w:rPr>
        <w:t xml:space="preserve">☑  Pending Payout card shows amount and exact payout date</w:t>
      </w:r>
    </w:p>
    <w:p>
      <w:pPr>
        <w:spacing w:before="40" w:after="40" w:line="276"/>
        <w:jc w:val="left"/>
      </w:pPr>
      <w:r>
        <w:rPr>
          <w:rFonts w:ascii="Arial" w:cs="Arial" w:eastAsia="Arial" w:hAnsi="Arial"/>
          <w:b w:val="false"/>
          <w:bCs w:val="false"/>
          <w:i w:val="false"/>
          <w:iCs w:val="false"/>
          <w:color w:val="1A1A1A"/>
          <w:sz w:val="20"/>
          <w:szCs w:val="20"/>
        </w:rPr>
        <w:t xml:space="preserve">☑  CSV export: full earnings history downloadable at any time</w:t>
      </w:r>
    </w:p>
    <w:p>
      <w:pPr>
        <w:spacing w:before="40" w:after="40" w:line="276"/>
        <w:jc w:val="left"/>
      </w:pPr>
      <w:r>
        <w:rPr>
          <w:rFonts w:ascii="Arial" w:cs="Arial" w:eastAsia="Arial" w:hAnsi="Arial"/>
          <w:b w:val="false"/>
          <w:bCs w:val="false"/>
          <w:i w:val="false"/>
          <w:iCs w:val="false"/>
          <w:color w:val="1A1A1A"/>
          <w:sz w:val="20"/>
          <w:szCs w:val="20"/>
        </w:rPr>
        <w:t xml:space="preserve">☑  Dashboard updates in real time — no manual refresh required</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E.3</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Revenue Share Model</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[Revenue Share]   [70/30 Split]   [Income Model]   [Transparency]</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Define a clear, fair, and consistently applied financial split between mentors and the platform — ensuring mentors understand exactly what they earn from every transaction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EcoSkiller operates a transparent revenue share model across all income streams. The split differs by transaction type: For 1-on-1 sessions — mentor receives 70%, platform retains 30%. For group sessions — mentor receives 70% of total session revenue (all student fees combined), platform retains 30%. For project review commissions — mentor receives 10% of gross project fee (calculated before student and platform shares). For referral bonuses — flat one-time payment to the referring mentor, no ongoing revenue share. The 70/30 split for sessions is the industry standard for skill marketplace platforms. The 10% project commission is fixed regardless of project size — a ₹5,000 project earns ₹500, a ₹50,000 project earns ₹5,000.</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Revenue share is applied automatically — mentors never receive 100% and then pay back the platform share. The platform collects the student's or company's payment in full, applies the revenue split, and credits the mentor's Pending Payout balance with their calculated share. The revenue split is displayed transparently at every point of transaction: on the fee-setting screen ('You will receive 70% of ₹900 = ₹630 per session'), in the session confirmation email ('Session fee: ₹900 — Your earnings: ₹630'), and in the Earnings Dashboard breakdown. There are no hidden fees, no currency conversion charges, no platform charges beyond the stated 30% / 90% retention.</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Revenue Share Examples — Mentor Priya:
Transaction 1 — 1-on-1 Session:
Student pays: ₹900
Mentor receives: ₹630 (70%)
Platform retains: ₹270 (30%)
Transaction 2 — Group Session (10 students × ₹300):
Total collected: ₹3,000
Mentor receives: ₹2,100 (70%)
Platform retains: ₹900 (30%)
Earning per hour: ₹2,100 for 60-minute session vs ₹630 for 1-on-1 — 3.3x income multiplier
Transaction 3 — Project Review Commission:
Project fee posted: ₹20,000
Student team receives: ₹14,000 (70%)
Mentor receives: ₹2,000 (10%)
Trainer (if assigned): ₹1,000 (5%)
Platform retains: ₹3,000 (15%)
Transaction 4 — Referral Bonus:
Mentor refers colleague who joins and stays active 3 months
One-time bonus: ₹3,000
No ongoing share — flat payment only</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Clarity of earnings is essential for mentor motivation. A mentor who does not know whether they earn 60%, 65%, or 70% of a session fee cannot plan their income. The transparent, publicly stated revenue share removes every element of uncertainty. The group session multiplier effect (3.3x earnings for the same hour) is a powerful incentive for mentors to run workshops — increasing platform content density and reducing per-student cost simultaneously. Full transparency also builds platform trust — mentors who understand the model are far more likely to invest in building their platform presence.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Mentor (displayed at fee-setting, session confirmation, and Earnings Dashboard — full transparency at all touchpoints). Students see only their own payment amount, not the split. Companies see only the project fee structure.</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Revenue split displayed at fee-setting screen — not just in fine print</w:t>
      </w:r>
    </w:p>
    <w:p>
      <w:pPr>
        <w:spacing w:before="40" w:after="40" w:line="276"/>
        <w:jc w:val="left"/>
      </w:pPr>
      <w:r>
        <w:rPr>
          <w:rFonts w:ascii="Arial" w:cs="Arial" w:eastAsia="Arial" w:hAnsi="Arial"/>
          <w:b w:val="false"/>
          <w:bCs w:val="false"/>
          <w:i w:val="false"/>
          <w:iCs w:val="false"/>
          <w:color w:val="1A1A1A"/>
          <w:sz w:val="20"/>
          <w:szCs w:val="20"/>
        </w:rPr>
        <w:t xml:space="preserve">☑  Session confirmation shows: student pays X, mentor earns Y — explicitly stated</w:t>
      </w:r>
    </w:p>
    <w:p>
      <w:pPr>
        <w:spacing w:before="40" w:after="40" w:line="276"/>
        <w:jc w:val="left"/>
      </w:pPr>
      <w:r>
        <w:rPr>
          <w:rFonts w:ascii="Arial" w:cs="Arial" w:eastAsia="Arial" w:hAnsi="Arial"/>
          <w:b w:val="false"/>
          <w:bCs w:val="false"/>
          <w:i w:val="false"/>
          <w:iCs w:val="false"/>
          <w:color w:val="1A1A1A"/>
          <w:sz w:val="20"/>
          <w:szCs w:val="20"/>
        </w:rPr>
        <w:t xml:space="preserve">☑  Group session earnings show total collected and mentor's 70% share</w:t>
      </w:r>
    </w:p>
    <w:p>
      <w:pPr>
        <w:spacing w:before="40" w:after="40" w:line="276"/>
        <w:jc w:val="left"/>
      </w:pPr>
      <w:r>
        <w:rPr>
          <w:rFonts w:ascii="Arial" w:cs="Arial" w:eastAsia="Arial" w:hAnsi="Arial"/>
          <w:b w:val="false"/>
          <w:bCs w:val="false"/>
          <w:i w:val="false"/>
          <w:iCs w:val="false"/>
          <w:color w:val="1A1A1A"/>
          <w:sz w:val="20"/>
          <w:szCs w:val="20"/>
        </w:rPr>
        <w:t xml:space="preserve">☑  Project commission: 10% of gross fee — calculated before other distributions</w:t>
      </w:r>
    </w:p>
    <w:p>
      <w:pPr>
        <w:spacing w:before="40" w:after="40" w:line="276"/>
        <w:jc w:val="left"/>
      </w:pPr>
      <w:r>
        <w:rPr>
          <w:rFonts w:ascii="Arial" w:cs="Arial" w:eastAsia="Arial" w:hAnsi="Arial"/>
          <w:b w:val="false"/>
          <w:bCs w:val="false"/>
          <w:i w:val="false"/>
          <w:iCs w:val="false"/>
          <w:color w:val="1A1A1A"/>
          <w:sz w:val="20"/>
          <w:szCs w:val="20"/>
        </w:rPr>
        <w:t xml:space="preserve">☑  Referral bonus: one-time flat payment — amount shown in Referrals tab</w:t>
      </w:r>
    </w:p>
    <w:p>
      <w:pPr>
        <w:spacing w:before="40" w:after="40" w:line="276"/>
        <w:jc w:val="left"/>
      </w:pPr>
      <w:r>
        <w:rPr>
          <w:rFonts w:ascii="Arial" w:cs="Arial" w:eastAsia="Arial" w:hAnsi="Arial"/>
          <w:b w:val="false"/>
          <w:bCs w:val="false"/>
          <w:i w:val="false"/>
          <w:iCs w:val="false"/>
          <w:color w:val="1A1A1A"/>
          <w:sz w:val="20"/>
          <w:szCs w:val="20"/>
        </w:rPr>
        <w:t xml:space="preserve">☑  No hidden fees beyond the stated platform retention percentage</w:t>
      </w:r>
    </w:p>
    <w:p>
      <w:pPr>
        <w:spacing w:before="40" w:after="40" w:line="276"/>
        <w:jc w:val="left"/>
      </w:pPr>
      <w:r>
        <w:rPr>
          <w:rFonts w:ascii="Arial" w:cs="Arial" w:eastAsia="Arial" w:hAnsi="Arial"/>
          <w:b w:val="false"/>
          <w:bCs w:val="false"/>
          <w:i w:val="false"/>
          <w:iCs w:val="false"/>
          <w:color w:val="1A1A1A"/>
          <w:sz w:val="20"/>
          <w:szCs w:val="20"/>
        </w:rPr>
        <w:t xml:space="preserve">☑  Revenue split applies identically regardless of session fee amount</w:t>
      </w:r>
    </w:p>
    <w:p>
      <w:pPr>
        <w:spacing w:before="40" w:after="40" w:line="276"/>
        <w:jc w:val="left"/>
      </w:pPr>
      <w:r>
        <w:rPr>
          <w:rFonts w:ascii="Arial" w:cs="Arial" w:eastAsia="Arial" w:hAnsi="Arial"/>
          <w:b w:val="false"/>
          <w:bCs w:val="false"/>
          <w:i w:val="false"/>
          <w:iCs w:val="false"/>
          <w:color w:val="1A1A1A"/>
          <w:sz w:val="20"/>
          <w:szCs w:val="20"/>
        </w:rPr>
        <w:t xml:space="preserve">☑  Platform retention used for: infrastructure, matching, payment processing, admin overhead — explained in mentor FAQ</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E.4</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Payment Schedule</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[Payment]   [Payout Cycle]   [GST Invoice]   [Bank Transfer]</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Ensure mentors receive their earned income on a reliable, predictable, and fully automated schedule — with no manual chasing, invoicing, or administrative effort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All mentor earnings are paid out on a fixed monthly cycle: the 5th of each calendar month for all earnings confirmed in the previous calendar month. 'Confirmed' means: sessions completed and not disputed, projects accepted by the company and past the 7-day dispute window. Earnings that are disputed or in escrow are held and paid in the following cycle after resolution. Payment is made via direct bank transfer (NEFT or IMPS) to the mentor's registered bank account. A GST-compliant tax invoice is automatically generated for every payout — the mentor does not need to create, send, or manage any invoice. Mentors who prefer weekly payouts can opt into a Weekly Payout plan (available for mentors with Credibility Score above 75) — paid every Monday for the previous week's confirmed earnings.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registers bank account details in Settings → Payment → Bank Account. Account is verified via a ₹1 test transfer on setup. On the 1st of each month, the system computes all confirmed earnings from the previous month — deducting any disputed amounts still in escrow. On the 5th, the transfer is initiated. Mentor receives: a push notification ('Your March earnings of ₹16,160 have been transferred — expected in your account within 4 hours'), an email with a GST invoice attached (PDF), and an Earnings Dashboard update showing the payout as 'Completed.' If the 5th falls on a bank holiday, the transfer is initiated on the next working day. For weekly payout mentors, the same process runs every Monday for the prior week. Mentors can update their bank account details at any time — the change applies from the next payout cycle.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Payment Schedule — Mentor Priya Sharma:
March 2026 earnings: ₹16,160 (12 sessions + 2 group sessions + 2 project commissions)
Disputed amount: ₹0
Confirmed for payout: ₹16,160
01 April: System computes March confirmed earnings → ₹16,160 queued for payout.
05 April (Saturday — bank holiday): Transfer deferred to 07 April (Monday).
07 April 10:23 AM: NEFT transfer initiated → ₹16,160 to Priya's HDFC account.
07 April 11:47 AM: Transfer confirmed. Priya receives push notification and email.
Email attachment: GST Invoice #INV-2026-0312 — ₹16,160 — EcoSkiller EdTech Pvt Ltd — GSTIN listed — digitally signed PDF.
Priya's bank account credited: 07 April 12:04 PM.
Total admin time required from Priya: 0 minutes.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Delayed or unpredictable payments are the fastest way to lose high-quality mentors. A mentor who has to send reminder emails, manually track what is owed, or wait 45 days for payment will shift their time to competing platforms or stop accepting new sessions. The fixed monthly cycle with automated GST invoice generation removes every administrative friction point. The weekly payout option for high-credibility mentors rewards platform commitment with faster cash flow — a direct incentive to maintain quality and earn a high Credibility Score.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Mentor (payout date, amount, and GST invoice in Earnings Dashboard and email). Platform Admin (all payout records for audit and reconciliation). Government / Tax authorities (GST invoice records maintained for statutory compliance).</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Fixed monthly payout: 5th of each month for prior month's confirmed earnings</w:t>
      </w:r>
    </w:p>
    <w:p>
      <w:pPr>
        <w:spacing w:before="40" w:after="40" w:line="276"/>
        <w:jc w:val="left"/>
      </w:pPr>
      <w:r>
        <w:rPr>
          <w:rFonts w:ascii="Arial" w:cs="Arial" w:eastAsia="Arial" w:hAnsi="Arial"/>
          <w:b w:val="false"/>
          <w:bCs w:val="false"/>
          <w:i w:val="false"/>
          <w:iCs w:val="false"/>
          <w:color w:val="1A1A1A"/>
          <w:sz w:val="20"/>
          <w:szCs w:val="20"/>
        </w:rPr>
        <w:t xml:space="preserve">☑  Bank account verified via ₹1 test transfer on initial setup</w:t>
      </w:r>
    </w:p>
    <w:p>
      <w:pPr>
        <w:spacing w:before="40" w:after="40" w:line="276"/>
        <w:jc w:val="left"/>
      </w:pPr>
      <w:r>
        <w:rPr>
          <w:rFonts w:ascii="Arial" w:cs="Arial" w:eastAsia="Arial" w:hAnsi="Arial"/>
          <w:b w:val="false"/>
          <w:bCs w:val="false"/>
          <w:i w:val="false"/>
          <w:iCs w:val="false"/>
          <w:color w:val="1A1A1A"/>
          <w:sz w:val="20"/>
          <w:szCs w:val="20"/>
        </w:rPr>
        <w:t xml:space="preserve">☑  GST-compliant invoice auto-generated and emailed for every payout</w:t>
      </w:r>
    </w:p>
    <w:p>
      <w:pPr>
        <w:spacing w:before="40" w:after="40" w:line="276"/>
        <w:jc w:val="left"/>
      </w:pPr>
      <w:r>
        <w:rPr>
          <w:rFonts w:ascii="Arial" w:cs="Arial" w:eastAsia="Arial" w:hAnsi="Arial"/>
          <w:b w:val="false"/>
          <w:bCs w:val="false"/>
          <w:i w:val="false"/>
          <w:iCs w:val="false"/>
          <w:color w:val="1A1A1A"/>
          <w:sz w:val="20"/>
          <w:szCs w:val="20"/>
        </w:rPr>
        <w:t xml:space="preserve">☑  Push notification + email confirmation sent on payout initiation</w:t>
      </w:r>
    </w:p>
    <w:p>
      <w:pPr>
        <w:spacing w:before="40" w:after="40" w:line="276"/>
        <w:jc w:val="left"/>
      </w:pPr>
      <w:r>
        <w:rPr>
          <w:rFonts w:ascii="Arial" w:cs="Arial" w:eastAsia="Arial" w:hAnsi="Arial"/>
          <w:b w:val="false"/>
          <w:bCs w:val="false"/>
          <w:i w:val="false"/>
          <w:iCs w:val="false"/>
          <w:color w:val="1A1A1A"/>
          <w:sz w:val="20"/>
          <w:szCs w:val="20"/>
        </w:rPr>
        <w:t xml:space="preserve">☑  Bank holiday deferral: transfer moves to next working day automatically</w:t>
      </w:r>
    </w:p>
    <w:p>
      <w:pPr>
        <w:spacing w:before="40" w:after="40" w:line="276"/>
        <w:jc w:val="left"/>
      </w:pPr>
      <w:r>
        <w:rPr>
          <w:rFonts w:ascii="Arial" w:cs="Arial" w:eastAsia="Arial" w:hAnsi="Arial"/>
          <w:b w:val="false"/>
          <w:bCs w:val="false"/>
          <w:i w:val="false"/>
          <w:iCs w:val="false"/>
          <w:color w:val="1A1A1A"/>
          <w:sz w:val="20"/>
          <w:szCs w:val="20"/>
        </w:rPr>
        <w:t xml:space="preserve">☑  Weekly payout option available for mentors with Credibility Score 75+</w:t>
      </w:r>
    </w:p>
    <w:p>
      <w:pPr>
        <w:spacing w:before="40" w:after="40" w:line="276"/>
        <w:jc w:val="left"/>
      </w:pPr>
      <w:r>
        <w:rPr>
          <w:rFonts w:ascii="Arial" w:cs="Arial" w:eastAsia="Arial" w:hAnsi="Arial"/>
          <w:b w:val="false"/>
          <w:bCs w:val="false"/>
          <w:i w:val="false"/>
          <w:iCs w:val="false"/>
          <w:color w:val="1A1A1A"/>
          <w:sz w:val="20"/>
          <w:szCs w:val="20"/>
        </w:rPr>
        <w:t xml:space="preserve">☑  Disputed earnings held in escrow — paid in next cycle after resolution</w:t>
      </w:r>
    </w:p>
    <w:p>
      <w:pPr>
        <w:spacing w:before="40" w:after="40" w:line="276"/>
        <w:jc w:val="left"/>
      </w:pPr>
      <w:r>
        <w:rPr>
          <w:rFonts w:ascii="Arial" w:cs="Arial" w:eastAsia="Arial" w:hAnsi="Arial"/>
          <w:b w:val="false"/>
          <w:bCs w:val="false"/>
          <w:i w:val="false"/>
          <w:iCs w:val="false"/>
          <w:color w:val="1A1A1A"/>
          <w:sz w:val="20"/>
          <w:szCs w:val="20"/>
        </w:rPr>
        <w:t xml:space="preserve">☑  Mentor can update bank account details at any time — change applies next cycle</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E.5</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Referral Bonus</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[Referral]   [Network Growth]   [Bonus]   [Acquisition]</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Incentivise mentors to organically grow the platform's mentor network by recommending qualified professionals from their own network — rewarding both the referring mentor and expanding platform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Any mentor on the platform can refer a professional contact to join EcoSkiller as a mentor. When the referred person registers using the referral link or code, completes their profile, passes verification, and remains active on the platform for a minimum of 3 consecutive months (defined as: at least 4 confirmed sessions or 1 approved project per month), the referring mentor receives a one-time Referral Bonus. Bonus amounts are tiered by the referred mentor's domain: Tech/Finance/Healthcare mentors (high demand domains): ₹5,000 bonus. Education/Arts/Sports mentors (standard domains): ₹3,000 bonus. There is no cap on the number of referrals a mentor can make — each qualifying referral earns a separate bonus. A Referral Leaderboard recognises the top-10 referring mentors each quarter.</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navigates to Dashboard → Referrals → 'Refer a Mentor.' The system generates a unique referral link and a 6-digit referral code. Mentor shares either via WhatsApp, LinkedIn, email, or direct copy. Referred person clicks link → registration page pre-fills referral attribution. On registration, the referring mentor's dashboard shows: 'New referral: [Name] — Status: Registered — Verification Pending.' Status updates automatically as the referred mentor progresses: Registered → Verified → Active Month 1 → Active Month 2 → Active Month 3 (Bonus Unlocked). On Month 3 completion, the bonus is added to the referring mentor's Pending Payout and paid in the next monthly cycle. Email notification sent: 'Your referral [Name] has completed 3 active months — your ₹5,000 bonus has been added to your April payout.'</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Referral Activity — Mentor Priya Sharma | Q1 2026:
Referral 1: Karan Mehta (Data Science, 11 years experience)
Referred: 10 January 2026
Verified: 13 January 2026
Month 1 Active: 5 sessions conducted — ✓
Month 2 Active: 7 sessions conducted — ✓
Month 3 Active: 6 sessions conducted — ✓
Bonus Unlocked: 10 April 2026 — ₹5,000 (Tech domain)
Referral 2: Sunita Reddy (Secondary School Education, 8 years experience)
Referred: 25 January 2026
Verified: 28 January 2026
Month 1 Active: 3 sessions conducted (minimum 4 required) — ✗ — Month 1 failed. Clock resets.
Month 1 Retry: February — 6 sessions — ✓
Month 2 Active: March — 5 sessions — ✓
Month 3 Active: April — in progress.
Q1 Bonus Earned: ₹5,000 (Karan confirmed)
Q1 Bonus Pending: ₹3,000 (Sunita — if April active)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The most reliable source of high-quality mentors is referrals from existing high-quality mentors. A mentor who refers a colleague is putting their own professional judgment on the line — they are unlikely to refer someone who will perform poorly and embarrass them. The activity-based qualifying condition (not just registration) ensures that only genuinely engaged mentors generate bonuses — not ghost accounts. The tiered bonus by domain guides mentor acquisition toward high-demand domains. The leaderboard adds recognition and social motivation beyond the financial incentive.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Referring Mentor (full referral tracker — all referrals, statuses, bonus amounts and dates). Referred Mentor (not shown that they came via a referral — privacy maintained). Platform Admin (all referral records for fraud prevention and analytics).</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Unique referral link and 6-digit code generated per mentor</w:t>
      </w:r>
    </w:p>
    <w:p>
      <w:pPr>
        <w:spacing w:before="40" w:after="40" w:line="276"/>
        <w:jc w:val="left"/>
      </w:pPr>
      <w:r>
        <w:rPr>
          <w:rFonts w:ascii="Arial" w:cs="Arial" w:eastAsia="Arial" w:hAnsi="Arial"/>
          <w:b w:val="false"/>
          <w:bCs w:val="false"/>
          <w:i w:val="false"/>
          <w:iCs w:val="false"/>
          <w:color w:val="1A1A1A"/>
          <w:sz w:val="20"/>
          <w:szCs w:val="20"/>
        </w:rPr>
        <w:t xml:space="preserve">☑  Referral attributed automatically when referred person uses link or code on registration</w:t>
      </w:r>
    </w:p>
    <w:p>
      <w:pPr>
        <w:spacing w:before="40" w:after="40" w:line="276"/>
        <w:jc w:val="left"/>
      </w:pPr>
      <w:r>
        <w:rPr>
          <w:rFonts w:ascii="Arial" w:cs="Arial" w:eastAsia="Arial" w:hAnsi="Arial"/>
          <w:b w:val="false"/>
          <w:bCs w:val="false"/>
          <w:i w:val="false"/>
          <w:iCs w:val="false"/>
          <w:color w:val="1A1A1A"/>
          <w:sz w:val="20"/>
          <w:szCs w:val="20"/>
        </w:rPr>
        <w:t xml:space="preserve">☑  Activity threshold: minimum 4 sessions or 1 approved project per month to count as active</w:t>
      </w:r>
    </w:p>
    <w:p>
      <w:pPr>
        <w:spacing w:before="40" w:after="40" w:line="276"/>
        <w:jc w:val="left"/>
      </w:pPr>
      <w:r>
        <w:rPr>
          <w:rFonts w:ascii="Arial" w:cs="Arial" w:eastAsia="Arial" w:hAnsi="Arial"/>
          <w:b w:val="false"/>
          <w:bCs w:val="false"/>
          <w:i w:val="false"/>
          <w:iCs w:val="false"/>
          <w:color w:val="1A1A1A"/>
          <w:sz w:val="20"/>
          <w:szCs w:val="20"/>
        </w:rPr>
        <w:t xml:space="preserve">☑  3 consecutive active months required — month failure resets clock (does not void referral)</w:t>
      </w:r>
    </w:p>
    <w:p>
      <w:pPr>
        <w:spacing w:before="40" w:after="40" w:line="276"/>
        <w:jc w:val="left"/>
      </w:pPr>
      <w:r>
        <w:rPr>
          <w:rFonts w:ascii="Arial" w:cs="Arial" w:eastAsia="Arial" w:hAnsi="Arial"/>
          <w:b w:val="false"/>
          <w:bCs w:val="false"/>
          <w:i w:val="false"/>
          <w:iCs w:val="false"/>
          <w:color w:val="1A1A1A"/>
          <w:sz w:val="20"/>
          <w:szCs w:val="20"/>
        </w:rPr>
        <w:t xml:space="preserve">☑  Tiered bonus: ₹5,000 for high-demand domains, ₹3,000 for standard domains</w:t>
      </w:r>
    </w:p>
    <w:p>
      <w:pPr>
        <w:spacing w:before="40" w:after="40" w:line="276"/>
        <w:jc w:val="left"/>
      </w:pPr>
      <w:r>
        <w:rPr>
          <w:rFonts w:ascii="Arial" w:cs="Arial" w:eastAsia="Arial" w:hAnsi="Arial"/>
          <w:b w:val="false"/>
          <w:bCs w:val="false"/>
          <w:i w:val="false"/>
          <w:iCs w:val="false"/>
          <w:color w:val="1A1A1A"/>
          <w:sz w:val="20"/>
          <w:szCs w:val="20"/>
        </w:rPr>
        <w:t xml:space="preserve">☑  Bonus added to Pending Payout immediately on Month 3 confirmation</w:t>
      </w:r>
    </w:p>
    <w:p>
      <w:pPr>
        <w:spacing w:before="40" w:after="40" w:line="276"/>
        <w:jc w:val="left"/>
      </w:pPr>
      <w:r>
        <w:rPr>
          <w:rFonts w:ascii="Arial" w:cs="Arial" w:eastAsia="Arial" w:hAnsi="Arial"/>
          <w:b w:val="false"/>
          <w:bCs w:val="false"/>
          <w:i w:val="false"/>
          <w:iCs w:val="false"/>
          <w:color w:val="1A1A1A"/>
          <w:sz w:val="20"/>
          <w:szCs w:val="20"/>
        </w:rPr>
        <w:t xml:space="preserve">☑  Email notification sent to referring mentor on bonus unlock</w:t>
      </w:r>
    </w:p>
    <w:p>
      <w:pPr>
        <w:spacing w:before="40" w:after="40" w:line="276"/>
        <w:jc w:val="left"/>
      </w:pPr>
      <w:r>
        <w:rPr>
          <w:rFonts w:ascii="Arial" w:cs="Arial" w:eastAsia="Arial" w:hAnsi="Arial"/>
          <w:b w:val="false"/>
          <w:bCs w:val="false"/>
          <w:i w:val="false"/>
          <w:iCs w:val="false"/>
          <w:color w:val="1A1A1A"/>
          <w:sz w:val="20"/>
          <w:szCs w:val="20"/>
        </w:rPr>
        <w:t xml:space="preserve">☑  Quarterly Referral Leaderboard: top-10 referring mentors recognised on platform</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E.6</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Success Rate Tracking</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[Success Rate]   [Placement Tracking]   [Outcome Metrics]   [Performance Record]</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Measure and display the single most important outcome metric for a career mentor — the percentage of their students who achieve meaningful career milestones — creating a performance record that attracts students and builds long-term platform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The platform automatically tracks career outcomes for every student who has been assigned to a mentor. Success events tracked include: Job Placement (student marks 'Got a Job' on their profile or a recruiter marks them as hired), Internship Placement (student secures a paid internship), College Admission (student gains admission to a target programme), Competitive Exam Clearance (student clears a listed competitive exam — JEE, CAT, GATE, UPSC, etc.), and Significant Skill Upgrade (student achieves a 20+ point Eligibility Score improvement). For each mentor, the platform calculates: Placement Rate (% of mentored students who achieved a job or internship placement), Average Time to Placement (from first session to placement — in days), and Outcome by Domain (placement rate broken down by domain — e.g., 82% for Tech students, 65% for Finance students).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Success tracking is largely automatic — the platform monitors student profile changes, recruiter hiring actions, and student self-reported outcomes. When a success event occurs, the system checks whether the student had an active mentor assignment in the 180 days before the event — if yes, the event is attributed to that mentor's success record. Mentors can also manually log a student success with supporting evidence (e.g., a screenshot of an offer letter with personal details redacted). Manually logged successes require a student confirmation before being counted. The mentor's Success Rate card on their dashboard shows: Total Students Mentored, Total Placements, Current Placement Rate, and Average Time to Placement. This data is displayed publicly on the mentor's profile.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Success Rate Dashboard — Mentor Priya Sharma | As of March 2026:
Total Students Mentored: 47
Active Mentoring Relationships: 8
Completed Relationships: 39
Outcomes for Completed Relationships:
Job Placements: 28
Internship Placements: 6
Exam Clearances: 3
No Tracked Outcome: 2
Overall Placement Rate: 87% (34 of 39 completed relationships had a tracked success event)
Average Time to Placement: 94 days from first session
Outcome by Domain:
Technology students: 91% placement rate (21 of 23)
Data &amp; Analytics students: 83% placement rate (10 of 12)
Finance students: 75% placement rate (3 of 4)
Public profile displays: '87% placement rate across 47 students — Average 94 days to placement'</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Placement rate is the ultimate proof-of-value for a career mentor. A mentor who says 'I guide students to jobs' is making a claim. A mentor whose profile reads '87% of my students got placed within an average of 94 days' is presenting evidence that 47 people found convincing enough to pay for. This metric does more to drive new student bookings than any other single number on the mentor profile. It also creates a powerful internal incentive: mentors who know their success rate is tracked will invest more in each student's actual placement — not just in conducting sessions.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Students (full success rate data on mentor's public profile — primary booking conversion metric), Recruiters (placement rate shown on endorsement cards — affects trust in mentor's recommendations), Mentor (full breakdown including by-domain rates in their dashboard). Platform Admin (full outcome data for platform-level analytics).</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Success events tracked: job placement, internship, college admission, exam clearance, skill upgrade</w:t>
      </w:r>
    </w:p>
    <w:p>
      <w:pPr>
        <w:spacing w:before="40" w:after="40" w:line="276"/>
        <w:jc w:val="left"/>
      </w:pPr>
      <w:r>
        <w:rPr>
          <w:rFonts w:ascii="Arial" w:cs="Arial" w:eastAsia="Arial" w:hAnsi="Arial"/>
          <w:b w:val="false"/>
          <w:bCs w:val="false"/>
          <w:i w:val="false"/>
          <w:iCs w:val="false"/>
          <w:color w:val="1A1A1A"/>
          <w:sz w:val="20"/>
          <w:szCs w:val="20"/>
        </w:rPr>
        <w:t xml:space="preserve">☑  Attribution window: success events within 180 days of active mentor assignment</w:t>
      </w:r>
    </w:p>
    <w:p>
      <w:pPr>
        <w:spacing w:before="40" w:after="40" w:line="276"/>
        <w:jc w:val="left"/>
      </w:pPr>
      <w:r>
        <w:rPr>
          <w:rFonts w:ascii="Arial" w:cs="Arial" w:eastAsia="Arial" w:hAnsi="Arial"/>
          <w:b w:val="false"/>
          <w:bCs w:val="false"/>
          <w:i w:val="false"/>
          <w:iCs w:val="false"/>
          <w:color w:val="1A1A1A"/>
          <w:sz w:val="20"/>
          <w:szCs w:val="20"/>
        </w:rPr>
        <w:t xml:space="preserve">☑  Automatic tracking from recruiter hiring actions and student profile updates</w:t>
      </w:r>
    </w:p>
    <w:p>
      <w:pPr>
        <w:spacing w:before="40" w:after="40" w:line="276"/>
        <w:jc w:val="left"/>
      </w:pPr>
      <w:r>
        <w:rPr>
          <w:rFonts w:ascii="Arial" w:cs="Arial" w:eastAsia="Arial" w:hAnsi="Arial"/>
          <w:b w:val="false"/>
          <w:bCs w:val="false"/>
          <w:i w:val="false"/>
          <w:iCs w:val="false"/>
          <w:color w:val="1A1A1A"/>
          <w:sz w:val="20"/>
          <w:szCs w:val="20"/>
        </w:rPr>
        <w:t xml:space="preserve">☑  Manual logging allowed with student confirmation required</w:t>
      </w:r>
    </w:p>
    <w:p>
      <w:pPr>
        <w:spacing w:before="40" w:after="40" w:line="276"/>
        <w:jc w:val="left"/>
      </w:pPr>
      <w:r>
        <w:rPr>
          <w:rFonts w:ascii="Arial" w:cs="Arial" w:eastAsia="Arial" w:hAnsi="Arial"/>
          <w:b w:val="false"/>
          <w:bCs w:val="false"/>
          <w:i w:val="false"/>
          <w:iCs w:val="false"/>
          <w:color w:val="1A1A1A"/>
          <w:sz w:val="20"/>
          <w:szCs w:val="20"/>
        </w:rPr>
        <w:t xml:space="preserve">☑  Success Rate card shows: total students, placements, current rate, average time</w:t>
      </w:r>
    </w:p>
    <w:p>
      <w:pPr>
        <w:spacing w:before="40" w:after="40" w:line="276"/>
        <w:jc w:val="left"/>
      </w:pPr>
      <w:r>
        <w:rPr>
          <w:rFonts w:ascii="Arial" w:cs="Arial" w:eastAsia="Arial" w:hAnsi="Arial"/>
          <w:b w:val="false"/>
          <w:bCs w:val="false"/>
          <w:i w:val="false"/>
          <w:iCs w:val="false"/>
          <w:color w:val="1A1A1A"/>
          <w:sz w:val="20"/>
          <w:szCs w:val="20"/>
        </w:rPr>
        <w:t xml:space="preserve">☑  Breakdown by domain available in mentor dashboard — not just overall rate</w:t>
      </w:r>
    </w:p>
    <w:p>
      <w:pPr>
        <w:spacing w:before="40" w:after="40" w:line="276"/>
        <w:jc w:val="left"/>
      </w:pPr>
      <w:r>
        <w:rPr>
          <w:rFonts w:ascii="Arial" w:cs="Arial" w:eastAsia="Arial" w:hAnsi="Arial"/>
          <w:b w:val="false"/>
          <w:bCs w:val="false"/>
          <w:i w:val="false"/>
          <w:iCs w:val="false"/>
          <w:color w:val="1A1A1A"/>
          <w:sz w:val="20"/>
          <w:szCs w:val="20"/>
        </w:rPr>
        <w:t xml:space="preserve">☑  Success rate displayed on public mentor profile — visible to students and recruiters</w:t>
      </w:r>
    </w:p>
    <w:p>
      <w:pPr>
        <w:spacing w:before="40" w:after="40" w:line="276"/>
        <w:jc w:val="left"/>
      </w:pPr>
      <w:r>
        <w:rPr>
          <w:rFonts w:ascii="Arial" w:cs="Arial" w:eastAsia="Arial" w:hAnsi="Arial"/>
          <w:b w:val="false"/>
          <w:bCs w:val="false"/>
          <w:i w:val="false"/>
          <w:iCs w:val="false"/>
          <w:color w:val="1A1A1A"/>
          <w:sz w:val="20"/>
          <w:szCs w:val="20"/>
        </w:rPr>
        <w:t xml:space="preserve">☑  Rate updated in real time — no manual refresh or recalculation required</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E.7</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Credibility Score</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[Credibility Score]   [Quality Metric]   [Search Ranking]   [Composite Score]</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Provide a single, composite, platform-calculated metric (0–100) that reflects the mentor's overall quality across all dimensions — driving searchability, booking volume, pricing power, and feature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Every mentor on EcoSkiller has a Credibility Score between 0 and 100. The score is calculated from six weighted components: (1) Session Rating Average — average of all student session ratings (1–5 stars), weighted 30%. (2) Placement Success Rate — from the Success Rate Tracking system, weighted 25%. (3) Endorsement Accuracy — from the Endorsement Accountability system, weighted 15%. (4) Project Review Quality — average company satisfaction score from all delivered projects, weighted 15%. (5) Platform Engagement — consistency of session delivery, response time to messages, action item follow-through, weighted 10%. (6) Referral Quality — quality of mentors referred (average credibility of referred mentors), weighted 5%. The score is recalculated weekly. New mentors start with a baseline score of 50 — their score moves up or down based on activity from their first session onwards.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views their Credibility Score on their dashboard — displayed as a prominent number (e.g., 91/100) with a colour indicator: 0–40 red, 41–65 amber, 66–80 light green, 81–100 dark green. Below the score, a Breakdown panel shows each of the 6 components: their current value, their weight in the overall score, and their contribution to the total. A 'What's Affecting My Score' panel shows: the last 3 events that changed the score (e.g., 'Session rating 5 stars — +0.2 score impact on 10 March'), and the top 2 improvement opportunities (e.g., 'Your project review quality component is 68/100 — completing more project reviews with high company satisfaction will raise this'). The score directly affects: search result ranking (higher score = higher placement), platform weekly payout eligibility (75+ required), World-Class endorsement confirmation (80+ required), and Pricing Recommendation Engine inputs.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Credibility Score Breakdown — Mentor Priya Sharma | 10 March 2026:
Overall Score: 91 / 100  [Dark Green]
Component                    Value    Weight    Contribution
Session Rating Average       4.8/5    30%       28.8
Placement Success Rate       87%      25%       21.8
Endorsement Accuracy         94%      15%       14.1
Project Review Quality       88%      15%       13.2
Platform Engagement          95%      10%       9.5
Referral Quality             80%      5%        4.0
Total Score: 91.4 → Displayed as 91
Last 3 Score Events:
+0.3 on 09 March: Session rating 5 stars from student Meera Kapoor
+1.2 on 07 March: DataCorp project accepted — company satisfaction: 5/5
-0.1 on 03 March: Session rating 3 stars from student Vikram Nair
Top 2 Improvement Opportunities:
1. Project Review Quality is currently 88/100. Completing 2 more high-rated projects will push it above 90 — estimated overall score impact: +0.6.
2. Referral Quality (80/100) — your current referral Sunita Reddy's credibility is 62. Supporting her growth will raise your referral component.</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The Credibility Score solves the fundamental platform discovery problem: when a student searches for a 'Technology Career Mentor in Pune,' they may find 40 results. Without a quality signal, they will choose based on photo and price — both poor proxies for actual quality. The score distils all available quality data into one number that students can trust as a platform-verified assessment. For mentors, the transparent breakdown with improvement opportunities creates a specific, actionable roadmap to earning more — not a vague 'be better' suggestion. Every component of the score maps to a behaviour mentors can actively improve.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Students (overall score on public profile — not the breakdown). Recruiters (overall score on mentor profile — affects trust in endorsements). Mentor (full breakdown with component scores and improvement guidance). Platform Admin (full calculation history).</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Six weighted components: session rating (30%), placement rate (25%), endorsement accuracy (15%), project quality (15%), engagement (10%), referral quality (5%)</w:t>
      </w:r>
    </w:p>
    <w:p>
      <w:pPr>
        <w:spacing w:before="40" w:after="40" w:line="276"/>
        <w:jc w:val="left"/>
      </w:pPr>
      <w:r>
        <w:rPr>
          <w:rFonts w:ascii="Arial" w:cs="Arial" w:eastAsia="Arial" w:hAnsi="Arial"/>
          <w:b w:val="false"/>
          <w:bCs w:val="false"/>
          <w:i w:val="false"/>
          <w:iCs w:val="false"/>
          <w:color w:val="1A1A1A"/>
          <w:sz w:val="20"/>
          <w:szCs w:val="20"/>
        </w:rPr>
        <w:t xml:space="preserve">☑  Score recalculated weekly — not in real time to prevent gaming</w:t>
      </w:r>
    </w:p>
    <w:p>
      <w:pPr>
        <w:spacing w:before="40" w:after="40" w:line="276"/>
        <w:jc w:val="left"/>
      </w:pPr>
      <w:r>
        <w:rPr>
          <w:rFonts w:ascii="Arial" w:cs="Arial" w:eastAsia="Arial" w:hAnsi="Arial"/>
          <w:b w:val="false"/>
          <w:bCs w:val="false"/>
          <w:i w:val="false"/>
          <w:iCs w:val="false"/>
          <w:color w:val="1A1A1A"/>
          <w:sz w:val="20"/>
          <w:szCs w:val="20"/>
        </w:rPr>
        <w:t xml:space="preserve">☑  New mentor baseline: 50/100 — score moves from first session onwards</w:t>
      </w:r>
    </w:p>
    <w:p>
      <w:pPr>
        <w:spacing w:before="40" w:after="40" w:line="276"/>
        <w:jc w:val="left"/>
      </w:pPr>
      <w:r>
        <w:rPr>
          <w:rFonts w:ascii="Arial" w:cs="Arial" w:eastAsia="Arial" w:hAnsi="Arial"/>
          <w:b w:val="false"/>
          <w:bCs w:val="false"/>
          <w:i w:val="false"/>
          <w:iCs w:val="false"/>
          <w:color w:val="1A1A1A"/>
          <w:sz w:val="20"/>
          <w:szCs w:val="20"/>
        </w:rPr>
        <w:t xml:space="preserve">☑  Score colour indicator: red (0-40), amber (41-65), light green (66-80), dark green (81-100)</w:t>
      </w:r>
    </w:p>
    <w:p>
      <w:pPr>
        <w:spacing w:before="40" w:after="40" w:line="276"/>
        <w:jc w:val="left"/>
      </w:pPr>
      <w:r>
        <w:rPr>
          <w:rFonts w:ascii="Arial" w:cs="Arial" w:eastAsia="Arial" w:hAnsi="Arial"/>
          <w:b w:val="false"/>
          <w:bCs w:val="false"/>
          <w:i w:val="false"/>
          <w:iCs w:val="false"/>
          <w:color w:val="1A1A1A"/>
          <w:sz w:val="20"/>
          <w:szCs w:val="20"/>
        </w:rPr>
        <w:t xml:space="preserve">☑  Breakdown panel shows: component value, weight, contribution to total</w:t>
      </w:r>
    </w:p>
    <w:p>
      <w:pPr>
        <w:spacing w:before="40" w:after="40" w:line="276"/>
        <w:jc w:val="left"/>
      </w:pPr>
      <w:r>
        <w:rPr>
          <w:rFonts w:ascii="Arial" w:cs="Arial" w:eastAsia="Arial" w:hAnsi="Arial"/>
          <w:b w:val="false"/>
          <w:bCs w:val="false"/>
          <w:i w:val="false"/>
          <w:iCs w:val="false"/>
          <w:color w:val="1A1A1A"/>
          <w:sz w:val="20"/>
          <w:szCs w:val="20"/>
        </w:rPr>
        <w:t xml:space="preserve">☑  'What's Affecting My Score' panel: last 3 events + top 2 improvement opportunities</w:t>
      </w:r>
    </w:p>
    <w:p>
      <w:pPr>
        <w:spacing w:before="40" w:after="40" w:line="276"/>
        <w:jc w:val="left"/>
      </w:pPr>
      <w:r>
        <w:rPr>
          <w:rFonts w:ascii="Arial" w:cs="Arial" w:eastAsia="Arial" w:hAnsi="Arial"/>
          <w:b w:val="false"/>
          <w:bCs w:val="false"/>
          <w:i w:val="false"/>
          <w:iCs w:val="false"/>
          <w:color w:val="1A1A1A"/>
          <w:sz w:val="20"/>
          <w:szCs w:val="20"/>
        </w:rPr>
        <w:t xml:space="preserve">☑  Score gates: 75+ for weekly payout, 80+ for World-Class endorsement confirmation</w:t>
      </w:r>
    </w:p>
    <w:p>
      <w:pPr>
        <w:spacing w:before="40" w:after="40" w:line="276"/>
        <w:jc w:val="left"/>
      </w:pPr>
      <w:r>
        <w:rPr>
          <w:rFonts w:ascii="Arial" w:cs="Arial" w:eastAsia="Arial" w:hAnsi="Arial"/>
          <w:b w:val="false"/>
          <w:bCs w:val="false"/>
          <w:i w:val="false"/>
          <w:iCs w:val="false"/>
          <w:color w:val="1A1A1A"/>
          <w:sz w:val="20"/>
          <w:szCs w:val="20"/>
        </w:rPr>
        <w:t xml:space="preserve">☑  Students and recruiters see overall score only — component breakdown is mentor-private</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E.8</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Growth Insights</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[Analytics]   [Growth]   [Booking Patterns]   [Income Optimisation]</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Provide mentors with actionable, data-driven intelligence about their own performance patterns — enabling them to optimise their availability, pricing, service mix, and focus areas to maximise both income and student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Growth Insights is an analytics section within the mentor's dashboard that transforms raw platform activity data into strategic recommendations. It covers five insight categories: (1) Booking Patterns — which days, times, and months attract the most bookings. (2) Domain Demand — which of the mentor's domains is receiving the most search interest and booking conversions. (3) Session Duration Preference — what percentage of students prefer 30-minute vs 60-minute sessions, and how this varies by student type (school, college, professional). (4) Repeat Booking Rate — what percentage of students book a second session after the first, and what factors are correlated with high repeat rates (session rating, action item completion, time-to-second-booking). (5) Income Optimisation Suggestions — specific, personalised recommendations for how the mentor can increase monthly earnings based on their current patterns.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navigates to Dashboard → Growth Insights. The page loads with 5 sections, each with a chart or metric and a plain-language interpretation below it. All data covers the trailing 6 months by default — the mentor can switch to 3 months or 12 months. Examples of what each section shows: Booking Patterns chart (heatmap of day-of-week and time-of-day bookings — hottest slots highlighted). Domain Demand bar chart (search impressions and booking conversions per domain — e.g., Data Analysis: 340 impressions, 28 bookings; Career Guidance: 120 impressions, 8 bookings). Session Duration chart (pie: 68% of students choose 60-minute, 32% choose 30-minute). Repeat Rate metric (42% of students book a second session — platform median: 38%). Income Optimisation section (3–5 specific action cards — e.g., 'You have no Group Sessions scheduled this month. Your domain has high group demand — scheduling 2 group sessions in April could add ₹4,000–₹6,000 to your monthly income.').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Growth Insights — Mentor Priya Sharma | March 2026 (6-month view):
Booking Patterns:
Peak booking days: Thursday and Saturday.
Peak booking times: 6 PM – 9 PM (weekdays), 10 AM – 1 PM (weekends).
Insight: 'Your Tuesday and Wednesday 5–6 PM slots have 0 bookings in 6 months. Consider removing them to reduce calendar clutter and add more Thursday evening slots.'
Domain Demand:
Data Analysis: 340 impressions, 28 bookings (8.2% conversion)
Career Guidance (general): 120 impressions, 8 bookings (6.7% conversion)
Interview Preparation: 85 impressions, 12 bookings (14.1% conversion)
Insight: 'Interview Preparation has your highest conversion rate (14.1%) but only 3 availability slots per week. Increasing slots for this specialisation could significantly increase booking volume.'
Repeat Booking Rate: 42% (platform median: 38%) — Above average.
Insight: 'Students who complete their first session action items book a second session 71% of the time. Students who don't complete action items only return 18% of the time. Your action item completion follow-up is your biggest repeat booking driver.'
Income Optimisation — Top Suggestions:
1. Schedule 2 Group Sessions in April (topic: Resume Building) — estimated additional income: ₹4,200.
2. Add Interview Prep as a featured specialisation tag — could increase impressions by 30–40%.
3. Raise 30-minute session fee from ₹500 to ₹600 — Price Sensitivity Indicator remains green at ₹600.</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Most mentors on any platform operate on instinct — they offer times that suit them, price what feels right, and wonder why some months are busier than others. Growth Insights replaces instinct with evidence. The Tuesday slot that has never been booked in 6 months is invisible to the mentor without this data — but once they see it, the decision to remove it takes 10 seconds. The action item completion correlation with repeat bookings is a counterintuitive finding that immediately changes mentor behaviour: investing in follow-through is not just good for students — it is the single biggest driver of the mentor's own repeat revenue.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Mentor only (all Growth Insights data is private — no other user type has access). Platform Admin has read-only access for aggregate platform analytics (individual mentor data is not shared).</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Five insight categories: booking patterns, domain demand, session duration, repeat rate, income optimisation</w:t>
      </w:r>
    </w:p>
    <w:p>
      <w:pPr>
        <w:spacing w:before="40" w:after="40" w:line="276"/>
        <w:jc w:val="left"/>
      </w:pPr>
      <w:r>
        <w:rPr>
          <w:rFonts w:ascii="Arial" w:cs="Arial" w:eastAsia="Arial" w:hAnsi="Arial"/>
          <w:b w:val="false"/>
          <w:bCs w:val="false"/>
          <w:i w:val="false"/>
          <w:iCs w:val="false"/>
          <w:color w:val="1A1A1A"/>
          <w:sz w:val="20"/>
          <w:szCs w:val="20"/>
        </w:rPr>
        <w:t xml:space="preserve">☑  Default view: trailing 6 months — switchable to 3 or 12 months</w:t>
      </w:r>
    </w:p>
    <w:p>
      <w:pPr>
        <w:spacing w:before="40" w:after="40" w:line="276"/>
        <w:jc w:val="left"/>
      </w:pPr>
      <w:r>
        <w:rPr>
          <w:rFonts w:ascii="Arial" w:cs="Arial" w:eastAsia="Arial" w:hAnsi="Arial"/>
          <w:b w:val="false"/>
          <w:bCs w:val="false"/>
          <w:i w:val="false"/>
          <w:iCs w:val="false"/>
          <w:color w:val="1A1A1A"/>
          <w:sz w:val="20"/>
          <w:szCs w:val="20"/>
        </w:rPr>
        <w:t xml:space="preserve">☑  Booking Patterns shown as day/time heatmap — peak slots highlighted</w:t>
      </w:r>
    </w:p>
    <w:p>
      <w:pPr>
        <w:spacing w:before="40" w:after="40" w:line="276"/>
        <w:jc w:val="left"/>
      </w:pPr>
      <w:r>
        <w:rPr>
          <w:rFonts w:ascii="Arial" w:cs="Arial" w:eastAsia="Arial" w:hAnsi="Arial"/>
          <w:b w:val="false"/>
          <w:bCs w:val="false"/>
          <w:i w:val="false"/>
          <w:iCs w:val="false"/>
          <w:color w:val="1A1A1A"/>
          <w:sz w:val="20"/>
          <w:szCs w:val="20"/>
        </w:rPr>
        <w:t xml:space="preserve">☑  Domain Demand shows both impressions and conversion rate — not just booking count</w:t>
      </w:r>
    </w:p>
    <w:p>
      <w:pPr>
        <w:spacing w:before="40" w:after="40" w:line="276"/>
        <w:jc w:val="left"/>
      </w:pPr>
      <w:r>
        <w:rPr>
          <w:rFonts w:ascii="Arial" w:cs="Arial" w:eastAsia="Arial" w:hAnsi="Arial"/>
          <w:b w:val="false"/>
          <w:bCs w:val="false"/>
          <w:i w:val="false"/>
          <w:iCs w:val="false"/>
          <w:color w:val="1A1A1A"/>
          <w:sz w:val="20"/>
          <w:szCs w:val="20"/>
        </w:rPr>
        <w:t xml:space="preserve">☑  Repeat Booking Rate compared to platform median — benchmarked, not absolute</w:t>
      </w:r>
    </w:p>
    <w:p>
      <w:pPr>
        <w:spacing w:before="40" w:after="40" w:line="276"/>
        <w:jc w:val="left"/>
      </w:pPr>
      <w:r>
        <w:rPr>
          <w:rFonts w:ascii="Arial" w:cs="Arial" w:eastAsia="Arial" w:hAnsi="Arial"/>
          <w:b w:val="false"/>
          <w:bCs w:val="false"/>
          <w:i w:val="false"/>
          <w:iCs w:val="false"/>
          <w:color w:val="1A1A1A"/>
          <w:sz w:val="20"/>
          <w:szCs w:val="20"/>
        </w:rPr>
        <w:t xml:space="preserve">☑  Income Optimisation section: 3–5 specific action cards with estimated income impact</w:t>
      </w:r>
    </w:p>
    <w:p>
      <w:pPr>
        <w:spacing w:before="40" w:after="40" w:line="276"/>
        <w:jc w:val="left"/>
      </w:pPr>
      <w:r>
        <w:rPr>
          <w:rFonts w:ascii="Arial" w:cs="Arial" w:eastAsia="Arial" w:hAnsi="Arial"/>
          <w:b w:val="false"/>
          <w:bCs w:val="false"/>
          <w:i w:val="false"/>
          <w:iCs w:val="false"/>
          <w:color w:val="1A1A1A"/>
          <w:sz w:val="20"/>
          <w:szCs w:val="20"/>
        </w:rPr>
        <w:t xml:space="preserve">☑  All insights include plain-language interpretation — not just raw data charts</w:t>
      </w:r>
    </w:p>
    <w:p>
      <w:pPr>
        <w:spacing w:before="40" w:after="40" w:line="276"/>
        <w:jc w:val="left"/>
      </w:pPr>
      <w:r>
        <w:rPr>
          <w:rFonts w:ascii="Arial" w:cs="Arial" w:eastAsia="Arial" w:hAnsi="Arial"/>
          <w:b w:val="false"/>
          <w:bCs w:val="false"/>
          <w:i w:val="false"/>
          <w:iCs w:val="false"/>
          <w:color w:val="1A1A1A"/>
          <w:sz w:val="20"/>
          <w:szCs w:val="20"/>
        </w:rPr>
        <w:t xml:space="preserve">☑  Insights updated weekly — in sync with Credibility Score recalculation cycle</w:t>
      </w:r>
    </w:p>
    <w:p>
      <w:pPr>
        <w:pageBreakBefore/>
        <w:spacing w:before="0" w:after="0"/>
      </w:pPr>
    </w:p>
    <w:p>
      <w:pPr>
        <w:pBdr>
          <w:bottom w:val="single" w:color="1B5E20" w:sz="8" w:space="2"/>
        </w:pBdr>
        <w:spacing w:before="400" w:after="120"/>
      </w:pPr>
      <w:r>
        <w:rPr>
          <w:rFonts w:ascii="Arial" w:cs="Arial" w:eastAsia="Arial" w:hAnsi="Arial"/>
          <w:b/>
          <w:bCs/>
          <w:color w:val="1B5E20"/>
          <w:sz w:val="32"/>
          <w:szCs w:val="32"/>
        </w:rPr>
        <w:t xml:space="preserve">Section E Summary</w:t>
      </w:r>
    </w:p>
    <w:p>
      <w:pPr>
        <w:spacing w:before="120" w:after="80" w:line="276"/>
        <w:jc w:val="left"/>
      </w:pPr>
      <w:r>
        <w:rPr>
          <w:rFonts w:ascii="Arial" w:cs="Arial" w:eastAsia="Arial" w:hAnsi="Arial"/>
          <w:b w:val="false"/>
          <w:bCs w:val="false"/>
          <w:i w:val="false"/>
          <w:iCs w:val="false"/>
          <w:color w:val="1A1A1A"/>
          <w:sz w:val="22"/>
          <w:szCs w:val="22"/>
        </w:rPr>
        <w:t xml:space="preserve">Section E contains 8 features that together form a complete financial and strategic growth engine for mentors. The section is built on a single core principle: quality should automatically translate into income. Every feature in the section enforces this principle:</w:t>
      </w:r>
    </w:p>
    <w:p>
      <w:pPr>
        <w:spacing w:before="50" w:after="50" w:line="276"/>
        <w:jc w:val="left"/>
      </w:pPr>
      <w:r>
        <w:rPr>
          <w:rFonts w:ascii="Arial" w:cs="Arial" w:eastAsia="Arial" w:hAnsi="Arial"/>
          <w:b w:val="false"/>
          <w:bCs w:val="false"/>
          <w:i w:val="false"/>
          <w:iCs w:val="false"/>
          <w:color w:val="1A1A1A"/>
          <w:sz w:val="21"/>
          <w:szCs w:val="21"/>
        </w:rPr>
        <w:t xml:space="preserve">→  E.1 Session Fee Setting — pricing power tied to market demand and credibility</w:t>
      </w:r>
    </w:p>
    <w:p>
      <w:pPr>
        <w:spacing w:before="50" w:after="50" w:line="276"/>
        <w:jc w:val="left"/>
      </w:pPr>
      <w:r>
        <w:rPr>
          <w:rFonts w:ascii="Arial" w:cs="Arial" w:eastAsia="Arial" w:hAnsi="Arial"/>
          <w:b w:val="false"/>
          <w:bCs w:val="false"/>
          <w:i w:val="false"/>
          <w:iCs w:val="false"/>
          <w:color w:val="1A1A1A"/>
          <w:sz w:val="21"/>
          <w:szCs w:val="21"/>
        </w:rPr>
        <w:t xml:space="preserve">→  E.2 Earnings Dashboard — complete financial transparency across all income streams</w:t>
      </w:r>
    </w:p>
    <w:p>
      <w:pPr>
        <w:spacing w:before="50" w:after="50" w:line="276"/>
        <w:jc w:val="left"/>
      </w:pPr>
      <w:r>
        <w:rPr>
          <w:rFonts w:ascii="Arial" w:cs="Arial" w:eastAsia="Arial" w:hAnsi="Arial"/>
          <w:b w:val="false"/>
          <w:bCs w:val="false"/>
          <w:i w:val="false"/>
          <w:iCs w:val="false"/>
          <w:color w:val="1A1A1A"/>
          <w:sz w:val="21"/>
          <w:szCs w:val="21"/>
        </w:rPr>
        <w:t xml:space="preserve">→  E.3 Revenue Share Model — clearly defined, consistently applied splits with no hidden fees</w:t>
      </w:r>
    </w:p>
    <w:p>
      <w:pPr>
        <w:spacing w:before="50" w:after="50" w:line="276"/>
        <w:jc w:val="left"/>
      </w:pPr>
      <w:r>
        <w:rPr>
          <w:rFonts w:ascii="Arial" w:cs="Arial" w:eastAsia="Arial" w:hAnsi="Arial"/>
          <w:b w:val="false"/>
          <w:bCs w:val="false"/>
          <w:i w:val="false"/>
          <w:iCs w:val="false"/>
          <w:color w:val="1A1A1A"/>
          <w:sz w:val="21"/>
          <w:szCs w:val="21"/>
        </w:rPr>
        <w:t xml:space="preserve">→  E.4 Payment Schedule — reliable automated payout with zero administrative burden</w:t>
      </w:r>
    </w:p>
    <w:p>
      <w:pPr>
        <w:spacing w:before="50" w:after="50" w:line="276"/>
        <w:jc w:val="left"/>
      </w:pPr>
      <w:r>
        <w:rPr>
          <w:rFonts w:ascii="Arial" w:cs="Arial" w:eastAsia="Arial" w:hAnsi="Arial"/>
          <w:b w:val="false"/>
          <w:bCs w:val="false"/>
          <w:i w:val="false"/>
          <w:iCs w:val="false"/>
          <w:color w:val="1A1A1A"/>
          <w:sz w:val="21"/>
          <w:szCs w:val="21"/>
        </w:rPr>
        <w:t xml:space="preserve">→  E.5 Referral Bonus — network growth rewarded with tiered financial incentives</w:t>
      </w:r>
    </w:p>
    <w:p>
      <w:pPr>
        <w:spacing w:before="50" w:after="50" w:line="276"/>
        <w:jc w:val="left"/>
      </w:pPr>
      <w:r>
        <w:rPr>
          <w:rFonts w:ascii="Arial" w:cs="Arial" w:eastAsia="Arial" w:hAnsi="Arial"/>
          <w:b w:val="false"/>
          <w:bCs w:val="false"/>
          <w:i w:val="false"/>
          <w:iCs w:val="false"/>
          <w:color w:val="1A1A1A"/>
          <w:sz w:val="21"/>
          <w:szCs w:val="21"/>
        </w:rPr>
        <w:t xml:space="preserve">→  E.6 Success Rate Tracking — placement outcomes made visible as a primary booking signal</w:t>
      </w:r>
    </w:p>
    <w:p>
      <w:pPr>
        <w:spacing w:before="50" w:after="50" w:line="276"/>
        <w:jc w:val="left"/>
      </w:pPr>
      <w:r>
        <w:rPr>
          <w:rFonts w:ascii="Arial" w:cs="Arial" w:eastAsia="Arial" w:hAnsi="Arial"/>
          <w:b w:val="false"/>
          <w:bCs w:val="false"/>
          <w:i w:val="false"/>
          <w:iCs w:val="false"/>
          <w:color w:val="1A1A1A"/>
          <w:sz w:val="21"/>
          <w:szCs w:val="21"/>
        </w:rPr>
        <w:t xml:space="preserve">→  E.7 Credibility Score — composite quality score that drives search ranking and feature access</w:t>
      </w:r>
    </w:p>
    <w:p>
      <w:pPr>
        <w:spacing w:before="50" w:after="50" w:line="276"/>
        <w:jc w:val="left"/>
      </w:pPr>
      <w:r>
        <w:rPr>
          <w:rFonts w:ascii="Arial" w:cs="Arial" w:eastAsia="Arial" w:hAnsi="Arial"/>
          <w:b w:val="false"/>
          <w:bCs w:val="false"/>
          <w:i w:val="false"/>
          <w:iCs w:val="false"/>
          <w:color w:val="1A1A1A"/>
          <w:sz w:val="21"/>
          <w:szCs w:val="21"/>
        </w:rPr>
        <w:t xml:space="preserve">→  E.8 Growth Insights — data-driven intelligence that converts platform activity into strategic action</w:t>
      </w:r>
    </w:p>
    <w:p>
      <w:pPr>
        <w:spacing w:before="120" w:after="120" w:line="276"/>
        <w:jc w:val="left"/>
      </w:pPr>
      <w:r>
        <w:rPr>
          <w:rFonts w:ascii="Arial" w:cs="Arial" w:eastAsia="Arial" w:hAnsi="Arial"/>
          <w:b w:val="false"/>
          <w:bCs w:val="false"/>
          <w:i w:val="false"/>
          <w:iCs w:val="false"/>
          <w:color w:val="1A1A1A"/>
          <w:sz w:val="22"/>
          <w:szCs w:val="22"/>
        </w:rPr>
        <w:t xml:space="preserve">A mentor who engages with all 8 features — setting prices based on data, monitoring earnings weekly, making decisions based on Growth Insights, and maintaining a high Credibility Score — will build a mentoring practice that grows in income and impact with every passing month.</w:t>
      </w:r>
    </w:p>
    <w:p>
      <w:pPr>
        <w:spacing w:before="80" w:after="80"/>
      </w:pPr>
      <w:r>
        <w:rPr>
          <w:rFonts w:ascii="Arial" w:cs="Arial" w:eastAsia="Arial" w:hAnsi="Arial"/>
          <w:b/>
          <w:bCs/>
          <w:color w:val="00695C"/>
          <w:sz w:val="22"/>
          <w:szCs w:val="22"/>
        </w:rPr>
        <w:t xml:space="preserve">Section E Completion Checklist</w:t>
      </w:r>
    </w:p>
    <w:p>
      <w:pPr>
        <w:spacing w:before="40" w:after="40" w:line="276"/>
        <w:jc w:val="left"/>
      </w:pPr>
      <w:r>
        <w:rPr>
          <w:rFonts w:ascii="Arial" w:cs="Arial" w:eastAsia="Arial" w:hAnsi="Arial"/>
          <w:b w:val="false"/>
          <w:bCs w:val="false"/>
          <w:i w:val="false"/>
          <w:iCs w:val="false"/>
          <w:color w:val="1A1A1A"/>
          <w:sz w:val="20"/>
          <w:szCs w:val="20"/>
        </w:rPr>
        <w:t xml:space="preserve">☑  Session fees set for both 30-minute and 60-minute durations</w:t>
      </w:r>
    </w:p>
    <w:p>
      <w:pPr>
        <w:spacing w:before="40" w:after="40" w:line="276"/>
        <w:jc w:val="left"/>
      </w:pPr>
      <w:r>
        <w:rPr>
          <w:rFonts w:ascii="Arial" w:cs="Arial" w:eastAsia="Arial" w:hAnsi="Arial"/>
          <w:b w:val="false"/>
          <w:bCs w:val="false"/>
          <w:i w:val="false"/>
          <w:iCs w:val="false"/>
          <w:color w:val="1A1A1A"/>
          <w:sz w:val="20"/>
          <w:szCs w:val="20"/>
        </w:rPr>
        <w:t xml:space="preserve">☑  Pricing Recommendation Engine suggestion reviewed and fee calibrated</w:t>
      </w:r>
    </w:p>
    <w:p>
      <w:pPr>
        <w:spacing w:before="40" w:after="40" w:line="276"/>
        <w:jc w:val="left"/>
      </w:pPr>
      <w:r>
        <w:rPr>
          <w:rFonts w:ascii="Arial" w:cs="Arial" w:eastAsia="Arial" w:hAnsi="Arial"/>
          <w:b w:val="false"/>
          <w:bCs w:val="false"/>
          <w:i w:val="false"/>
          <w:iCs w:val="false"/>
          <w:color w:val="1A1A1A"/>
          <w:sz w:val="20"/>
          <w:szCs w:val="20"/>
        </w:rPr>
        <w:t xml:space="preserve">☑  Bank account registered and verified with ₹1 test transfer</w:t>
      </w:r>
    </w:p>
    <w:p>
      <w:pPr>
        <w:spacing w:before="40" w:after="40" w:line="276"/>
        <w:jc w:val="left"/>
      </w:pPr>
      <w:r>
        <w:rPr>
          <w:rFonts w:ascii="Arial" w:cs="Arial" w:eastAsia="Arial" w:hAnsi="Arial"/>
          <w:b w:val="false"/>
          <w:bCs w:val="false"/>
          <w:i w:val="false"/>
          <w:iCs w:val="false"/>
          <w:color w:val="1A1A1A"/>
          <w:sz w:val="20"/>
          <w:szCs w:val="20"/>
        </w:rPr>
        <w:t xml:space="preserve">☑  Earnings Dashboard reviewed at least weekly</w:t>
      </w:r>
    </w:p>
    <w:p>
      <w:pPr>
        <w:spacing w:before="40" w:after="40" w:line="276"/>
        <w:jc w:val="left"/>
      </w:pPr>
      <w:r>
        <w:rPr>
          <w:rFonts w:ascii="Arial" w:cs="Arial" w:eastAsia="Arial" w:hAnsi="Arial"/>
          <w:b w:val="false"/>
          <w:bCs w:val="false"/>
          <w:i w:val="false"/>
          <w:iCs w:val="false"/>
          <w:color w:val="1A1A1A"/>
          <w:sz w:val="20"/>
          <w:szCs w:val="20"/>
        </w:rPr>
        <w:t xml:space="preserve">☑  Monthly payout confirmed on 5th of each month</w:t>
      </w:r>
    </w:p>
    <w:p>
      <w:pPr>
        <w:spacing w:before="40" w:after="40" w:line="276"/>
        <w:jc w:val="left"/>
      </w:pPr>
      <w:r>
        <w:rPr>
          <w:rFonts w:ascii="Arial" w:cs="Arial" w:eastAsia="Arial" w:hAnsi="Arial"/>
          <w:b w:val="false"/>
          <w:bCs w:val="false"/>
          <w:i w:val="false"/>
          <w:iCs w:val="false"/>
          <w:color w:val="1A1A1A"/>
          <w:sz w:val="20"/>
          <w:szCs w:val="20"/>
        </w:rPr>
        <w:t xml:space="preserve">☑  At least 2 mentor referrals submitted in the first 3 months on platform</w:t>
      </w:r>
    </w:p>
    <w:p>
      <w:pPr>
        <w:spacing w:before="40" w:after="40" w:line="276"/>
        <w:jc w:val="left"/>
      </w:pPr>
      <w:r>
        <w:rPr>
          <w:rFonts w:ascii="Arial" w:cs="Arial" w:eastAsia="Arial" w:hAnsi="Arial"/>
          <w:b w:val="false"/>
          <w:bCs w:val="false"/>
          <w:i w:val="false"/>
          <w:iCs w:val="false"/>
          <w:color w:val="1A1A1A"/>
          <w:sz w:val="20"/>
          <w:szCs w:val="20"/>
        </w:rPr>
        <w:t xml:space="preserve">☑  Success Rate card reviewed monthly — outcomes logged promptly</w:t>
      </w:r>
    </w:p>
    <w:p>
      <w:pPr>
        <w:spacing w:before="40" w:after="40" w:line="276"/>
        <w:jc w:val="left"/>
      </w:pPr>
      <w:r>
        <w:rPr>
          <w:rFonts w:ascii="Arial" w:cs="Arial" w:eastAsia="Arial" w:hAnsi="Arial"/>
          <w:b w:val="false"/>
          <w:bCs w:val="false"/>
          <w:i w:val="false"/>
          <w:iCs w:val="false"/>
          <w:color w:val="1A1A1A"/>
          <w:sz w:val="20"/>
          <w:szCs w:val="20"/>
        </w:rPr>
        <w:t xml:space="preserve">☑  Credibility Score breakdown reviewed — top 2 improvement opportunities actioned</w:t>
      </w:r>
    </w:p>
    <w:p>
      <w:pPr>
        <w:spacing w:before="40" w:after="40" w:line="276"/>
        <w:jc w:val="left"/>
      </w:pPr>
      <w:r>
        <w:rPr>
          <w:rFonts w:ascii="Arial" w:cs="Arial" w:eastAsia="Arial" w:hAnsi="Arial"/>
          <w:b w:val="false"/>
          <w:bCs w:val="false"/>
          <w:i w:val="false"/>
          <w:iCs w:val="false"/>
          <w:color w:val="1A1A1A"/>
          <w:sz w:val="20"/>
          <w:szCs w:val="20"/>
        </w:rPr>
        <w:t xml:space="preserve">☑  Growth Insights reviewed monthly — booking pattern and income optimisation cards actioned</w:t>
      </w:r>
    </w:p>
    <w:p>
      <w:pPr>
        <w:spacing w:before="300" w:after="60"/>
      </w:pPr>
      <w:r>
        <w:rPr>
          <w:rFonts w:ascii="Arial" w:cs="Arial" w:eastAsia="Arial" w:hAnsi="Arial"/>
          <w:i/>
          <w:iCs/>
          <w:color w:val="616161"/>
          <w:sz w:val="18"/>
          <w:szCs w:val="18"/>
        </w:rPr>
        <w:t xml:space="preserve">EcoSkiller Mentor Module — Section E: Earnings &amp; Growth  |  v1.0  |  March 2026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space="4"/>
      </w:pBdr>
      <w:spacing w:before="80"/>
      <w:jc w:val="center"/>
    </w:pPr>
    <w:r>
      <w:rPr>
        <w:rFonts w:ascii="Arial" w:cs="Arial" w:eastAsia="Arial" w:hAnsi="Arial"/>
        <w:color w:val="616161"/>
        <w:sz w:val="18"/>
        <w:szCs w:val="18"/>
      </w:rPr>
      <w:t xml:space="preserve">Page </w:t>
    </w:r>
    <w:r>
      <w:rPr>
        <w:rFonts w:ascii="Arial" w:cs="Arial" w:eastAsia="Arial" w:hAnsi="Arial"/>
        <w:color w:val="616161"/>
        <w:sz w:val="18"/>
        <w:szCs w:val="18"/>
      </w:rPr>
      <w:fldChar w:fldCharType="begin"/>
      <w:instrText xml:space="preserve">PAGE</w:instrText>
      <w:fldChar w:fldCharType="separate"/>
      <w:fldChar w:fldCharType="end"/>
    </w:r>
    <w:r>
      <w:rPr>
        <w:rFonts w:ascii="Arial" w:cs="Arial" w:eastAsia="Arial" w:hAnsi="Arial"/>
        <w:color w:val="616161"/>
        <w:sz w:val="18"/>
        <w:szCs w:val="18"/>
      </w:rPr>
      <w:t xml:space="preserve"> of </w:t>
    </w:r>
    <w:r>
      <w:rPr>
        <w:rFonts w:ascii="Arial" w:cs="Arial" w:eastAsia="Arial" w:hAnsi="Arial"/>
        <w:color w:val="616161"/>
        <w:sz w:val="18"/>
        <w:szCs w:val="18"/>
      </w:rPr>
      <w:fldChar w:fldCharType="begin"/>
      <w:instrText xml:space="preserve">NUMPAGES</w:instrText>
      <w:fldChar w:fldCharType="separate"/>
      <w:fldChar w:fldCharType="end"/>
    </w:r>
    <w:r>
      <w:rPr>
        <w:rFonts w:ascii="Arial" w:cs="Arial" w:eastAsia="Arial" w:hAnsi="Arial"/>
        <w:color w:val="616161"/>
        <w:sz w:val="18"/>
        <w:szCs w:val="18"/>
      </w:rPr>
      <w:t xml:space="preserve">  |  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space="4"/>
      </w:pBdr>
      <w:spacing w:after="80"/>
      <w:jc w:val="right"/>
    </w:pPr>
    <w:r>
      <w:rPr>
        <w:rFonts w:ascii="Arial" w:cs="Arial" w:eastAsia="Arial" w:hAnsi="Arial"/>
        <w:color w:val="616161"/>
        <w:sz w:val="18"/>
        <w:szCs w:val="18"/>
      </w:rPr>
      <w:t xml:space="preserve">EcoSkiller  |  Mentor Module  |  Section E: Earnings &amp; Growth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2026-03-09T09:58:12.894Z</dcterms:created>
  <dcterms:modified xsi:type="dcterms:W3CDTF">2026-03-09T09:58:12.895Z</dcterms:modified>
</cp:coreProperties>
</file>

<file path=docProps/custom.xml><?xml version="1.0" encoding="utf-8"?>
<Properties xmlns="http://schemas.openxmlformats.org/officeDocument/2006/custom-properties" xmlns:vt="http://schemas.openxmlformats.org/officeDocument/2006/docPropsVTypes"/>
</file>