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A1A2E"/>
          <w:sz w:val="72"/>
          <w:szCs w:val="72"/>
        </w:rPr>
        <w:t xml:space="preserve">EcoSkiller</w:t>
      </w:r>
    </w:p>
    <w:p>
      <w:pPr>
        <w:spacing w:before="0" w:after="80"/>
      </w:pPr>
      <w:r>
        <w:rPr>
          <w:rFonts w:ascii="Arial" w:cs="Arial" w:eastAsia="Arial" w:hAnsi="Arial"/>
          <w:b/>
          <w:bCs/>
          <w:color w:val="16A34A"/>
          <w:sz w:val="40"/>
          <w:szCs w:val="40"/>
        </w:rPr>
        <w:t xml:space="preserve">Mentor Module — Section E: Earnings &amp; Growth</w:t>
      </w:r>
    </w:p>
    <w:p>
      <w:pPr>
        <w:spacing w:before="0" w:after="80"/>
      </w:pPr>
      <w:r>
        <w:rPr>
          <w:rFonts w:ascii="Arial" w:cs="Arial" w:eastAsia="Arial" w:hAnsi="Arial"/>
          <w:color w:val="374151"/>
          <w:sz w:val="32"/>
          <w:szCs w:val="32"/>
        </w:rPr>
        <w:t xml:space="preserve">30 Viral Positioning Ideas for Indian Mentors</w:t>
      </w:r>
    </w:p>
    <w:p>
      <w:pPr>
        <w:spacing w:before="0" w:after="320"/>
      </w:pPr>
      <w:r>
        <w:rPr>
          <w:rFonts w:ascii="Arial" w:cs="Arial" w:eastAsia="Arial" w:hAnsi="Arial"/>
          <w:i/>
          <w:iCs/>
          <w:color w:val="6B7280"/>
          <w:sz w:val="22"/>
          <w:szCs w:val="22"/>
        </w:rPr>
        <w:t xml:space="preserve">Built on Indian Mentor Psychology  |  Income Transparency  |  Merit-Based Rewards  |  Financial Dignity  |  Professional Legacy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1D5DB" w:sz="1"/>
              <w:left w:val="single" w:color="D1D5DB" w:sz="1"/>
              <w:bottom w:val="single" w:color="D1D5DB" w:sz="1"/>
              <w:right w:val="single" w:color="D1D5DB" w:sz="1"/>
            </w:tcBorders>
            <w:shd w:fill="1A1A2E" w:val="clear"/>
            <w:tcMar>
              <w:top w:type="dxa" w:w="160"/>
              <w:left w:type="dxa" w:w="120"/>
              <w:bottom w:type="dxa" w:w="160"/>
              <w:right w:type="dxa" w:w="120"/>
            </w:tcMar>
          </w:tcPr>
          <w:p>
            <w:pPr>
              <w:jc w:val="center"/>
            </w:pPr>
            <w:r>
              <w:rPr>
                <w:rFonts w:ascii="Arial" w:cs="Arial" w:eastAsia="Arial" w:hAnsi="Arial"/>
                <w:b/>
                <w:bCs/>
                <w:color w:val="FFFFFF"/>
                <w:sz w:val="40"/>
                <w:szCs w:val="40"/>
              </w:rPr>
              <w:t xml:space="preserve">30</w:t>
            </w:r>
          </w:p>
          <w:p>
            <w:pPr>
              <w:jc w:val="center"/>
            </w:pPr>
            <w:r>
              <w:rPr>
                <w:rFonts w:ascii="Arial" w:cs="Arial" w:eastAsia="Arial" w:hAnsi="Arial"/>
                <w:color w:val="94A3B8"/>
                <w:sz w:val="16"/>
                <w:szCs w:val="16"/>
              </w:rPr>
              <w:t xml:space="preserve">Positioning Ideas</w:t>
            </w:r>
          </w:p>
        </w:tc>
        <w:tc>
          <w:tcPr>
            <w:tcBorders>
              <w:top w:val="single" w:color="D1D5DB" w:sz="1"/>
              <w:left w:val="single" w:color="D1D5DB" w:sz="1"/>
              <w:bottom w:val="single" w:color="D1D5DB" w:sz="1"/>
              <w:right w:val="single" w:color="D1D5DB" w:sz="1"/>
            </w:tcBorders>
            <w:shd w:fill="1A1A2E" w:val="clear"/>
            <w:tcMar>
              <w:top w:type="dxa" w:w="160"/>
              <w:left w:type="dxa" w:w="120"/>
              <w:bottom w:type="dxa" w:w="160"/>
              <w:right w:type="dxa" w:w="120"/>
            </w:tcMar>
          </w:tcPr>
          <w:p>
            <w:pPr>
              <w:jc w:val="center"/>
            </w:pPr>
            <w:r>
              <w:rPr>
                <w:rFonts w:ascii="Arial" w:cs="Arial" w:eastAsia="Arial" w:hAnsi="Arial"/>
                <w:b/>
                <w:bCs/>
                <w:color w:val="FFFFFF"/>
                <w:sz w:val="40"/>
                <w:szCs w:val="40"/>
              </w:rPr>
              <w:t xml:space="preserve">8</w:t>
            </w:r>
          </w:p>
          <w:p>
            <w:pPr>
              <w:jc w:val="center"/>
            </w:pPr>
            <w:r>
              <w:rPr>
                <w:rFonts w:ascii="Arial" w:cs="Arial" w:eastAsia="Arial" w:hAnsi="Arial"/>
                <w:color w:val="94A3B8"/>
                <w:sz w:val="16"/>
                <w:szCs w:val="16"/>
              </w:rPr>
              <w:t xml:space="preserve">Features Mapped</w:t>
            </w:r>
          </w:p>
        </w:tc>
        <w:tc>
          <w:tcPr>
            <w:tcBorders>
              <w:top w:val="single" w:color="D1D5DB" w:sz="1"/>
              <w:left w:val="single" w:color="D1D5DB" w:sz="1"/>
              <w:bottom w:val="single" w:color="D1D5DB" w:sz="1"/>
              <w:right w:val="single" w:color="D1D5DB" w:sz="1"/>
            </w:tcBorders>
            <w:shd w:fill="1A1A2E" w:val="clear"/>
            <w:tcMar>
              <w:top w:type="dxa" w:w="160"/>
              <w:left w:type="dxa" w:w="120"/>
              <w:bottom w:type="dxa" w:w="160"/>
              <w:right w:type="dxa" w:w="120"/>
            </w:tcMar>
          </w:tcPr>
          <w:p>
            <w:pPr>
              <w:jc w:val="center"/>
            </w:pPr>
            <w:r>
              <w:rPr>
                <w:rFonts w:ascii="Arial" w:cs="Arial" w:eastAsia="Arial" w:hAnsi="Arial"/>
                <w:b/>
                <w:bCs/>
                <w:color w:val="FFFFFF"/>
                <w:sz w:val="40"/>
                <w:szCs w:val="40"/>
              </w:rPr>
              <w:t xml:space="preserve">8</w:t>
            </w:r>
          </w:p>
          <w:p>
            <w:pPr>
              <w:jc w:val="center"/>
            </w:pPr>
            <w:r>
              <w:rPr>
                <w:rFonts w:ascii="Arial" w:cs="Arial" w:eastAsia="Arial" w:hAnsi="Arial"/>
                <w:color w:val="94A3B8"/>
                <w:sz w:val="16"/>
                <w:szCs w:val="16"/>
              </w:rPr>
              <w:t xml:space="preserve">Idea Categories</w:t>
            </w:r>
          </w:p>
        </w:tc>
        <w:tc>
          <w:tcPr>
            <w:tcBorders>
              <w:top w:val="single" w:color="D1D5DB" w:sz="1"/>
              <w:left w:val="single" w:color="D1D5DB" w:sz="1"/>
              <w:bottom w:val="single" w:color="D1D5DB" w:sz="1"/>
              <w:right w:val="single" w:color="D1D5DB" w:sz="1"/>
            </w:tcBorders>
            <w:shd w:fill="1A1A2E" w:val="clear"/>
            <w:tcMar>
              <w:top w:type="dxa" w:w="160"/>
              <w:left w:type="dxa" w:w="120"/>
              <w:bottom w:type="dxa" w:w="160"/>
              <w:right w:type="dxa" w:w="120"/>
            </w:tcMar>
          </w:tcPr>
          <w:p>
            <w:pPr>
              <w:jc w:val="center"/>
            </w:pPr>
            <w:r>
              <w:rPr>
                <w:rFonts w:ascii="Arial" w:cs="Arial" w:eastAsia="Arial" w:hAnsi="Arial"/>
                <w:b/>
                <w:bCs/>
                <w:color w:val="FFFFFF"/>
                <w:sz w:val="40"/>
                <w:szCs w:val="40"/>
              </w:rPr>
              <w:t xml:space="preserve">4</w:t>
            </w:r>
          </w:p>
          <w:p>
            <w:pPr>
              <w:jc w:val="center"/>
            </w:pPr>
            <w:r>
              <w:rPr>
                <w:rFonts w:ascii="Arial" w:cs="Arial" w:eastAsia="Arial" w:hAnsi="Arial"/>
                <w:color w:val="94A3B8"/>
                <w:sz w:val="16"/>
                <w:szCs w:val="16"/>
              </w:rPr>
              <w:t xml:space="preserve">Income Streams</w:t>
            </w:r>
          </w:p>
        </w:tc>
      </w:tr>
    </w:tbl>
    <w:p>
      <w:pPr>
        <w:spacing w:before="480" w:after="0"/>
      </w:pPr>
    </w:p>
    <w:p>
      <w:pPr>
        <w:spacing w:before="0" w:after="180"/>
      </w:pPr>
      <w:r>
        <w:rPr>
          <w:rFonts w:ascii="Arial" w:cs="Arial" w:eastAsia="Arial" w:hAnsi="Arial"/>
          <w:b/>
          <w:bCs/>
          <w:color w:val="1A1A2E"/>
          <w:sz w:val="28"/>
          <w:szCs w:val="28"/>
        </w:rPr>
        <w:t xml:space="preserve">MASTER INCOME REFERENCE — 4 Streams, Full Earnings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2200"/>
        <w:gridCol w:w="1560"/>
        <w:gridCol w:w="3100"/>
      </w:tblGrid>
      <w:tr>
        <w:tc>
          <w:tcPr>
            <w:tcW w:type="dxa" w:w="1800"/>
            <w:tcBorders>
              <w:top w:val="single" w:color="D1D5DB" w:sz="1"/>
              <w:left w:val="single" w:color="D1D5DB" w:sz="1"/>
              <w:bottom w:val="single" w:color="D1D5DB" w:sz="1"/>
              <w:right w:val="single" w:color="D1D5DB" w:sz="1"/>
            </w:tcBorders>
            <w:shd w:fill="14532D" w:val="clear"/>
            <w:tcMar>
              <w:top w:type="dxa" w:w="80"/>
              <w:left w:type="dxa" w:w="120"/>
              <w:bottom w:type="dxa" w:w="80"/>
              <w:right w:type="dxa" w:w="120"/>
            </w:tcMar>
          </w:tcPr>
          <w:p>
            <w:r>
              <w:rPr>
                <w:rFonts w:ascii="Arial" w:cs="Arial" w:eastAsia="Arial" w:hAnsi="Arial"/>
                <w:b/>
                <w:bCs/>
                <w:color w:val="FFFFFF"/>
                <w:sz w:val="17"/>
                <w:szCs w:val="17"/>
              </w:rPr>
              <w:t xml:space="preserve">Income Stream</w:t>
            </w:r>
          </w:p>
        </w:tc>
        <w:tc>
          <w:tcPr>
            <w:tcW w:type="dxa" w:w="700"/>
            <w:tcBorders>
              <w:top w:val="single" w:color="D1D5DB" w:sz="1"/>
              <w:left w:val="single" w:color="D1D5DB" w:sz="1"/>
              <w:bottom w:val="single" w:color="D1D5DB" w:sz="1"/>
              <w:right w:val="single" w:color="D1D5DB" w:sz="1"/>
            </w:tcBorders>
            <w:shd w:fill="14532D" w:val="clear"/>
            <w:tcMar>
              <w:top w:type="dxa" w:w="80"/>
              <w:left w:type="dxa" w:w="120"/>
              <w:bottom w:type="dxa" w:w="80"/>
              <w:right w:type="dxa" w:w="120"/>
            </w:tcMar>
          </w:tcPr>
          <w:p>
            <w:r>
              <w:rPr>
                <w:rFonts w:ascii="Arial" w:cs="Arial" w:eastAsia="Arial" w:hAnsi="Arial"/>
                <w:b/>
                <w:bCs/>
                <w:color w:val="FFFFFF"/>
                <w:sz w:val="17"/>
                <w:szCs w:val="17"/>
              </w:rPr>
              <w:t xml:space="preserve">Share</w:t>
            </w:r>
          </w:p>
        </w:tc>
        <w:tc>
          <w:tcPr>
            <w:tcW w:type="dxa" w:w="2200"/>
            <w:tcBorders>
              <w:top w:val="single" w:color="D1D5DB" w:sz="1"/>
              <w:left w:val="single" w:color="D1D5DB" w:sz="1"/>
              <w:bottom w:val="single" w:color="D1D5DB" w:sz="1"/>
              <w:right w:val="single" w:color="D1D5DB" w:sz="1"/>
            </w:tcBorders>
            <w:shd w:fill="14532D" w:val="clear"/>
            <w:tcMar>
              <w:top w:type="dxa" w:w="80"/>
              <w:left w:type="dxa" w:w="120"/>
              <w:bottom w:type="dxa" w:w="80"/>
              <w:right w:type="dxa" w:w="120"/>
            </w:tcMar>
          </w:tcPr>
          <w:p>
            <w:r>
              <w:rPr>
                <w:rFonts w:ascii="Arial" w:cs="Arial" w:eastAsia="Arial" w:hAnsi="Arial"/>
                <w:b/>
                <w:bCs/>
                <w:color w:val="FFFFFF"/>
                <w:sz w:val="17"/>
                <w:szCs w:val="17"/>
              </w:rPr>
              <w:t xml:space="preserve">Calculation</w:t>
            </w:r>
          </w:p>
        </w:tc>
        <w:tc>
          <w:tcPr>
            <w:tcW w:type="dxa" w:w="1560"/>
            <w:tcBorders>
              <w:top w:val="single" w:color="D1D5DB" w:sz="1"/>
              <w:left w:val="single" w:color="D1D5DB" w:sz="1"/>
              <w:bottom w:val="single" w:color="D1D5DB" w:sz="1"/>
              <w:right w:val="single" w:color="D1D5DB" w:sz="1"/>
            </w:tcBorders>
            <w:shd w:fill="14532D" w:val="clear"/>
            <w:tcMar>
              <w:top w:type="dxa" w:w="80"/>
              <w:left w:type="dxa" w:w="120"/>
              <w:bottom w:type="dxa" w:w="80"/>
              <w:right w:type="dxa" w:w="120"/>
            </w:tcMar>
          </w:tcPr>
          <w:p>
            <w:r>
              <w:rPr>
                <w:rFonts w:ascii="Arial" w:cs="Arial" w:eastAsia="Arial" w:hAnsi="Arial"/>
                <w:b/>
                <w:bCs/>
                <w:color w:val="FFFFFF"/>
                <w:sz w:val="17"/>
                <w:szCs w:val="17"/>
              </w:rPr>
              <w:t xml:space="preserve">Payout</w:t>
            </w:r>
          </w:p>
        </w:tc>
        <w:tc>
          <w:tcPr>
            <w:tcW w:type="dxa" w:w="3100"/>
            <w:tcBorders>
              <w:top w:val="single" w:color="D1D5DB" w:sz="1"/>
              <w:left w:val="single" w:color="D1D5DB" w:sz="1"/>
              <w:bottom w:val="single" w:color="D1D5DB" w:sz="1"/>
              <w:right w:val="single" w:color="D1D5DB" w:sz="1"/>
            </w:tcBorders>
            <w:shd w:fill="14532D" w:val="clear"/>
            <w:tcMar>
              <w:top w:type="dxa" w:w="80"/>
              <w:left w:type="dxa" w:w="120"/>
              <w:bottom w:type="dxa" w:w="80"/>
              <w:right w:type="dxa" w:w="120"/>
            </w:tcMar>
          </w:tcPr>
          <w:p>
            <w:r>
              <w:rPr>
                <w:rFonts w:ascii="Arial" w:cs="Arial" w:eastAsia="Arial" w:hAnsi="Arial"/>
                <w:b/>
                <w:bCs/>
                <w:color w:val="FFFFFF"/>
                <w:sz w:val="17"/>
                <w:szCs w:val="17"/>
              </w:rPr>
              <w:t xml:space="preserve">Monthly Potential</w:t>
            </w:r>
          </w:p>
        </w:tc>
      </w:tr>
      <w:tr>
        <w:tc>
          <w:tcPr>
            <w:tcW w:type="dxa" w:w="1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17"/>
                <w:szCs w:val="17"/>
              </w:rPr>
              <w:t xml:space="preserve">1-on-1 Sessions</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70%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70% of session fee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Monthly 5th</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8 sessions x Rs.900 x 70% = Rs.5,040</w:t>
            </w:r>
          </w:p>
        </w:tc>
      </w:tr>
      <w:tr>
        <w:tc>
          <w:tcPr>
            <w:tcW w:type="dxa" w:w="1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17"/>
                <w:szCs w:val="17"/>
              </w:rPr>
              <w:t xml:space="preserve">Group Sessions</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70%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70% of total student fees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Monthly 5th</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10 students x Rs.300 x 70% = Rs.2,100/session</w:t>
            </w:r>
          </w:p>
        </w:tc>
      </w:tr>
      <w:tr>
        <w:tc>
          <w:tcPr>
            <w:tcW w:type="dxa" w:w="1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17"/>
                <w:szCs w:val="17"/>
              </w:rPr>
              <w:t xml:space="preserve">Project Commissions</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10%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10% of gross project fee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Monthly + 7-day escrow</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2 projects x Rs.15,000 x 10% = Rs.3,000</w:t>
            </w:r>
          </w:p>
        </w:tc>
      </w:tr>
      <w:tr>
        <w:tc>
          <w:tcPr>
            <w:tcW w:type="dxa" w:w="180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r>
              <w:rPr>
                <w:rFonts w:ascii="Arial" w:cs="Arial" w:eastAsia="Arial" w:hAnsi="Arial"/>
                <w:b/>
                <w:bCs/>
                <w:color w:val="16A34A"/>
                <w:sz w:val="17"/>
                <w:szCs w:val="17"/>
              </w:rPr>
              <w:t xml:space="preserve">Referral Bonuses</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Flat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Rs.5,000 / Rs.3,000 per referral</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Next cycle after Month 3</w:t>
            </w:r>
          </w:p>
        </w:tc>
        <w:tc>
          <w:tcPr>
            <w:tcW w:type="dxa" w:w="3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4 referrals/year = Rs.16,000-Rs.20,000</w:t>
            </w:r>
          </w:p>
        </w:tc>
      </w:tr>
    </w:tbl>
    <w:p>
      <w:pPr>
        <w:spacing w:before="360" w:after="0"/>
      </w:pPr>
    </w:p>
    <w:p>
      <w:pPr>
        <w:spacing w:before="0" w:after="180"/>
      </w:pPr>
      <w:r>
        <w:rPr>
          <w:rFonts w:ascii="Arial" w:cs="Arial" w:eastAsia="Arial" w:hAnsi="Arial"/>
          <w:b/>
          <w:bCs/>
          <w:color w:val="1A1A2E"/>
          <w:sz w:val="28"/>
          <w:szCs w:val="28"/>
        </w:rPr>
        <w:t xml:space="preserve">CREDIBILITY SCORE — 6 Components That Drive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3260"/>
        <w:gridCol w:w="3000"/>
      </w:tblGrid>
      <w:tr>
        <w:tc>
          <w:tcPr>
            <w:tcW w:type="dxa" w:w="240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Component</w:t>
            </w:r>
          </w:p>
        </w:tc>
        <w:tc>
          <w:tcPr>
            <w:tcW w:type="dxa" w:w="70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Weight</w:t>
            </w:r>
          </w:p>
        </w:tc>
        <w:tc>
          <w:tcPr>
            <w:tcW w:type="dxa" w:w="326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What It Measures</w:t>
            </w:r>
          </w:p>
        </w:tc>
        <w:tc>
          <w:tcPr>
            <w:tcW w:type="dxa" w:w="3000"/>
            <w:tcBorders>
              <w:top w:val="single" w:color="D1D5DB" w:sz="1"/>
              <w:left w:val="single" w:color="D1D5DB" w:sz="1"/>
              <w:bottom w:val="single" w:color="D1D5DB" w:sz="1"/>
              <w:right w:val="single" w:color="D1D5DB" w:sz="1"/>
            </w:tcBorders>
            <w:shd w:fill="1A3A5C" w:val="clear"/>
            <w:tcMar>
              <w:top w:type="dxa" w:w="80"/>
              <w:left w:type="dxa" w:w="120"/>
              <w:bottom w:type="dxa" w:w="80"/>
              <w:right w:type="dxa" w:w="120"/>
            </w:tcMar>
          </w:tcPr>
          <w:p>
            <w:r>
              <w:rPr>
                <w:rFonts w:ascii="Arial" w:cs="Arial" w:eastAsia="Arial" w:hAnsi="Arial"/>
                <w:b/>
                <w:bCs/>
                <w:color w:val="FFFFFF"/>
                <w:sz w:val="17"/>
                <w:szCs w:val="17"/>
              </w:rPr>
              <w:t xml:space="preserve">How to Improve It</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D4ED8"/>
                <w:sz w:val="17"/>
                <w:szCs w:val="17"/>
              </w:rPr>
              <w:t xml:space="preserve">Session Rating Average</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30%</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Post-session student ratings (1-5 stars)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Thorough prep. Customise to each student's specific profile.</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D4ED8"/>
                <w:sz w:val="17"/>
                <w:szCs w:val="17"/>
              </w:rPr>
              <w:t xml:space="preserve">Placement Success Rate</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25%</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 students placed within 180 days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Track students post-session. Actively encourage recruiter applications.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D4ED8"/>
                <w:sz w:val="17"/>
                <w:szCs w:val="17"/>
              </w:rPr>
              <w:t xml:space="preserve">Endorsement Accuracy</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15%</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Post-hire recruiter feedback on endorsed skills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Only endorse skills directly observed. Decline when not evidenced.</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D4ED8"/>
                <w:sz w:val="17"/>
                <w:szCs w:val="17"/>
              </w:rPr>
              <w:t xml:space="preserve">Project Review Quality</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15%</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Company satisfaction scores on delivered projects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Invest in thorough brief reviews. Write specific revision notes.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D4ED8"/>
                <w:sz w:val="17"/>
                <w:szCs w:val="17"/>
              </w:rPr>
              <w:t xml:space="preserve">Platform Engagement</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10%</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Response times, delivery rate, follow-through</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Respond within 12 hours. Never cancel confirmed sessions.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1D4ED8"/>
                <w:sz w:val="17"/>
                <w:szCs w:val="17"/>
              </w:rPr>
              <w:t xml:space="preserve">Referral Quality</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5%</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Average credibility score of referred mentors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17"/>
                <w:szCs w:val="17"/>
              </w:rPr>
              <w:t xml:space="preserve">Refer committed professionals. Support them in Month 1-3.</w:t>
            </w:r>
          </w:p>
        </w:tc>
      </w:tr>
    </w:tbl>
    <w:p>
      <w:pPr>
        <w:spacing w:before="480" w:after="0"/>
      </w:pPr>
    </w:p>
    <w:p>
      <w:pPr>
        <w:spacing w:before="0" w:after="200"/>
      </w:pPr>
      <w:r>
        <w:rPr>
          <w:rFonts w:ascii="Arial" w:cs="Arial" w:eastAsia="Arial" w:hAnsi="Arial"/>
          <w:b/>
          <w:bCs/>
          <w:color w:val="1A1A2E"/>
          <w:sz w:val="28"/>
          <w:szCs w:val="28"/>
        </w:rPr>
        <w:t xml:space="preserve">FEATURE OVERVIEW — Section E: Earnings &amp; Growth</w:t>
      </w:r>
    </w:p>
    <w:p>
      <w:pPr>
        <w:spacing w:before="120" w:after="0"/>
      </w:pPr>
      <w:r>
        <w:rPr>
          <w:rFonts w:ascii="Arial" w:cs="Arial" w:eastAsia="Arial" w:hAnsi="Arial"/>
          <w:color w:val="374151"/>
          <w:sz w:val="20"/>
          <w:szCs w:val="20"/>
        </w:rPr>
        <w:t xml:space="preserve">EcoSkiller's Earnings &amp; Growth section (Section E of the Mentor Module) is an 8-feature integrated financial and strategic intelligence system. The 8 features are: E.1 Session Fee Setting (Pricing Recommendation Engine with Price Sensitivity Indicator, Rs.200-Rs.10,000 range), E.2 Earnings Dashboard (real-time view of all 4 income streams, 5 time-period cards, 12-month bar chart, CSV export), E.3 Revenue Share Model (70% session share, 10% project commission, flat referral bonus — displayed at every transaction touchpoint), E.4 Payment Schedule (monthly payout on 5th, auto GST invoice, weekly payout for Score 75+), E.5 Referral Bonus (Rs.5,000/Rs.3,000 per qualifying referral after 3 active months, quarterly leaderboard), E.6 Success Rate Tracking (placement rate %, time to placement, domain breakdown — all publicly displayed), E.7 Credibility Score (0-100 composite from 6 weighted components, weekly recalculation, improvement guidance), and E.8 Growth Insights (5 insight categories with actionable income optimisation cards).</w:t>
      </w:r>
    </w:p>
    <w:p>
      <w:pPr>
        <w:spacing w:before="120" w:after="0"/>
      </w:pPr>
      <w:r>
        <w:rPr>
          <w:rFonts w:ascii="Arial" w:cs="Arial" w:eastAsia="Arial" w:hAnsi="Arial"/>
          <w:color w:val="374151"/>
          <w:sz w:val="20"/>
          <w:szCs w:val="20"/>
        </w:rPr>
        <w:t xml:space="preserve">Section E is built on one core principle: quality automatically translates to income. Every feature rewards better mentoring with measurably higher earnings — through higher recommended fees, weekly payout access, better search ranking, and data-driven income optimisation. A mentor who engages with all 8 features will build a mentoring practice that compounds in income and impact with every month.</w:t>
      </w:r>
    </w:p>
    <w:p>
      <w:pPr>
        <w:spacing w:before="360" w:after="0"/>
      </w:pPr>
    </w:p>
    <w:p>
      <w:pPr>
        <w:spacing w:before="0" w:after="140"/>
      </w:pPr>
      <w:r>
        <w:rPr>
          <w:rFonts w:ascii="Arial" w:cs="Arial" w:eastAsia="Arial" w:hAnsi="Arial"/>
          <w:b/>
          <w:bCs/>
          <w:color w:val="1A1A2E"/>
          <w:sz w:val="28"/>
          <w:szCs w:val="28"/>
        </w:rPr>
        <w:t xml:space="preserve">THE 6 INDIAN MENTOR PSYCHOLOGY LEVERS — Section E</w:t>
      </w:r>
    </w:p>
    <w:p>
      <w:pPr>
        <w:spacing w:before="160" w:after="0"/>
      </w:pPr>
      <w:r>
        <w:rPr>
          <w:rFonts w:ascii="Arial" w:cs="Arial" w:eastAsia="Arial" w:hAnsi="Arial"/>
          <w:b/>
          <w:bCs/>
          <w:color w:val="1A1A2E"/>
          <w:sz w:val="20"/>
          <w:szCs w:val="20"/>
        </w:rPr>
        <w:t xml:space="preserve">1. Income Proof Over Income Promise — </w:t>
      </w:r>
      <w:r>
        <w:rPr>
          <w:rFonts w:ascii="Arial" w:cs="Arial" w:eastAsia="Arial" w:hAnsi="Arial"/>
          <w:color w:val="374151"/>
          <w:sz w:val="20"/>
          <w:szCs w:val="20"/>
        </w:rPr>
        <w:t xml:space="preserve">Indian professionals do not respond to income promises — they respond to income proof. Specific numbers from specific mentors (Rs.1,14,500 lifetime, Rs.16,160 in March, Rs.10,400 monthly from 8 sessions) are the only marketing that converts India's sceptical, data-oriented professional class.</w:t>
      </w:r>
    </w:p>
    <w:p>
      <w:pPr>
        <w:spacing w:before="160" w:after="0"/>
      </w:pPr>
      <w:r>
        <w:rPr>
          <w:rFonts w:ascii="Arial" w:cs="Arial" w:eastAsia="Arial" w:hAnsi="Arial"/>
          <w:b/>
          <w:bCs/>
          <w:color w:val="1A1A2E"/>
          <w:sz w:val="20"/>
          <w:szCs w:val="20"/>
        </w:rPr>
        <w:t xml:space="preserve">2. Radical Financial Transparency — </w:t>
      </w:r>
      <w:r>
        <w:rPr>
          <w:rFonts w:ascii="Arial" w:cs="Arial" w:eastAsia="Arial" w:hAnsi="Arial"/>
          <w:color w:val="374151"/>
          <w:sz w:val="20"/>
          <w:szCs w:val="20"/>
        </w:rPr>
        <w:t xml:space="preserve">India's gig economy is characterised by financial opacity — hidden cuts, delayed payments, unexplained deductions. EcoSkiller's transparent 70/30 split, shown at every transaction touchpoint, is a direct response to this systemic distrust. Transparency is not just a feature — it is the primary trust-building mechanism with Indian mentors.</w:t>
      </w:r>
    </w:p>
    <w:p>
      <w:pPr>
        <w:spacing w:before="160" w:after="0"/>
      </w:pPr>
      <w:r>
        <w:rPr>
          <w:rFonts w:ascii="Arial" w:cs="Arial" w:eastAsia="Arial" w:hAnsi="Arial"/>
          <w:b/>
          <w:bCs/>
          <w:color w:val="1A1A2E"/>
          <w:sz w:val="20"/>
          <w:szCs w:val="20"/>
        </w:rPr>
        <w:t xml:space="preserve">3. Merit-Based Reward Systems — </w:t>
      </w:r>
      <w:r>
        <w:rPr>
          <w:rFonts w:ascii="Arial" w:cs="Arial" w:eastAsia="Arial" w:hAnsi="Arial"/>
          <w:color w:val="374151"/>
          <w:sz w:val="20"/>
          <w:szCs w:val="20"/>
        </w:rPr>
        <w:t xml:space="preserve">Indians have been evaluated through merit-based systems their entire professional lives — JEE ranks, CGPA, annual performance ratings. The Credibility Score extends this familiar framework into the mentoring domain, providing a transparent, improvable, consequential quality metric that activates the same competitive discipline and reward motivation.</w:t>
      </w:r>
    </w:p>
    <w:p>
      <w:pPr>
        <w:spacing w:before="160" w:after="0"/>
      </w:pPr>
      <w:r>
        <w:rPr>
          <w:rFonts w:ascii="Arial" w:cs="Arial" w:eastAsia="Arial" w:hAnsi="Arial"/>
          <w:b/>
          <w:bCs/>
          <w:color w:val="1A1A2E"/>
          <w:sz w:val="20"/>
          <w:szCs w:val="20"/>
        </w:rPr>
        <w:t xml:space="preserve">4. Salary-Like Income Reliability — </w:t>
      </w:r>
      <w:r>
        <w:rPr>
          <w:rFonts w:ascii="Arial" w:cs="Arial" w:eastAsia="Arial" w:hAnsi="Arial"/>
          <w:color w:val="374151"/>
          <w:sz w:val="20"/>
          <w:szCs w:val="20"/>
        </w:rPr>
        <w:t xml:space="preserve">India's professional class has a deep psychological attachment to salary-like income reliability — fixed date, automatic transfer, clear amount. The 5th-of-month payout cycle with automated GST invoice generation mirrors the emotional certainty of salary credit, making independent mentoring income feel professionally dignified rather than precarious.</w:t>
      </w:r>
    </w:p>
    <w:p>
      <w:pPr>
        <w:spacing w:before="160" w:after="0"/>
      </w:pPr>
      <w:r>
        <w:rPr>
          <w:rFonts w:ascii="Arial" w:cs="Arial" w:eastAsia="Arial" w:hAnsi="Arial"/>
          <w:b/>
          <w:bCs/>
          <w:color w:val="1A1A2E"/>
          <w:sz w:val="20"/>
          <w:szCs w:val="20"/>
        </w:rPr>
        <w:t xml:space="preserve">5. Network as Financial Capital — </w:t>
      </w:r>
      <w:r>
        <w:rPr>
          <w:rFonts w:ascii="Arial" w:cs="Arial" w:eastAsia="Arial" w:hAnsi="Arial"/>
          <w:color w:val="374151"/>
          <w:sz w:val="20"/>
          <w:szCs w:val="20"/>
        </w:rPr>
        <w:t xml:space="preserve">Indian professionals have always understood networks as career assets. EcoSkiller's referral bonus system converts this cultural understanding into a specific, calculable financial instrument — Rs.5,000 per qualifying referral, no cap, quarterly leaderboard — making the professional act of recommending peers financially significant without feeling transactional.</w:t>
      </w:r>
    </w:p>
    <w:p>
      <w:pPr>
        <w:spacing w:before="160" w:after="0"/>
      </w:pPr>
      <w:r>
        <w:rPr>
          <w:rFonts w:ascii="Arial" w:cs="Arial" w:eastAsia="Arial" w:hAnsi="Arial"/>
          <w:b/>
          <w:bCs/>
          <w:color w:val="1A1A2E"/>
          <w:sz w:val="20"/>
          <w:szCs w:val="20"/>
        </w:rPr>
        <w:t xml:space="preserve">6. Data-Driven Decision Authority — </w:t>
      </w:r>
      <w:r>
        <w:rPr>
          <w:rFonts w:ascii="Arial" w:cs="Arial" w:eastAsia="Arial" w:hAnsi="Arial"/>
          <w:color w:val="374151"/>
          <w:sz w:val="20"/>
          <w:szCs w:val="20"/>
        </w:rPr>
        <w:t xml:space="preserve">India's growing management-educated professional class craves data-backed decision support — but in domains where data has previously been unavailable. Growth Insights provides the analytics that self-employed mentors have always needed but never had: booking patterns, conversion rates, repeat booking correlations, and income optimisation with specific rupee estimates. It transforms self-employment from instinct-driven to evidence-driven.</w:t>
      </w:r>
    </w:p>
    <w:p>
      <w:pPr>
        <w:spacing w:before="480" w:after="0"/>
      </w:pPr>
    </w:p>
    <w:p>
      <w:pPr>
        <w:spacing w:before="0" w:after="100"/>
      </w:pPr>
      <w:r>
        <w:rPr>
          <w:rFonts w:ascii="Arial" w:cs="Arial" w:eastAsia="Arial" w:hAnsi="Arial"/>
          <w:b/>
          <w:bCs/>
          <w:color w:val="1A1A2E"/>
          <w:sz w:val="28"/>
          <w:szCs w:val="28"/>
        </w:rPr>
        <w:t xml:space="preserve">30 VIRAL POSITIONING IDEAS — Full Detail</w:t>
      </w:r>
    </w:p>
    <w:p>
      <w:pPr>
        <w:spacing w:before="0" w:after="240"/>
      </w:pPr>
      <w:r>
        <w:rPr>
          <w:rFonts w:ascii="Arial" w:cs="Arial" w:eastAsia="Arial" w:hAnsi="Arial"/>
          <w:i/>
          <w:iCs/>
          <w:color w:val="6B7280"/>
          <w:sz w:val="20"/>
          <w:szCs w:val="20"/>
        </w:rPr>
        <w:t xml:space="preserve">Each idea includes: a positioning hook with specific rupee figures, the precise EcoSkiller feature it activates, a concrete go-to-market tactic, the viral mechanic that drives organic spread, and the deep Indian mentor psychological lever it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4532D" w:val="clear"/>
            <w:tcMar>
              <w:top w:type="dxa" w:w="140"/>
              <w:left w:type="dxa" w:w="200"/>
              <w:bottom w:type="dxa" w:w="140"/>
              <w:right w:type="dxa" w:w="200"/>
            </w:tcMar>
          </w:tcPr>
          <w:p>
            <w:r>
              <w:rPr>
                <w:rFonts w:ascii="Arial" w:cs="Arial" w:eastAsia="Arial" w:hAnsi="Arial"/>
                <w:b/>
                <w:bCs/>
                <w:color w:val="FFFFFF"/>
                <w:sz w:val="24"/>
                <w:szCs w:val="24"/>
              </w:rPr>
              <w:t xml:space="preserve">#01  </w:t>
            </w:r>
            <w:r>
              <w:rPr>
                <w:rFonts w:ascii="Arial" w:cs="Arial" w:eastAsia="Arial" w:hAnsi="Arial"/>
                <w:b/>
                <w:bCs/>
                <w:color w:val="FFFFFF"/>
                <w:sz w:val="24"/>
                <w:szCs w:val="24"/>
              </w:rPr>
              <w:t xml:space="preserve">"Rs.1,14,500 Lifetime. Ek Mentor. Ek Platform." — The Real Number</w:t>
            </w:r>
            <w:r>
              <w:rPr>
                <w:rFonts w:ascii="Arial" w:cs="Arial" w:eastAsia="Arial" w:hAnsi="Arial"/>
                <w:color w:val="CBD5E1"/>
                <w:sz w:val="18"/>
                <w:szCs w:val="18"/>
              </w:rPr>
              <w:t xml:space="preserve">   [Income Reality]</w:t>
            </w:r>
          </w:p>
        </w:tc>
      </w:tr>
      <w:tr>
        <w:tc>
          <w:tcPr>
            <w:gridSpan w:val="2"/>
            <w:tcBorders>
              <w:top w:val="single" w:color="D1D5DB" w:sz="1"/>
              <w:left w:val="single" w:color="D1D5DB" w:sz="1"/>
              <w:bottom w:val="single" w:color="D1D5DB" w:sz="1"/>
              <w:right w:val="single" w:color="D1D5DB" w:sz="1"/>
            </w:tcBorders>
            <w:shd w:fill="D1FAE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Mentor Priya Sharma. 47 students. Rs.1,14,500 lifetime earnings. No office. No commute. No hustle. Just expertise — priced, tracked, and paid automatically every 5th of the month.</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E.2 Earnings Dashboard — Lifetime Earnings card: Rs.1,14,500 | E.4 Payment Schedule — fixed monthly payout, 5th of each month</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Share real (or illustrative) lifetime earnings snapshots from mentors at different tenure milestones — 6 months, 1 year, 2 years. Show the compounding curve as credibility grows and price increases. Caption: 'This is what consistent expertise looks like when it is properly valued.'</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Real income numbers from real professionals are the most shared content in Indian professional communities in 2026. The specificity of Rs.1,14,500 (not 'up to Rs.1 lakh') creates instant credibility. Peers share to validate their own aspirations.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are deeply motivated by concrete income proof from peers — not aspirational marketing language. A specific lifetime earnings number from a named mentor profile activates both aspiration and believability simultaneously. It answers the first question every potential mentor has: 'How much can I actually make?'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E3A8A" w:val="clear"/>
            <w:tcMar>
              <w:top w:type="dxa" w:w="140"/>
              <w:left w:type="dxa" w:w="200"/>
              <w:bottom w:type="dxa" w:w="140"/>
              <w:right w:type="dxa" w:w="200"/>
            </w:tcMar>
          </w:tcPr>
          <w:p>
            <w:r>
              <w:rPr>
                <w:rFonts w:ascii="Arial" w:cs="Arial" w:eastAsia="Arial" w:hAnsi="Arial"/>
                <w:b/>
                <w:bCs/>
                <w:color w:val="FFFFFF"/>
                <w:sz w:val="24"/>
                <w:szCs w:val="24"/>
              </w:rPr>
              <w:t xml:space="preserve">#02  </w:t>
            </w:r>
            <w:r>
              <w:rPr>
                <w:rFonts w:ascii="Arial" w:cs="Arial" w:eastAsia="Arial" w:hAnsi="Arial"/>
                <w:b/>
                <w:bCs/>
                <w:color w:val="FFFFFF"/>
                <w:sz w:val="24"/>
                <w:szCs w:val="24"/>
              </w:rPr>
              <w:t xml:space="preserve">"70% Aapka. Seedha. Koi Confusion Nahi." — The Clarity That Builds Loyalty</w:t>
            </w:r>
            <w:r>
              <w:rPr>
                <w:rFonts w:ascii="Arial" w:cs="Arial" w:eastAsia="Arial" w:hAnsi="Arial"/>
                <w:color w:val="CBD5E1"/>
                <w:sz w:val="18"/>
                <w:szCs w:val="18"/>
              </w:rPr>
              <w:t xml:space="preserve">   [Transparency &amp; Trust]</w:t>
            </w:r>
          </w:p>
        </w:tc>
      </w:tr>
      <w:tr>
        <w:tc>
          <w:tcPr>
            <w:gridSpan w:val="2"/>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Every session you conduct: student pays Rs.900, you receive Rs.630 — automatically, with no invoice, no follow-up, no calculation. 70% is yours. Always. From every session. Without exception.</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E.3 Revenue Share Model — 70% mentor share displayed at fee-setting screen, session confirmation, and Earnings Dashboard | No hidden fees beyond stated 30% retention</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a simple graphic showing the split at three touchpoints: fee-setting screen, session confirmation email, Earnings Dashboard. Caption: 'EcoSkiller shows you the same number in three different places because we want you to know exactly what you earn — always.' Share in professional transparency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In India's gig economy, financial opacity is the most common complaint. Mentors who have been burned by other platforms' hidden deductions will share this immediately. The 'same number in three places' proof of consistency is uniquely compelling.</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have deep scepticism about platform income claims based on widespread experience with hidden cuts, delayed payments, and opaque deduction structures. Radical transparency — showing the split at every single touchpoint — resolves this scepticism not by claiming honesty but by demonstrating it repeatedly.</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8350F" w:val="clear"/>
            <w:tcMar>
              <w:top w:type="dxa" w:w="140"/>
              <w:left w:type="dxa" w:w="200"/>
              <w:bottom w:type="dxa" w:w="140"/>
              <w:right w:type="dxa" w:w="200"/>
            </w:tcMar>
          </w:tcPr>
          <w:p>
            <w:r>
              <w:rPr>
                <w:rFonts w:ascii="Arial" w:cs="Arial" w:eastAsia="Arial" w:hAnsi="Arial"/>
                <w:b/>
                <w:bCs/>
                <w:color w:val="FFFFFF"/>
                <w:sz w:val="24"/>
                <w:szCs w:val="24"/>
              </w:rPr>
              <w:t xml:space="preserve">#03  </w:t>
            </w:r>
            <w:r>
              <w:rPr>
                <w:rFonts w:ascii="Arial" w:cs="Arial" w:eastAsia="Arial" w:hAnsi="Arial"/>
                <w:b/>
                <w:bCs/>
                <w:color w:val="FFFFFF"/>
                <w:sz w:val="24"/>
                <w:szCs w:val="24"/>
              </w:rPr>
              <w:t xml:space="preserve">"44% Income Badhao — Sessions Badhaye Bina" — The Price Upgrade Formula</w:t>
            </w:r>
            <w:r>
              <w:rPr>
                <w:rFonts w:ascii="Arial" w:cs="Arial" w:eastAsia="Arial" w:hAnsi="Arial"/>
                <w:color w:val="CBD5E1"/>
                <w:sz w:val="18"/>
                <w:szCs w:val="18"/>
              </w:rPr>
              <w:t xml:space="preserve">   [Income Growth]</w:t>
            </w:r>
          </w:p>
        </w:tc>
      </w:tr>
      <w:tr>
        <w:tc>
          <w:tcPr>
            <w:gridSpan w:val="2"/>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Same 8 sessions per week. Fee raised from Rs.900 to Rs.1,300 after Credibility Score hit 94 and placement rate reached 78%. Monthly income: Rs.7,200 to Rs.10,400. 44% more. Zero extra sessions.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E.1 Session Fee Setting — Pricing Recommendation Engine updates fee range as credibility grows | Example: 44% income increase with same session volume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Make the formula visual: Session count stays flat → Credibility Score rises → Platform recommends higher fee → Price Sensitivity Indicator stays green → Income increases 44%. Post as an infographic with the caption: 'The only income growth strategy that requires you to do less, not more.'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concept of earning more from the same effort is the most desired professional outcome in India's overworked knowledge economy. The specific 44% figure and the concrete mechanism make it shareable as a career strategy insight.</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are conditioned to equate income growth with working more hours. A system that explicitly connects quality improvement to price increase — not volume increase — is a paradigm shift that resonates with every mentor who has felt underpaid for high-quality but low-volume work.</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4532D" w:val="clear"/>
            <w:tcMar>
              <w:top w:type="dxa" w:w="140"/>
              <w:left w:type="dxa" w:w="200"/>
              <w:bottom w:type="dxa" w:w="140"/>
              <w:right w:type="dxa" w:w="200"/>
            </w:tcMar>
          </w:tcPr>
          <w:p>
            <w:r>
              <w:rPr>
                <w:rFonts w:ascii="Arial" w:cs="Arial" w:eastAsia="Arial" w:hAnsi="Arial"/>
                <w:b/>
                <w:bCs/>
                <w:color w:val="FFFFFF"/>
                <w:sz w:val="24"/>
                <w:szCs w:val="24"/>
              </w:rPr>
              <w:t xml:space="preserve">#04  </w:t>
            </w:r>
            <w:r>
              <w:rPr>
                <w:rFonts w:ascii="Arial" w:cs="Arial" w:eastAsia="Arial" w:hAnsi="Arial"/>
                <w:b/>
                <w:bCs/>
                <w:color w:val="FFFFFF"/>
                <w:sz w:val="24"/>
                <w:szCs w:val="24"/>
              </w:rPr>
              <w:t xml:space="preserve">"Group Session Mein 3.3x Kamaao — Same 1 Hour Mein" — The Multiplier No One Talks About</w:t>
            </w:r>
            <w:r>
              <w:rPr>
                <w:rFonts w:ascii="Arial" w:cs="Arial" w:eastAsia="Arial" w:hAnsi="Arial"/>
                <w:color w:val="CBD5E1"/>
                <w:sz w:val="18"/>
                <w:szCs w:val="18"/>
              </w:rPr>
              <w:t xml:space="preserve">   [Income Reality]</w:t>
            </w:r>
          </w:p>
        </w:tc>
      </w:tr>
      <w:tr>
        <w:tc>
          <w:tcPr>
            <w:gridSpan w:val="2"/>
            <w:tcBorders>
              <w:top w:val="single" w:color="D1D5DB" w:sz="1"/>
              <w:left w:val="single" w:color="D1D5DB" w:sz="1"/>
              <w:bottom w:val="single" w:color="D1D5DB" w:sz="1"/>
              <w:right w:val="single" w:color="D1D5DB" w:sz="1"/>
            </w:tcBorders>
            <w:shd w:fill="D1FAE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1-on-1 session: 1 student, Rs.900, you earn Rs.630. Group session: 10 students, Rs.300 each, Rs.3,000 total, you earn Rs.2,100. Same 60 minutes. 3.3 times the income.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E.3 Revenue Share Model — Group session: 70% of total student fees collected | Example: 10 students × Rs.300 × 70% = Rs.2,100 vs 1-on-1: Rs.900 × 70% = Rs.630 | 3.3x income multiplier</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Create a side-by-side comparison post: 1 hour of 1-on-1 vs 1 hour of group. Show exact rupee amounts. Caption: 'If you have something worth teaching to a group, why teach it to one person at a time?' Share in educator and corporate trainer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3.3x multiplier is a jaw-dropping number when stated clearly. Mentors will share it with colleagues. Corporate trainers who have never considered group online mentoring will immediately recalculate their potential income.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with teaching experience — ex-faculty, corporate trainers, coaches — are acutely aware of the income limitation of 1-on-1 formats. The group session multiplier speaks directly to this pain point and offers a platform-supported solution that feels both familiar (they have taught groups before) and financially transformative.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#05  </w:t>
            </w:r>
            <w:r>
              <w:rPr>
                <w:rFonts w:ascii="Arial" w:cs="Arial" w:eastAsia="Arial" w:hAnsi="Arial"/>
                <w:b/>
                <w:bCs/>
                <w:color w:val="FFFFFF"/>
                <w:sz w:val="24"/>
                <w:szCs w:val="24"/>
              </w:rPr>
              <w:t xml:space="preserve">"91/100 — Aur Iska Matlab Kya Hai" — The Score That Does Everything</w:t>
            </w:r>
            <w:r>
              <w:rPr>
                <w:rFonts w:ascii="Arial" w:cs="Arial" w:eastAsia="Arial" w:hAnsi="Arial"/>
                <w:color w:val="CBD5E1"/>
                <w:sz w:val="18"/>
                <w:szCs w:val="18"/>
              </w:rPr>
              <w:t xml:space="preserve">   [Credibility Score]</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Your Credibility Score of 91 means: you rank higher in search, you qualify for weekly payouts, you can set higher fees with a green indicator, and your endorsements carry more recruiter weight. One number. Four direct benefits.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E.7 Credibility Score — Score drives: search ranking, weekly payout eligibility (75+), World-Class endorsement access (80+), and Pricing Recommendation Engine inputs | Composite of 6 weighted components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four direct benefits of a high Credibility Score as a numbered list with Rs. amounts and percentage uplifts wherever calculable. Caption: 'EcoSkiller's Credibility Score is not a vanity metric. It is a business metric. Here is exactly what it unlocks.' Share in professional development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Quantified benefit lists are the most shareable format in Indian professional LinkedIn content. Each of the four benefits is independently motivating. Combined, they create an undeniable case for quality investment.</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respond to transparent meritocracy systems — environments where effort directly translates to reward with clear, predictable rules. The Credibility Score is the ultimate meritocracy signal: it tells you exactly where you stand, what each component contributes, and what will change if you improve specific behaviours.</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3B1F6E" w:val="clear"/>
            <w:tcMar>
              <w:top w:type="dxa" w:w="140"/>
              <w:left w:type="dxa" w:w="200"/>
              <w:bottom w:type="dxa" w:w="140"/>
              <w:right w:type="dxa" w:w="200"/>
            </w:tcMar>
          </w:tcPr>
          <w:p>
            <w:r>
              <w:rPr>
                <w:rFonts w:ascii="Arial" w:cs="Arial" w:eastAsia="Arial" w:hAnsi="Arial"/>
                <w:b/>
                <w:bCs/>
                <w:color w:val="FFFFFF"/>
                <w:sz w:val="24"/>
                <w:szCs w:val="24"/>
              </w:rPr>
              <w:t xml:space="preserve">#06  </w:t>
            </w:r>
            <w:r>
              <w:rPr>
                <w:rFonts w:ascii="Arial" w:cs="Arial" w:eastAsia="Arial" w:hAnsi="Arial"/>
                <w:b/>
                <w:bCs/>
                <w:color w:val="FFFFFF"/>
                <w:sz w:val="24"/>
                <w:szCs w:val="24"/>
              </w:rPr>
              <w:t xml:space="preserve">"5 Tarikh Ko Bank Mein Aata Hai" — The Payout That Never Misses</w:t>
            </w:r>
            <w:r>
              <w:rPr>
                <w:rFonts w:ascii="Arial" w:cs="Arial" w:eastAsia="Arial" w:hAnsi="Arial"/>
                <w:color w:val="CBD5E1"/>
                <w:sz w:val="18"/>
                <w:szCs w:val="18"/>
              </w:rPr>
              <w:t xml:space="preserve">   [Payment Reliability]</w:t>
            </w:r>
          </w:p>
        </w:tc>
      </w:tr>
      <w:tr>
        <w:tc>
          <w:tcPr>
            <w:gridSpan w:val="2"/>
            <w:tcBorders>
              <w:top w:val="single" w:color="D1D5DB" w:sz="1"/>
              <w:left w:val="single" w:color="D1D5DB" w:sz="1"/>
              <w:bottom w:val="single" w:color="D1D5DB" w:sz="1"/>
              <w:right w:val="single" w:color="D1D5DB" w:sz="1"/>
            </w:tcBorders>
            <w:shd w:fill="EDE9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Every 5th of the month. Automatic bank transfer. GST invoice attached to your email. No chasing. No reminders. No waiting. No excuses. Your money arrives like a salary — on a date you can plan around.</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E.4 Payment Schedule — Fixed monthly payout: 5th of each calendar month | Automated GST invoice | Push notification + email on transfer | Total admin time from mentor: 0 minutes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mentor's payout notification screenshot (illustrated): 'Your March earnings of Rs.16,160 have been transferred — expected in your account within 4 hours.' Caption: 'Most platforms make you feel like you are chasing your own money. EcoSkiller makes you feel like you have a salary.' Share in freelancer and side-income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Every Indian freelancer and platform worker who has ever chased a delayed payment will share this immediately. The 'salary-like reliability' framing resonates deeply in a culture where salaried employment is still the dominant professional aspiration.</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India's professional class has a deep psychological preference for income predictability — rooted in the cultural value of salaried employment with its fixed, reliable salary credit. A platform that replicates the emotional certainty of salary-day for self-employed professionals is solving a psychological need, not just a logistical one.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34E4A" w:val="clear"/>
            <w:tcMar>
              <w:top w:type="dxa" w:w="140"/>
              <w:left w:type="dxa" w:w="200"/>
              <w:bottom w:type="dxa" w:w="140"/>
              <w:right w:type="dxa" w:w="200"/>
            </w:tcMar>
          </w:tcPr>
          <w:p>
            <w:r>
              <w:rPr>
                <w:rFonts w:ascii="Arial" w:cs="Arial" w:eastAsia="Arial" w:hAnsi="Arial"/>
                <w:b/>
                <w:bCs/>
                <w:color w:val="FFFFFF"/>
                <w:sz w:val="24"/>
                <w:szCs w:val="24"/>
              </w:rPr>
              <w:t xml:space="preserve">#07  </w:t>
            </w:r>
            <w:r>
              <w:rPr>
                <w:rFonts w:ascii="Arial" w:cs="Arial" w:eastAsia="Arial" w:hAnsi="Arial"/>
                <w:b/>
                <w:bCs/>
                <w:color w:val="FFFFFF"/>
                <w:sz w:val="24"/>
                <w:szCs w:val="24"/>
              </w:rPr>
              <w:t xml:space="preserve">"Tuesday 5PM Slot — 6 Mahine Se Koi Booking Nahi" — The Data You Cannot See Alone</w:t>
            </w:r>
            <w:r>
              <w:rPr>
                <w:rFonts w:ascii="Arial" w:cs="Arial" w:eastAsia="Arial" w:hAnsi="Arial"/>
                <w:color w:val="CBD5E1"/>
                <w:sz w:val="18"/>
                <w:szCs w:val="18"/>
              </w:rPr>
              <w:t xml:space="preserve">   [Growth Intelligence]</w:t>
            </w:r>
          </w:p>
        </w:tc>
      </w:tr>
      <w:tr>
        <w:tc>
          <w:tcPr>
            <w:gridSpan w:val="2"/>
            <w:tcBorders>
              <w:top w:val="single" w:color="D1D5DB" w:sz="1"/>
              <w:left w:val="single" w:color="D1D5DB" w:sz="1"/>
              <w:bottom w:val="single" w:color="D1D5DB" w:sz="1"/>
              <w:right w:val="single" w:color="D1D5DB" w:sz="1"/>
            </w:tcBorders>
            <w:shd w:fill="CCFBF1"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Growth Insights tells you: your Tuesday 5 PM slot has had zero bookings in 6 months. Remove it. Add Thursday evening instead. One data point. One decision. Immediate calendar optimisation.</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E.8 Growth Insights — Booking Patterns: day/time heatmap with hottest slots highlighted | Example: 'Tuesday and Wednesday 5-6 PM slots have 0 bookings in 6 months — remove them'</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heatmap concept: a visual grid showing days × time slots, coloured by booking frequency. Highlight an empty slot with the annotation 'You have offered this slot for 6 months. No one has ever booked it.' Caption: 'Would you know this without data? EcoSkiller Growth Insights shows it to you automatically.'</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concreteness of 'zero bookings in 6 months' is instantly relatable to any mentor who has wondered why certain slots never fill. It makes an abstract analytics feature viscerally understandable — and shareable as a 'wow, I didn't know this existed' discovery post.</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are action-oriented but data-poor in their self-employment decisions. They rely on intuition because they lack structured feedback. Growth Insights replaces this frustrating blindness with specific, actionable data — resolving a deep professional anxiety about whether their self-employment decisions are optimal.</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C2D12" w:val="clear"/>
            <w:tcMar>
              <w:top w:type="dxa" w:w="140"/>
              <w:left w:type="dxa" w:w="200"/>
              <w:bottom w:type="dxa" w:w="140"/>
              <w:right w:type="dxa" w:w="200"/>
            </w:tcMar>
          </w:tcPr>
          <w:p>
            <w:r>
              <w:rPr>
                <w:rFonts w:ascii="Arial" w:cs="Arial" w:eastAsia="Arial" w:hAnsi="Arial"/>
                <w:b/>
                <w:bCs/>
                <w:color w:val="FFFFFF"/>
                <w:sz w:val="24"/>
                <w:szCs w:val="24"/>
              </w:rPr>
              <w:t xml:space="preserve">#08  </w:t>
            </w:r>
            <w:r>
              <w:rPr>
                <w:rFonts w:ascii="Arial" w:cs="Arial" w:eastAsia="Arial" w:hAnsi="Arial"/>
                <w:b/>
                <w:bCs/>
                <w:color w:val="FFFFFF"/>
                <w:sz w:val="24"/>
                <w:szCs w:val="24"/>
              </w:rPr>
              <w:t xml:space="preserve">"Rs.5,000 Ek Colleague Ko Refer Karo" — The Bonus That Respects Your Network</w:t>
            </w:r>
            <w:r>
              <w:rPr>
                <w:rFonts w:ascii="Arial" w:cs="Arial" w:eastAsia="Arial" w:hAnsi="Arial"/>
                <w:color w:val="CBD5E1"/>
                <w:sz w:val="18"/>
                <w:szCs w:val="18"/>
              </w:rPr>
              <w:t xml:space="preserve">   [Referral &amp; Network]</w:t>
            </w:r>
          </w:p>
        </w:tc>
      </w:tr>
      <w:tr>
        <w:tc>
          <w:tcPr>
            <w:gridSpan w:val="2"/>
            <w:tcBorders>
              <w:top w:val="single" w:color="D1D5DB" w:sz="1"/>
              <w:left w:val="single" w:color="D1D5DB" w:sz="1"/>
              <w:bottom w:val="single" w:color="D1D5DB" w:sz="1"/>
              <w:right w:val="single" w:color="D1D5DB" w:sz="1"/>
            </w:tcBorders>
            <w:shd w:fill="FFE4E6"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Refer a technology or finance professional to EcoSkiller. They join, pass verification, and stay active for 3 months. You receive Rs.5,000 — automatically added to your next payout. No forms. No follow-up. No waiting.</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E.5 Referral Bonus — Rs.5,000 for high-demand domains (Tech/Finance/Healthcare) | Rs.3,000 for standard domains | 3 consecutive active months required | Added to next monthly payout automatically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referral as a professional recommendation: 'I referred 3 colleagues to EcoSkiller this quarter. Rs.15,000 added to my April payout. More importantly — I gave three people I respect a platform that values their expertise.' Frame referral as both financially rewarding and professionally generous.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Indian professionals share money-making opportunities with trusted networks when the mechanism feels ethical and the amounts are meaningful. Rs.5,000 per referral is meaningful without feeling like a pyramid scheme. The 3-month activity requirement makes it feel like a quality filter rather than a recruitment gimmick.</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are deeply reluctant to recommend anything to their professional networks that might embarrass them or damage trust. The 3-month activity threshold and quality filter built into the referral system gives them confidence that they are recommending a genuine opportunity — not a fleeting scheme. It honours their professional reputation while rewarding their network.</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#09  </w:t>
            </w:r>
            <w:r>
              <w:rPr>
                <w:rFonts w:ascii="Arial" w:cs="Arial" w:eastAsia="Arial" w:hAnsi="Arial"/>
                <w:b/>
                <w:bCs/>
                <w:color w:val="FFFFFF"/>
                <w:sz w:val="24"/>
                <w:szCs w:val="24"/>
              </w:rPr>
              <w:t xml:space="preserve">"Score 50 Se 91 Tak — 8 Mahine Ki Journey" — The Roadmap Everyone Can Follow</w:t>
            </w:r>
            <w:r>
              <w:rPr>
                <w:rFonts w:ascii="Arial" w:cs="Arial" w:eastAsia="Arial" w:hAnsi="Arial"/>
                <w:color w:val="CBD5E1"/>
                <w:sz w:val="18"/>
                <w:szCs w:val="18"/>
              </w:rPr>
              <w:t xml:space="preserve">   [Credibility Score]</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Every mentor starts at 50. Priya started at 50. 8 months later: 91. Here is exactly what moved her score — session by session, rating by rating, placement by placement.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E.7 Credibility Score — New mentor baseline: 50/100 | Recalculated weekly | 'What's Affecting My Score' panel shows last 3 score events and top 2 improvement opportunities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Create a month-by-month score progression chart for an illustrative mentor journey: Month 1 (54), Month 2 (61), Month 3 (68) — green threshold crossed, Month 5 (75) — weekly payout unlocked, Month 8 (91). Show key events at each milestone. Caption: 'The score is transparent. The improvement path is clear. The rewards at each level are real.'</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Progress narratives with specific milestones are the most motivating content format for professionals considering a new platform. Showing the journey from 50 to 91 makes the destination feel achievable — not aspirational fantasy.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relationship with competitive scores is deeply ingrained — JEE rank, CGPA, performance rating. A platform that gives them a score that improves with effort, shows them exactly why it changed, and ties specific rewards to score milestones activates the same competitive motivation that drove them through every previous examination in their life.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4532D" w:val="clear"/>
            <w:tcMar>
              <w:top w:type="dxa" w:w="140"/>
              <w:left w:type="dxa" w:w="200"/>
              <w:bottom w:type="dxa" w:w="140"/>
              <w:right w:type="dxa" w:w="200"/>
            </w:tcMar>
          </w:tcPr>
          <w:p>
            <w:r>
              <w:rPr>
                <w:rFonts w:ascii="Arial" w:cs="Arial" w:eastAsia="Arial" w:hAnsi="Arial"/>
                <w:b/>
                <w:bCs/>
                <w:color w:val="FFFFFF"/>
                <w:sz w:val="24"/>
                <w:szCs w:val="24"/>
              </w:rPr>
              <w:t xml:space="preserve">#10  </w:t>
            </w:r>
            <w:r>
              <w:rPr>
                <w:rFonts w:ascii="Arial" w:cs="Arial" w:eastAsia="Arial" w:hAnsi="Arial"/>
                <w:b/>
                <w:bCs/>
                <w:color w:val="FFFFFF"/>
                <w:sz w:val="24"/>
                <w:szCs w:val="24"/>
              </w:rPr>
              <w:t xml:space="preserve">"Rs.16,160 Ek Mahine Mein — Ek Part-Time Mentor" — The Side Income That Changed the Math</w:t>
            </w:r>
            <w:r>
              <w:rPr>
                <w:rFonts w:ascii="Arial" w:cs="Arial" w:eastAsia="Arial" w:hAnsi="Arial"/>
                <w:color w:val="CBD5E1"/>
                <w:sz w:val="18"/>
                <w:szCs w:val="18"/>
              </w:rPr>
              <w:t xml:space="preserve">   [Income Reality]</w:t>
            </w:r>
          </w:p>
        </w:tc>
      </w:tr>
      <w:tr>
        <w:tc>
          <w:tcPr>
            <w:gridSpan w:val="2"/>
            <w:tcBorders>
              <w:top w:val="single" w:color="D1D5DB" w:sz="1"/>
              <w:left w:val="single" w:color="D1D5DB" w:sz="1"/>
              <w:bottom w:val="single" w:color="D1D5DB" w:sz="1"/>
              <w:right w:val="single" w:color="D1D5DB" w:sz="1"/>
            </w:tcBorders>
            <w:shd w:fill="D1FAE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12 one-on-one sessions. 2 group sessions. 2 project commissions. Rs.16,160 in one month. Part-time. Evening hours. Without leaving your full-time job.</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E.2 Earnings Dashboard — Example: March earnings breakdown: 12 sessions + 2 group sessions + 2 project commissions = Rs.16,160 | Across all 4 income streams in one month</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complete March earnings breakdown with every line item visible: sessions, group sessions, project commissions, totals. No rounding, no approximations. Caption: 'This is what one active month looks like on EcoSkiller. Not a promise. Not an average. One mentor. March 2026. Real numbers.' Share in part-time income and career development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Transparent, itemised income breakdowns from real mentors generate enormous engagement in Indian professional communities. The specificity — 12 sessions, 2 group sessions, 2 project commissions — is what makes it credible rather than aspirational.</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salaried professionals evaluate side income through the lens of effort-to-rupee efficiency and schedule compatibility. A breakdown showing Rs.16,160 from part-time evening sessions resolves both concerns simultaneously: the income is meaningful, and the schedule does not require leaving the primary job.</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34E4A" w:val="clear"/>
            <w:tcMar>
              <w:top w:type="dxa" w:w="140"/>
              <w:left w:type="dxa" w:w="200"/>
              <w:bottom w:type="dxa" w:w="140"/>
              <w:right w:type="dxa" w:w="200"/>
            </w:tcMar>
          </w:tcPr>
          <w:p>
            <w:r>
              <w:rPr>
                <w:rFonts w:ascii="Arial" w:cs="Arial" w:eastAsia="Arial" w:hAnsi="Arial"/>
                <w:b/>
                <w:bCs/>
                <w:color w:val="FFFFFF"/>
                <w:sz w:val="24"/>
                <w:szCs w:val="24"/>
              </w:rPr>
              <w:t xml:space="preserve">#11  </w:t>
            </w:r>
            <w:r>
              <w:rPr>
                <w:rFonts w:ascii="Arial" w:cs="Arial" w:eastAsia="Arial" w:hAnsi="Arial"/>
                <w:b/>
                <w:bCs/>
                <w:color w:val="FFFFFF"/>
                <w:sz w:val="24"/>
                <w:szCs w:val="24"/>
              </w:rPr>
              <w:t xml:space="preserve">"Interview Prep Ka Conversion 14.1% Hai — 3 Slots Hi Ho" — Your Best Product Is Hiding</w:t>
            </w:r>
            <w:r>
              <w:rPr>
                <w:rFonts w:ascii="Arial" w:cs="Arial" w:eastAsia="Arial" w:hAnsi="Arial"/>
                <w:color w:val="CBD5E1"/>
                <w:sz w:val="18"/>
                <w:szCs w:val="18"/>
              </w:rPr>
              <w:t xml:space="preserve">   [Growth Intelligence]</w:t>
            </w:r>
          </w:p>
        </w:tc>
      </w:tr>
      <w:tr>
        <w:tc>
          <w:tcPr>
            <w:gridSpan w:val="2"/>
            <w:tcBorders>
              <w:top w:val="single" w:color="D1D5DB" w:sz="1"/>
              <w:left w:val="single" w:color="D1D5DB" w:sz="1"/>
              <w:bottom w:val="single" w:color="D1D5DB" w:sz="1"/>
              <w:right w:val="single" w:color="D1D5DB" w:sz="1"/>
            </w:tcBorders>
            <w:shd w:fill="CCFBF1"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Data Analysis gets 340 impressions and 8.2% conversion. Interview Prep gets 85 impressions and 14.1% conversion. Your highest-converting specialisation has the fewest slots. Growth Insights finds this for you automatically.</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E.8 Growth Insights — Domain Demand: impressions AND conversion rate per domain | Example: Interview Prep 14.1% conversion vs Data Analysis 8.2% | Action: add more Interview Prep slots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insight as a business strategy piece: 'If a product converts 14.1% of enquiries vs another at 8.2% — where do you invest? EcoSkiller Growth Insights shows you your conversion rate by specialisation. Most mentors are underserving their highest-demand offering.' Share in MBA and business strategy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Applying business analytics thinking to mentoring practice is a novel reframe that resonates with India's growing management-educated professional class. MBAs and business strategy enthusiasts will share it as an example of data-driven personal career management.</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with business or management backgrounds respond strongly to conversion-rate thinking applied to their own services. Reframing their mentoring practice as a business with measurable product-market fit data activates the analytical mindset they have been trained to apply at work — now directed at their own income optimisation.</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3B1F6E" w:val="clear"/>
            <w:tcMar>
              <w:top w:type="dxa" w:w="140"/>
              <w:left w:type="dxa" w:w="200"/>
              <w:bottom w:type="dxa" w:w="140"/>
              <w:right w:type="dxa" w:w="200"/>
            </w:tcMar>
          </w:tcPr>
          <w:p>
            <w:r>
              <w:rPr>
                <w:rFonts w:ascii="Arial" w:cs="Arial" w:eastAsia="Arial" w:hAnsi="Arial"/>
                <w:b/>
                <w:bCs/>
                <w:color w:val="FFFFFF"/>
                <w:sz w:val="24"/>
                <w:szCs w:val="24"/>
              </w:rPr>
              <w:t xml:space="preserve">#12  </w:t>
            </w:r>
            <w:r>
              <w:rPr>
                <w:rFonts w:ascii="Arial" w:cs="Arial" w:eastAsia="Arial" w:hAnsi="Arial"/>
                <w:b/>
                <w:bCs/>
                <w:color w:val="FFFFFF"/>
                <w:sz w:val="24"/>
                <w:szCs w:val="24"/>
              </w:rPr>
              <w:t xml:space="preserve">"GST Invoice Auto-Generate — Tax Filing Tension Khatam" — The Admin That Runs Itself</w:t>
            </w:r>
            <w:r>
              <w:rPr>
                <w:rFonts w:ascii="Arial" w:cs="Arial" w:eastAsia="Arial" w:hAnsi="Arial"/>
                <w:color w:val="CBD5E1"/>
                <w:sz w:val="18"/>
                <w:szCs w:val="18"/>
              </w:rPr>
              <w:t xml:space="preserve">   [Payment Reliability]</w:t>
            </w:r>
          </w:p>
        </w:tc>
      </w:tr>
      <w:tr>
        <w:tc>
          <w:tcPr>
            <w:gridSpan w:val="2"/>
            <w:tcBorders>
              <w:top w:val="single" w:color="D1D5DB" w:sz="1"/>
              <w:left w:val="single" w:color="D1D5DB" w:sz="1"/>
              <w:bottom w:val="single" w:color="D1D5DB" w:sz="1"/>
              <w:right w:val="single" w:color="D1D5DB" w:sz="1"/>
            </w:tcBorders>
            <w:shd w:fill="EDE9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Every payout. One GST-compliant invoice. Auto-generated. Digitally signed. Emailed. Archived. You never create, send, or chase an invoice again. Your CA will thank you.</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E.4 Payment Schedule — GST-compliant tax invoice auto-generated for every payout | Digitally signed PDF emailed on transfer | Records maintained for statutory compliance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for freelancers and self-employed professionals: 'The two things every Indian freelancer dreads: delayed payment and tax season. EcoSkiller eliminates both. Auto-generated GST invoices for every payout. Your records are always audit-ready.' Share in CA communities, freelancer groups, and self-employment forums.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GST compliance anxiety is universal among Indian self-employed professionals. A feature that resolves this without any manual effort will be shared enthusiastically in professional communities where this pain is regularly discussed.</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India's tax compliance burden falls disproportionately on self-employed professionals who lack the administrative infrastructure of a company. Automated GST invoice generation is not just a convenience feature — it resolves a persistent anxiety that causes many highly qualified professionals to avoid freelance income altogether.</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8350F" w:val="clear"/>
            <w:tcMar>
              <w:top w:type="dxa" w:w="140"/>
              <w:left w:type="dxa" w:w="200"/>
              <w:bottom w:type="dxa" w:w="140"/>
              <w:right w:type="dxa" w:w="200"/>
            </w:tcMar>
          </w:tcPr>
          <w:p>
            <w:r>
              <w:rPr>
                <w:rFonts w:ascii="Arial" w:cs="Arial" w:eastAsia="Arial" w:hAnsi="Arial"/>
                <w:b/>
                <w:bCs/>
                <w:color w:val="FFFFFF"/>
                <w:sz w:val="24"/>
                <w:szCs w:val="24"/>
              </w:rPr>
              <w:t xml:space="preserve">#13  </w:t>
            </w:r>
            <w:r>
              <w:rPr>
                <w:rFonts w:ascii="Arial" w:cs="Arial" w:eastAsia="Arial" w:hAnsi="Arial"/>
                <w:b/>
                <w:bCs/>
                <w:color w:val="FFFFFF"/>
                <w:sz w:val="24"/>
                <w:szCs w:val="24"/>
              </w:rPr>
              <w:t xml:space="preserve">"Rs.3,000 Se Rs.7,500 — Project Commission Bhi Kamaao" — The Income Stream You Are Missing</w:t>
            </w:r>
            <w:r>
              <w:rPr>
                <w:rFonts w:ascii="Arial" w:cs="Arial" w:eastAsia="Arial" w:hAnsi="Arial"/>
                <w:color w:val="CBD5E1"/>
                <w:sz w:val="18"/>
                <w:szCs w:val="18"/>
              </w:rPr>
              <w:t xml:space="preserve">   [Income Growth]</w:t>
            </w:r>
          </w:p>
        </w:tc>
      </w:tr>
      <w:tr>
        <w:tc>
          <w:tcPr>
            <w:gridSpan w:val="2"/>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You review student projects in the Marketplace. Company rates it 5/5. You earn 10% of the project fee. 2 projects at Rs.15,000 each: Rs.3,000. 3 projects at Rs.25,000 each: Rs.7,500. No sessions. No availability slots. Pure commission.</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E.3 Revenue Share Model — Project commission: 10% of gross project fee | Example: 2 projects × Rs.15,000 × 10% = Rs.3,000 | 3 projects × Rs.25,000 × 10% = Rs.7,500 | Separate from session income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fourth income stream as a standalone discovery: 'Most mentors only know about session income. Project commissions are EcoSkiller's most underused income stream. Here is exactly how it works and what it pays.' Include the calculation table for different project sizes.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Revealing an income stream that existing mentors are not using creates immediate action — current mentors update their practice, potential mentors add this to their calculation of total platform income potential. Both groups share it.</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respond strongly to income streams that require expertise rather than time — they feel premium, not transactional. Project review commissions feel like being paid for professional judgment, not labour — a psychologically meaningful distinction that makes the income feel more prestigious and the opportunity more attractive.</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374151" w:val="clear"/>
            <w:tcMar>
              <w:top w:type="dxa" w:w="140"/>
              <w:left w:type="dxa" w:w="200"/>
              <w:bottom w:type="dxa" w:w="140"/>
              <w:right w:type="dxa" w:w="200"/>
            </w:tcMar>
          </w:tcPr>
          <w:p>
            <w:r>
              <w:rPr>
                <w:rFonts w:ascii="Arial" w:cs="Arial" w:eastAsia="Arial" w:hAnsi="Arial"/>
                <w:b/>
                <w:bCs/>
                <w:color w:val="FFFFFF"/>
                <w:sz w:val="24"/>
                <w:szCs w:val="24"/>
              </w:rPr>
              <w:t xml:space="preserve">#14  </w:t>
            </w:r>
            <w:r>
              <w:rPr>
                <w:rFonts w:ascii="Arial" w:cs="Arial" w:eastAsia="Arial" w:hAnsi="Arial"/>
                <w:b/>
                <w:bCs/>
                <w:color w:val="FFFFFF"/>
                <w:sz w:val="24"/>
                <w:szCs w:val="24"/>
              </w:rPr>
              <w:t xml:space="preserve">"87% Placement Rate — 47 Students Ka Saboot" — When Your Track Record Speaks for Itself</w:t>
            </w:r>
            <w:r>
              <w:rPr>
                <w:rFonts w:ascii="Arial" w:cs="Arial" w:eastAsia="Arial" w:hAnsi="Arial"/>
                <w:color w:val="CBD5E1"/>
                <w:sz w:val="18"/>
                <w:szCs w:val="18"/>
              </w:rPr>
              <w:t xml:space="preserve">   [Success Tracking]</w:t>
            </w:r>
          </w:p>
        </w:tc>
      </w:tr>
      <w:tr>
        <w:tc>
          <w:tcPr>
            <w:gridSpan w:val="2"/>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87% of Priya's 47 students got placed. Average time to placement: 94 days from first session. This is not a claim. This is a calculation. Platform-tracked. Publicly displayed. Recruiter-verified.</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E.6 Success Rate Tracking — Placement Rate % and Average Time to Placement displayed publicly on mentor profile | Tracked across job placement, internship, exam clearance, skill upgrade | Attribution: success within 180 days of active mentor assignment</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success rate card as a product demo: 'This is what a mentor's profile shows when their results are tracked objectively. Not self-reported. Not estimated. Platform-calculated from recruiter data and student outcomes.' Share in placement officer and HR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Placement rate as an objective, platform-calculated metric is completely novel. HR professionals and placement officers will share it because it solves their assessment problem. Students will share it with peers as the new standard for choosing a mentor.</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 India's mentoring market, claims of success are ubiquitous and unverifiable. A platform-calculated, recruiter-verified placement rate is a breakthrough trust signal — it transforms the mentor from a self-promoting individual into an evidence-backed professional service. Indian professionals, trained to respect data and distrust marketing, respond to this distinction powerfully.</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#15  </w:t>
            </w:r>
            <w:r>
              <w:rPr>
                <w:rFonts w:ascii="Arial" w:cs="Arial" w:eastAsia="Arial" w:hAnsi="Arial"/>
                <w:b/>
                <w:bCs/>
                <w:color w:val="FFFFFF"/>
                <w:sz w:val="24"/>
                <w:szCs w:val="24"/>
              </w:rPr>
              <w:t xml:space="preserve">"Action Item Follow-Through — Repeat Booking Ka Sabse Bada Secret" — The Counterintuitive Finding</w:t>
            </w:r>
            <w:r>
              <w:rPr>
                <w:rFonts w:ascii="Arial" w:cs="Arial" w:eastAsia="Arial" w:hAnsi="Arial"/>
                <w:color w:val="CBD5E1"/>
                <w:sz w:val="18"/>
                <w:szCs w:val="18"/>
              </w:rPr>
              <w:t xml:space="preserve">   [Credibility Score]</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Students who complete their first session action items book a second session 71% of the time. Students who don't: only 18%. Your repeat revenue has nothing to do with how brilliant your session was. It has everything to do with what happened after.</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E.8 Growth Insights — Repeat Booking Rate insight: action item completion correlated with 71% repeat booking vs 18% for non-completion | Platform median repeat rate: 38%</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this finding as a counterintuitive career insight: 'EcoSkiller data reveals the #1 driver of mentor repeat bookings. It is not your domain expertise. It is not your session quality. It is whether your students complete the action items you assign.' Share in mentoring, coaching, and career development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Counterintuitive findings backed by platform data are the most shared type of professional content on LinkedIn. The 71% vs 18% contrast is dramatic. Every mentor and coach will share it — some to validate their existing practice, others as a wake-up call.</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mentors invest heavily in session quality — preparation, knowledge delivery, advice quality. Discovering that post-session follow-through has a far greater impact on repeat revenue than session brilliance activates both surprise and immediate behaviour change. It also shifts mentors from a delivery mindset to an outcome mindset — which improves student results simultaneously.</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8350F" w:val="clear"/>
            <w:tcMar>
              <w:top w:type="dxa" w:w="140"/>
              <w:left w:type="dxa" w:w="200"/>
              <w:bottom w:type="dxa" w:w="140"/>
              <w:right w:type="dxa" w:w="200"/>
            </w:tcMar>
          </w:tcPr>
          <w:p>
            <w:r>
              <w:rPr>
                <w:rFonts w:ascii="Arial" w:cs="Arial" w:eastAsia="Arial" w:hAnsi="Arial"/>
                <w:b/>
                <w:bCs/>
                <w:color w:val="FFFFFF"/>
                <w:sz w:val="24"/>
                <w:szCs w:val="24"/>
              </w:rPr>
              <w:t xml:space="preserve">#16  </w:t>
            </w:r>
            <w:r>
              <w:rPr>
                <w:rFonts w:ascii="Arial" w:cs="Arial" w:eastAsia="Arial" w:hAnsi="Arial"/>
                <w:b/>
                <w:bCs/>
                <w:color w:val="FFFFFF"/>
                <w:sz w:val="24"/>
                <w:szCs w:val="24"/>
              </w:rPr>
              <w:t xml:space="preserve">"Weekly Payout Unlock Karo Score 75+ Pe" — Quality Ka Inaam: Faster Cash Flow</w:t>
            </w:r>
            <w:r>
              <w:rPr>
                <w:rFonts w:ascii="Arial" w:cs="Arial" w:eastAsia="Arial" w:hAnsi="Arial"/>
                <w:color w:val="CBD5E1"/>
                <w:sz w:val="18"/>
                <w:szCs w:val="18"/>
              </w:rPr>
              <w:t xml:space="preserve">   [Income Growth]</w:t>
            </w:r>
          </w:p>
        </w:tc>
      </w:tr>
      <w:tr>
        <w:tc>
          <w:tcPr>
            <w:gridSpan w:val="2"/>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Credibility Score above 75: you qualify for weekly payouts. Every Monday, last week's confirmed earnings hit your bank account. Not monthly. Every week. That is quality rewarded with cash flow.</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E.4 Payment Schedule — Weekly Payout option for mentors with Credibility Score 75+ | Paid every Monday for previous week's confirmed earnings | Direct financial reward for maintaining quality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Frame weekly payout as an exclusive benefit earned through quality — not purchased. Post: 'EcoSkiller's weekly payout is not available to all mentors. It unlocks at Credibility Score 75+. Here is what it takes to get there — and why it is worth it.' Share as a quality-reward framework post.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Exclusive benefits with transparent eligibility criteria drive aspiration and action. Mentors currently at 65-74 will immediately calculate what they need to do to reach 75. High-score mentors will share their weekly payout status as a professional achievement.</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India's professional culture deeply values merit-based reward systems. A feature that explicitly rewards quality with faster cash flow activates both financial motivation and professional pride. The weekly payout is not just a cash flow improvement — it is a public declaration that the mentor has earned quality status.</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E3A8A" w:val="clear"/>
            <w:tcMar>
              <w:top w:type="dxa" w:w="140"/>
              <w:left w:type="dxa" w:w="200"/>
              <w:bottom w:type="dxa" w:w="140"/>
              <w:right w:type="dxa" w:w="200"/>
            </w:tcMar>
          </w:tcPr>
          <w:p>
            <w:r>
              <w:rPr>
                <w:rFonts w:ascii="Arial" w:cs="Arial" w:eastAsia="Arial" w:hAnsi="Arial"/>
                <w:b/>
                <w:bCs/>
                <w:color w:val="FFFFFF"/>
                <w:sz w:val="24"/>
                <w:szCs w:val="24"/>
              </w:rPr>
              <w:t xml:space="preserve">#17  </w:t>
            </w:r>
            <w:r>
              <w:rPr>
                <w:rFonts w:ascii="Arial" w:cs="Arial" w:eastAsia="Arial" w:hAnsi="Arial"/>
                <w:b/>
                <w:bCs/>
                <w:color w:val="FFFFFF"/>
                <w:sz w:val="24"/>
                <w:szCs w:val="24"/>
              </w:rPr>
              <w:t xml:space="preserve">"Rs.200 Se Rs.10,000 — Aap Tय Karo Apni Value" — No One Tells You What to Charge</w:t>
            </w:r>
            <w:r>
              <w:rPr>
                <w:rFonts w:ascii="Arial" w:cs="Arial" w:eastAsia="Arial" w:hAnsi="Arial"/>
                <w:color w:val="CBD5E1"/>
                <w:sz w:val="18"/>
                <w:szCs w:val="18"/>
              </w:rPr>
              <w:t xml:space="preserve">   [Transparency &amp; Trust]</w:t>
            </w:r>
          </w:p>
        </w:tc>
      </w:tr>
      <w:tr>
        <w:tc>
          <w:tcPr>
            <w:gridSpan w:val="2"/>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EcoSkiller enforces only a minimum (Rs.200) and a maximum (Rs.10,000). Within that range, you set your own price. The platform suggests. You decide. Your expertise, your call.</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E.1 Session Fee Setting — Platform enforces minimum Rs.200 and maximum Rs.10,000 | Pricing Recommendation Engine suggests — mentor is free to accept, exceed, or undercut | 'Mentor is free to accept, exceed, or undercut the suggestion'</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a mentor autonomy message: 'Most platforms either dictate your price or give you no guidance at all. EcoSkiller suggests a market-calibrated range and then steps back. You decide. Your credibility, your market, your price.' Share in freelancer and gig economy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Professional autonomy is the most emotionally resonant topic in India's growing independent work movement. Platforms that respect mentor agency — rather than treating them as interchangeable gig workers — generate fierce loyalty and organic advocacy.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who have left corporate environments to work independently do so specifically to reclaim control over their professional decisions. A platform that offers data-driven guidance without overriding mentor judgment respects this autonomy — and that respect is the foundation of long-term platform loyalty.</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C2D12" w:val="clear"/>
            <w:tcMar>
              <w:top w:type="dxa" w:w="140"/>
              <w:left w:type="dxa" w:w="200"/>
              <w:bottom w:type="dxa" w:w="140"/>
              <w:right w:type="dxa" w:w="200"/>
            </w:tcMar>
          </w:tcPr>
          <w:p>
            <w:r>
              <w:rPr>
                <w:rFonts w:ascii="Arial" w:cs="Arial" w:eastAsia="Arial" w:hAnsi="Arial"/>
                <w:b/>
                <w:bCs/>
                <w:color w:val="FFFFFF"/>
                <w:sz w:val="24"/>
                <w:szCs w:val="24"/>
              </w:rPr>
              <w:t xml:space="preserve">#18  </w:t>
            </w:r>
            <w:r>
              <w:rPr>
                <w:rFonts w:ascii="Arial" w:cs="Arial" w:eastAsia="Arial" w:hAnsi="Arial"/>
                <w:b/>
                <w:bCs/>
                <w:color w:val="FFFFFF"/>
                <w:sz w:val="24"/>
                <w:szCs w:val="24"/>
              </w:rPr>
              <w:t xml:space="preserve">"Leaderboard Pe Top-10 Mein Aana" — Referral Ka Social Phaida Bhi Hai</w:t>
            </w:r>
            <w:r>
              <w:rPr>
                <w:rFonts w:ascii="Arial" w:cs="Arial" w:eastAsia="Arial" w:hAnsi="Arial"/>
                <w:color w:val="CBD5E1"/>
                <w:sz w:val="18"/>
                <w:szCs w:val="18"/>
              </w:rPr>
              <w:t xml:space="preserve">   [Referral &amp; Network]</w:t>
            </w:r>
          </w:p>
        </w:tc>
      </w:tr>
      <w:tr>
        <w:tc>
          <w:tcPr>
            <w:gridSpan w:val="2"/>
            <w:tcBorders>
              <w:top w:val="single" w:color="D1D5DB" w:sz="1"/>
              <w:left w:val="single" w:color="D1D5DB" w:sz="1"/>
              <w:bottom w:val="single" w:color="D1D5DB" w:sz="1"/>
              <w:right w:val="single" w:color="D1D5DB" w:sz="1"/>
            </w:tcBorders>
            <w:shd w:fill="FFE4E6"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Quarterly Referral Leaderboard. Top-10 referring mentors. Recognised publicly on the platform. Your network-building becomes a competitive sport — with financial rewards and professional recognition.</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E.5 Referral Bonus — Quarterly Referral Leaderboard: top-10 referring mentors recognised on platform | No cap on number of referrals | Recognition beyond financial incentive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leaderboard as a community-building tool: 'The top referral mentors this quarter built their professional network into a platform asset. They also earned between Rs.15,000 and Rs.50,000 in referral bonuses. And their names are on EcoSkiller's quarterly leaderboard.' Share in LinkedIn and professional community groups.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Leaderboard recognition is a powerful social motivator in India's achievement-oriented professional culture. Mentors who appear on the leaderboard will share their ranking. Their networks will investigate the platform. Competitive mentors who are not on it will increase referral activity.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have deep relationship with competitive recognition — school toppers, college rank holders, corporate awardees. A professional leaderboard that celebrates network-builders activates this same competitive and recognition-seeking instinct. The financial reward and the public recognition together create a uniquely powerful motivator.</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E3A8A" w:val="clear"/>
            <w:tcMar>
              <w:top w:type="dxa" w:w="140"/>
              <w:left w:type="dxa" w:w="200"/>
              <w:bottom w:type="dxa" w:w="140"/>
              <w:right w:type="dxa" w:w="200"/>
            </w:tcMar>
          </w:tcPr>
          <w:p>
            <w:r>
              <w:rPr>
                <w:rFonts w:ascii="Arial" w:cs="Arial" w:eastAsia="Arial" w:hAnsi="Arial"/>
                <w:b/>
                <w:bCs/>
                <w:color w:val="FFFFFF"/>
                <w:sz w:val="24"/>
                <w:szCs w:val="24"/>
              </w:rPr>
              <w:t xml:space="preserve">#19  </w:t>
            </w:r>
            <w:r>
              <w:rPr>
                <w:rFonts w:ascii="Arial" w:cs="Arial" w:eastAsia="Arial" w:hAnsi="Arial"/>
                <w:b/>
                <w:bCs/>
                <w:color w:val="FFFFFF"/>
                <w:sz w:val="24"/>
                <w:szCs w:val="24"/>
              </w:rPr>
              <w:t xml:space="preserve">"Pending Payout Card — Tumhara Paisa Dikhta Hai, Andar Hai" — Real-Time Financial Visibility</w:t>
            </w:r>
            <w:r>
              <w:rPr>
                <w:rFonts w:ascii="Arial" w:cs="Arial" w:eastAsia="Arial" w:hAnsi="Arial"/>
                <w:color w:val="CBD5E1"/>
                <w:sz w:val="18"/>
                <w:szCs w:val="18"/>
              </w:rPr>
              <w:t xml:space="preserve">   [Transparency &amp; Trust]</w:t>
            </w:r>
          </w:p>
        </w:tc>
      </w:tr>
      <w:tr>
        <w:tc>
          <w:tcPr>
            <w:gridSpan w:val="2"/>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Your Pending Payout card shows the exact rupee amount confirmed but awaiting the next payout cycle. You know your money is there — earned, confirmed, waiting. No uncertainty. No surprises.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E.2 Earnings Dashboard — Pending Payout card: amount confirmed but awaiting next payout cycle | All figures update in real time as sessions are completed and projects are approved</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Show the Pending Payout card UI concept: a prominent number with the label 'Payable on 05 April.' Caption: 'Most platforms make your earnings feel theoretical until payment day. EcoSkiller makes them feel concrete from the moment you earn them.' Share as a financial transparency post.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Financial certainty is universally valued. Showing that EcoSkiller displays your confirmed-but-unpaid earnings in real time resolves the anxiety that every platform worker carries: 'Is my money actually coming?'</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The psychological stress of financial uncertainty is disproportionate to the actual risk for Indian platform workers — they know intellectually that payment will come, but the lack of visible confirmation creates persistent low-level anxiety. A Pending Payout card that shows the exact confirmed amount is not just informational — it is emotionally reassuring in a way that drives deep platform trust.</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8350F" w:val="clear"/>
            <w:tcMar>
              <w:top w:type="dxa" w:w="140"/>
              <w:left w:type="dxa" w:w="200"/>
              <w:bottom w:type="dxa" w:w="140"/>
              <w:right w:type="dxa" w:w="200"/>
            </w:tcMar>
          </w:tcPr>
          <w:p>
            <w:r>
              <w:rPr>
                <w:rFonts w:ascii="Arial" w:cs="Arial" w:eastAsia="Arial" w:hAnsi="Arial"/>
                <w:b/>
                <w:bCs/>
                <w:color w:val="FFFFFF"/>
                <w:sz w:val="24"/>
                <w:szCs w:val="24"/>
              </w:rPr>
              <w:t xml:space="preserve">#20  </w:t>
            </w:r>
            <w:r>
              <w:rPr>
                <w:rFonts w:ascii="Arial" w:cs="Arial" w:eastAsia="Arial" w:hAnsi="Arial"/>
                <w:b/>
                <w:bCs/>
                <w:color w:val="FFFFFF"/>
                <w:sz w:val="24"/>
                <w:szCs w:val="24"/>
              </w:rPr>
              <w:t xml:space="preserve">"Price Sensitivity — Green Matlab Book Hoge, Amber Matlab Sochna Padega" — The Pricing Traffic Light</w:t>
            </w:r>
            <w:r>
              <w:rPr>
                <w:rFonts w:ascii="Arial" w:cs="Arial" w:eastAsia="Arial" w:hAnsi="Arial"/>
                <w:color w:val="CBD5E1"/>
                <w:sz w:val="18"/>
                <w:szCs w:val="18"/>
              </w:rPr>
              <w:t xml:space="preserve">   [Income Growth]</w:t>
            </w:r>
          </w:p>
        </w:tc>
      </w:tr>
      <w:tr>
        <w:tc>
          <w:tcPr>
            <w:gridSpan w:val="2"/>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Set your fee. The Price Sensitivity Indicator tells you immediately: green means high booking likelihood at this price. Amber means moderate. Red means too high for your current market. Change in real time. No guesswork.</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E.1 Session Fee Setting — Price Sensitivity Indicator: green/amber/red signal based on historical demand data | Shows whether current fee is likely to attract high, moderate, or low booking volume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traffic light system as a product demo with three scenarios: fee set too low (green but underearning), fee set correctly (green, optimal), fee set too high (amber, bookings drop). Show how the indicator guides mentors to the optimal price. Caption: 'This is what data-driven pricing looks like for a mentoring session.'</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Traffic light systems are intuitively understandable — no explanation needed. Mentors will immediately want to test their own pricing against the indicator. The three-scenario demonstration provides a complete mental model in one post.</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who have set their own prices for the first time experience significant anxiety about mispricing — too high feels arrogant, too low feels self-defeating. A platform signal that takes the emotional weight out of this decision by providing objective market data resolves a genuine psychological barrier to confident, optimised pricing.</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374151" w:val="clear"/>
            <w:tcMar>
              <w:top w:type="dxa" w:w="140"/>
              <w:left w:type="dxa" w:w="200"/>
              <w:bottom w:type="dxa" w:w="140"/>
              <w:right w:type="dxa" w:w="200"/>
            </w:tcMar>
          </w:tcPr>
          <w:p>
            <w:r>
              <w:rPr>
                <w:rFonts w:ascii="Arial" w:cs="Arial" w:eastAsia="Arial" w:hAnsi="Arial"/>
                <w:b/>
                <w:bCs/>
                <w:color w:val="FFFFFF"/>
                <w:sz w:val="24"/>
                <w:szCs w:val="24"/>
              </w:rPr>
              <w:t xml:space="preserve">#21  </w:t>
            </w:r>
            <w:r>
              <w:rPr>
                <w:rFonts w:ascii="Arial" w:cs="Arial" w:eastAsia="Arial" w:hAnsi="Arial"/>
                <w:b/>
                <w:bCs/>
                <w:color w:val="FFFFFF"/>
                <w:sz w:val="24"/>
                <w:szCs w:val="24"/>
              </w:rPr>
              <w:t xml:space="preserve">"94 Din Mein Placement — Aapki Speed Ka Record" — Time Is Your Competitive Advantage</w:t>
            </w:r>
            <w:r>
              <w:rPr>
                <w:rFonts w:ascii="Arial" w:cs="Arial" w:eastAsia="Arial" w:hAnsi="Arial"/>
                <w:color w:val="CBD5E1"/>
                <w:sz w:val="18"/>
                <w:szCs w:val="18"/>
              </w:rPr>
              <w:t xml:space="preserve">   [Success Tracking]</w:t>
            </w:r>
          </w:p>
        </w:tc>
      </w:tr>
      <w:tr>
        <w:tc>
          <w:tcPr>
            <w:gridSpan w:val="2"/>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Average time to placement: 94 days from first session. Not just how many students got placed — how fast. That number lives on your public profile. Faster is better. The data measures it for you.</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E.6 Success Rate Tracking — Average Time to Placement (days) tracked and displayed on public mentor profile | Breakdown by domain: Technology 91%, Data &amp; Analytics 83%, Finance 75%</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time-to-placement as a new mentoring quality metric: 'Would you rather wait 6 months for a placement or 94 days? EcoSkiller tracks exactly how fast each mentor's students get placed — and makes it public. Speed is a service quality metric. Now it is measured.' Share in placement and HR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Time-to-placement as a public metric is completely novel. HR professionals, placement officers, and corporate recruiters will share it as a useful signal. Students will use it to compare mentors. It creates a new competitive dimension that drives platform quality improvement organically.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parents and students are acutely aware of time as a scarce resource in the career placement window — particularly for fresh graduates. A mentor who places students in an average of 94 days is offering a measurably better service than one who takes 200 days. Making this metric public transforms time-efficiency from an implied benefit to a verifiable professional claim.</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E3A8A" w:val="clear"/>
            <w:tcMar>
              <w:top w:type="dxa" w:w="140"/>
              <w:left w:type="dxa" w:w="200"/>
              <w:bottom w:type="dxa" w:w="140"/>
              <w:right w:type="dxa" w:w="200"/>
            </w:tcMar>
          </w:tcPr>
          <w:p>
            <w:r>
              <w:rPr>
                <w:rFonts w:ascii="Arial" w:cs="Arial" w:eastAsia="Arial" w:hAnsi="Arial"/>
                <w:b/>
                <w:bCs/>
                <w:color w:val="FFFFFF"/>
                <w:sz w:val="24"/>
                <w:szCs w:val="24"/>
              </w:rPr>
              <w:t xml:space="preserve">#22  </w:t>
            </w:r>
            <w:r>
              <w:rPr>
                <w:rFonts w:ascii="Arial" w:cs="Arial" w:eastAsia="Arial" w:hAnsi="Arial"/>
                <w:b/>
                <w:bCs/>
                <w:color w:val="FFFFFF"/>
                <w:sz w:val="24"/>
                <w:szCs w:val="24"/>
              </w:rPr>
              <w:t xml:space="preserve">"CSV Export — Tax Season Ke Liye Poora Record Taiyaar" — Your Accountant Will Love This</w:t>
            </w:r>
            <w:r>
              <w:rPr>
                <w:rFonts w:ascii="Arial" w:cs="Arial" w:eastAsia="Arial" w:hAnsi="Arial"/>
                <w:color w:val="CBD5E1"/>
                <w:sz w:val="18"/>
                <w:szCs w:val="18"/>
              </w:rPr>
              <w:t xml:space="preserve">   [Transparency &amp; Trust]</w:t>
            </w:r>
          </w:p>
        </w:tc>
      </w:tr>
      <w:tr>
        <w:tc>
          <w:tcPr>
            <w:gridSpan w:val="2"/>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Every session. Every project. Every referral bonus. Every month for your entire platform history — downloadable as a clean CSV file at any time. Tax season becomes a data export, not a memory exercise.</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E.2 Earnings Dashboard — CSV export: full earnings history downloadable at any time | Each session shows: date, student name, duration, fee collected, mentor's 70% share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directly to self-employed professionals and their CAs during March-April tax season: 'EcoSkiller mentors: your entire earnings history is available as a CSV export from your dashboard. Every line item. Every date. Every rupee. Download once. Share with your CA. Done.' Time the post to coincide with India's tax filing season.</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Tax season is a universal pain point for Indian self-employed professionals. A timely post with an immediate solution will be shared widely across self-employment and freelancer communities.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For Indian self-employed professionals, the fear of tax non-compliance and the administrative burden of income documentation creates persistent anxiety. A platform that maintains comprehensive, exportable financial records removes this anxiety entirely — creating deep gratitude and loyalty that manifests as organic advocacy.</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#23  </w:t>
            </w:r>
            <w:r>
              <w:rPr>
                <w:rFonts w:ascii="Arial" w:cs="Arial" w:eastAsia="Arial" w:hAnsi="Arial"/>
                <w:b/>
                <w:bCs/>
                <w:color w:val="FFFFFF"/>
                <w:sz w:val="24"/>
                <w:szCs w:val="24"/>
              </w:rPr>
              <w:t xml:space="preserve">"Kya Score Gira? Kyun Gira? Jaano 10 Second Mein" — No Surprises, Only Transparency</w:t>
            </w:r>
            <w:r>
              <w:rPr>
                <w:rFonts w:ascii="Arial" w:cs="Arial" w:eastAsia="Arial" w:hAnsi="Arial"/>
                <w:color w:val="CBD5E1"/>
                <w:sz w:val="18"/>
                <w:szCs w:val="18"/>
              </w:rPr>
              <w:t xml:space="preserve">   [Credibility Score]</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'Session rating 3 stars from Vikram Nair — minus 0.1 score impact on 03 March.' Your Credibility Score breakdown shows every event that changed it — including the bad ones. Transparency is not just about the good news.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E.7 Credibility Score — 'What's Affecting My Score' panel shows last 3 events including score decreases | Example: '-0.1 on 03 March: Session rating 3 stars from student Vikram Nair' | No hidden score calculation</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transparency principle: 'EcoSkiller shows you every event that lowered your Credibility Score — not just the ones that raised it. A 3-star session from a specific student. A missed project review. Visible. Explained. Actionable.' Share as a platform trust post.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A platform that shows you bad news about yourself as transparently as good news is rare — and deeply trustworthy. Mentors will share this as evidence that EcoSkiller treats them as professionals, not numbers. The honesty itself becomes a viral signal.</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who have worked in corporate environments are accustomed to opaque performance rating systems where negative feedback is hidden or vague. A platform that shows the exact event, the exact impact, and the exact date of a score change resolves years of frustration with ambiguous assessment — creating a profound sense of fair treatment.</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C2D12" w:val="clear"/>
            <w:tcMar>
              <w:top w:type="dxa" w:w="140"/>
              <w:left w:type="dxa" w:w="200"/>
              <w:bottom w:type="dxa" w:w="140"/>
              <w:right w:type="dxa" w:w="200"/>
            </w:tcMar>
          </w:tcPr>
          <w:p>
            <w:r>
              <w:rPr>
                <w:rFonts w:ascii="Arial" w:cs="Arial" w:eastAsia="Arial" w:hAnsi="Arial"/>
                <w:b/>
                <w:bCs/>
                <w:color w:val="FFFFFF"/>
                <w:sz w:val="24"/>
                <w:szCs w:val="24"/>
              </w:rPr>
              <w:t xml:space="preserve">#24  </w:t>
            </w:r>
            <w:r>
              <w:rPr>
                <w:rFonts w:ascii="Arial" w:cs="Arial" w:eastAsia="Arial" w:hAnsi="Arial"/>
                <w:b/>
                <w:bCs/>
                <w:color w:val="FFFFFF"/>
                <w:sz w:val="24"/>
                <w:szCs w:val="24"/>
              </w:rPr>
              <w:t xml:space="preserve">"Sunita Ka Month 3 Chal Raha Hai — Rs.3,000 Aane Wala Hai" — Referral Tracking That Builds Anticipation</w:t>
            </w:r>
            <w:r>
              <w:rPr>
                <w:rFonts w:ascii="Arial" w:cs="Arial" w:eastAsia="Arial" w:hAnsi="Arial"/>
                <w:color w:val="CBD5E1"/>
                <w:sz w:val="18"/>
                <w:szCs w:val="18"/>
              </w:rPr>
              <w:t xml:space="preserve">   [Referral &amp; Network]</w:t>
            </w:r>
          </w:p>
        </w:tc>
      </w:tr>
      <w:tr>
        <w:tc>
          <w:tcPr>
            <w:gridSpan w:val="2"/>
            <w:tcBorders>
              <w:top w:val="single" w:color="D1D5DB" w:sz="1"/>
              <w:left w:val="single" w:color="D1D5DB" w:sz="1"/>
              <w:bottom w:val="single" w:color="D1D5DB" w:sz="1"/>
              <w:right w:val="single" w:color="D1D5DB" w:sz="1"/>
            </w:tcBorders>
            <w:shd w:fill="FFE4E6"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Your referral dashboard shows: Registered → Verified → Active Month 1 → Active Month 2 → Active Month 3 (Bonus Unlocked). You watch your referred mentor progress. You know exactly when your bonus arrives.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E.5 Referral Bonus — Status tracker: Registered → Verified → Active Month 1 → Active Month 2 → Active Month 3 | 'Active Month 3 (Bonus Unlocked)' email notification sent | Bonus added to Pending Payout immediately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Show the referral status tracker as an illustrated UI concept. Caption: 'Your referral bonus tracker is like a progress bar for your Rs.5,000. You watch it move — Registered, Verified, Month 1, Month 2, Month 3. Unlocked.' Share as a product feature highlight post.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Progress bar mechanics are inherently engaging and shareable. The anticipation of watching a referred mentor approach Month 3 is gamified in a way that feels professional rather than gimmicky. Mentors who are mid-referral-journey will share their tracker status.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respond strongly to visible, measurable progress toward a defined reward. The referral status tracker converts an abstract future bonus into a concrete, trackable journey — reducing the psychological discounting that makes delayed rewards feel less motivating than immediate ones.</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8350F" w:val="clear"/>
            <w:tcMar>
              <w:top w:type="dxa" w:w="140"/>
              <w:left w:type="dxa" w:w="200"/>
              <w:bottom w:type="dxa" w:w="140"/>
              <w:right w:type="dxa" w:w="200"/>
            </w:tcMar>
          </w:tcPr>
          <w:p>
            <w:r>
              <w:rPr>
                <w:rFonts w:ascii="Arial" w:cs="Arial" w:eastAsia="Arial" w:hAnsi="Arial"/>
                <w:b/>
                <w:bCs/>
                <w:color w:val="FFFFFF"/>
                <w:sz w:val="24"/>
                <w:szCs w:val="24"/>
              </w:rPr>
              <w:t xml:space="preserve">#25  </w:t>
            </w:r>
            <w:r>
              <w:rPr>
                <w:rFonts w:ascii="Arial" w:cs="Arial" w:eastAsia="Arial" w:hAnsi="Arial"/>
                <w:b/>
                <w:bCs/>
                <w:color w:val="FFFFFF"/>
                <w:sz w:val="24"/>
                <w:szCs w:val="24"/>
              </w:rPr>
              <w:t xml:space="preserve">"Rs.4,200 Ek Group Session Se — Topic: Resume Building" — The Suggestion That Pays Itself</w:t>
            </w:r>
            <w:r>
              <w:rPr>
                <w:rFonts w:ascii="Arial" w:cs="Arial" w:eastAsia="Arial" w:hAnsi="Arial"/>
                <w:color w:val="CBD5E1"/>
                <w:sz w:val="18"/>
                <w:szCs w:val="18"/>
              </w:rPr>
              <w:t xml:space="preserve">   [Income Growth]</w:t>
            </w:r>
          </w:p>
        </w:tc>
      </w:tr>
      <w:tr>
        <w:tc>
          <w:tcPr>
            <w:gridSpan w:val="2"/>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Growth Insights says: 'Schedule 2 group sessions on Resume Building in April. Estimated additional income: Rs.4,200.' Not a general suggestion. A specific topic, specific month, specific rupee figure. Act on it.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E.8 Growth Insights — Income Optimisation: specific action cards with estimated income impact | Example: 'Schedule 2 Group Sessions in April (topic: Resume Building) — estimated additional income: Rs.4,200'</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income optimisation card as a decision-support tool: 'EcoSkiller's Growth Insights told me to run 2 Resume Building group sessions in April. Estimated income: Rs.4,200. I did it. Actual income: Rs.4,620. The platform's predictions are based on my own domain demand data — not generic averages.' Share as a mentor testimonial format.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Specific, actionable income suggestions with rupee amounts attached are the most shareable professional content format in India. A suggestion that was followed and verified — with the outcome slightly exceeding the estimate — creates the ultimate credibility story.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are decisive when given specific, quantified recommendations that respect their professional judgment. A system that says 'run a group session on this topic, in this month, and you will earn approximately this much' is not bossy — it is the analytical business partner every self-employed professional has always wanted but never had.</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4532D" w:val="clear"/>
            <w:tcMar>
              <w:top w:type="dxa" w:w="140"/>
              <w:left w:type="dxa" w:w="200"/>
              <w:bottom w:type="dxa" w:w="140"/>
              <w:right w:type="dxa" w:w="200"/>
            </w:tcMar>
          </w:tcPr>
          <w:p>
            <w:r>
              <w:rPr>
                <w:rFonts w:ascii="Arial" w:cs="Arial" w:eastAsia="Arial" w:hAnsi="Arial"/>
                <w:b/>
                <w:bCs/>
                <w:color w:val="FFFFFF"/>
                <w:sz w:val="24"/>
                <w:szCs w:val="24"/>
              </w:rPr>
              <w:t xml:space="preserve">#26  </w:t>
            </w:r>
            <w:r>
              <w:rPr>
                <w:rFonts w:ascii="Arial" w:cs="Arial" w:eastAsia="Arial" w:hAnsi="Arial"/>
                <w:b/>
                <w:bCs/>
                <w:color w:val="FFFFFF"/>
                <w:sz w:val="24"/>
                <w:szCs w:val="24"/>
              </w:rPr>
              <w:t xml:space="preserve">"4 Income Streams, 1 Dashboard" — The Mentor Who Diversified Without Complexity</w:t>
            </w:r>
            <w:r>
              <w:rPr>
                <w:rFonts w:ascii="Arial" w:cs="Arial" w:eastAsia="Arial" w:hAnsi="Arial"/>
                <w:color w:val="CBD5E1"/>
                <w:sz w:val="18"/>
                <w:szCs w:val="18"/>
              </w:rPr>
              <w:t xml:space="preserve">   [Income Reality]</w:t>
            </w:r>
          </w:p>
        </w:tc>
      </w:tr>
      <w:tr>
        <w:tc>
          <w:tcPr>
            <w:gridSpan w:val="2"/>
            <w:tcBorders>
              <w:top w:val="single" w:color="D1D5DB" w:sz="1"/>
              <w:left w:val="single" w:color="D1D5DB" w:sz="1"/>
              <w:bottom w:val="single" w:color="D1D5DB" w:sz="1"/>
              <w:right w:val="single" w:color="D1D5DB" w:sz="1"/>
            </w:tcBorders>
            <w:shd w:fill="D1FAE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Session income. Group session income. Project commission. Referral bonus. Four distinct income streams. All tracked in one dashboard. Switch between tabs to see each. Never confuse a referral bonus for a session payment again.</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E.2 Earnings Dashboard — Four-tab Breakdown panel: Sessions, Projects, Group Sessions, Referrals | Each stream separately tracked, separately displayed | Interactive 12-month bar chart colour-coded by income stream</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four-stream concept as a professional income diversification story: 'Most mentors treat their platform income as one category. EcoSkiller tracks four. Each one grows independently. Understanding which stream is growing fastest changes how you allocate your next available hour.' Share in financial planning and career strategy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Income diversification is a high-resonance topic in India's increasingly multi-income professional class. The four-stream framework provides a vocabulary for mentors to talk about their income in a more sophisticated way — and they will use and share that vocabulary.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who have built multiple income sources — salary, consulting, teaching, investments — understand the psychological security that diversification provides. EcoSkiller's four-stream income structure mirrors this intuition within a single platform, creating a feeling of financial sophistication that is deeply satisfying to India's analytically-minded professional class.</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374151" w:val="clear"/>
            <w:tcMar>
              <w:top w:type="dxa" w:w="140"/>
              <w:left w:type="dxa" w:w="200"/>
              <w:bottom w:type="dxa" w:w="140"/>
              <w:right w:type="dxa" w:w="200"/>
            </w:tcMar>
          </w:tcPr>
          <w:p>
            <w:r>
              <w:rPr>
                <w:rFonts w:ascii="Arial" w:cs="Arial" w:eastAsia="Arial" w:hAnsi="Arial"/>
                <w:b/>
                <w:bCs/>
                <w:color w:val="FFFFFF"/>
                <w:sz w:val="24"/>
                <w:szCs w:val="24"/>
              </w:rPr>
              <w:t xml:space="preserve">#27  </w:t>
            </w:r>
            <w:r>
              <w:rPr>
                <w:rFonts w:ascii="Arial" w:cs="Arial" w:eastAsia="Arial" w:hAnsi="Arial"/>
                <w:b/>
                <w:bCs/>
                <w:color w:val="FFFFFF"/>
                <w:sz w:val="24"/>
                <w:szCs w:val="24"/>
              </w:rPr>
              <w:t xml:space="preserve">"Exam Clearance Bhi Count Hoti Hai" — UPSC, GATE, CAT — Sab Track Hota Hai</w:t>
            </w:r>
            <w:r>
              <w:rPr>
                <w:rFonts w:ascii="Arial" w:cs="Arial" w:eastAsia="Arial" w:hAnsi="Arial"/>
                <w:color w:val="CBD5E1"/>
                <w:sz w:val="18"/>
                <w:szCs w:val="18"/>
              </w:rPr>
              <w:t xml:space="preserve">   [Success Tracking]</w:t>
            </w:r>
          </w:p>
        </w:tc>
      </w:tr>
      <w:tr>
        <w:tc>
          <w:tcPr>
            <w:gridSpan w:val="2"/>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Success is not just job placement. If your student clears GATE, that is tracked. CAT, UPSC, JEE — every competitive exam clearance counts toward your success rate. EcoSkiller defines success as broadly as your students do.</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E.6 Success Rate Tracking — Success events: Job Placement, Internship, College Admission, Competitive Exam Clearance (JEE, CAT, GATE, UPSC), Significant Skill Upgrade | All count toward mentor's overall success rate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for non-placement mentors — UPSC coaches, GATE trainers, MBA prep guides: 'Your student cleared GATE. EcoSkiller counts that. Your success rate goes up. Your profile gets stronger. If you mentor for competitive exams, EcoSkiller tracks what you actually achieve.' Target the enormous competitive exam coaching community.</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India's competitive exam coaching community is massive and underserved by placement-focused mentoring platforms. Explicitly including exam clearances in success tracking is a signal of deep domain respect that will be shared widely in UPSC, GATE, CAT, and JEE communities.</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Mentors who coach for competitive exams — UPSC, GATE, CAT — have always felt their work is invisible to placement-oriented platforms. Seeing their students' exam clearances counted as success events on EcoSkiller creates a powerful sense of recognition and belonging — transforming them from reluctant to enthusiastic advocates.</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34E4A" w:val="clear"/>
            <w:tcMar>
              <w:top w:type="dxa" w:w="140"/>
              <w:left w:type="dxa" w:w="200"/>
              <w:bottom w:type="dxa" w:w="140"/>
              <w:right w:type="dxa" w:w="200"/>
            </w:tcMar>
          </w:tcPr>
          <w:p>
            <w:r>
              <w:rPr>
                <w:rFonts w:ascii="Arial" w:cs="Arial" w:eastAsia="Arial" w:hAnsi="Arial"/>
                <w:b/>
                <w:bCs/>
                <w:color w:val="FFFFFF"/>
                <w:sz w:val="24"/>
                <w:szCs w:val="24"/>
              </w:rPr>
              <w:t xml:space="preserve">#28  </w:t>
            </w:r>
            <w:r>
              <w:rPr>
                <w:rFonts w:ascii="Arial" w:cs="Arial" w:eastAsia="Arial" w:hAnsi="Arial"/>
                <w:b/>
                <w:bCs/>
                <w:color w:val="FFFFFF"/>
                <w:sz w:val="24"/>
                <w:szCs w:val="24"/>
              </w:rPr>
              <w:t xml:space="preserve">"42% Repeat Booking — Platform Average 38% Se Upar" — The Benchmark That Motivates</w:t>
            </w:r>
            <w:r>
              <w:rPr>
                <w:rFonts w:ascii="Arial" w:cs="Arial" w:eastAsia="Arial" w:hAnsi="Arial"/>
                <w:color w:val="CBD5E1"/>
                <w:sz w:val="18"/>
                <w:szCs w:val="18"/>
              </w:rPr>
              <w:t xml:space="preserve">   [Growth Intelligence]</w:t>
            </w:r>
          </w:p>
        </w:tc>
      </w:tr>
      <w:tr>
        <w:tc>
          <w:tcPr>
            <w:gridSpan w:val="2"/>
            <w:tcBorders>
              <w:top w:val="single" w:color="D1D5DB" w:sz="1"/>
              <w:left w:val="single" w:color="D1D5DB" w:sz="1"/>
              <w:bottom w:val="single" w:color="D1D5DB" w:sz="1"/>
              <w:right w:val="single" w:color="D1D5DB" w:sz="1"/>
            </w:tcBorders>
            <w:shd w:fill="CCFBF1"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Your repeat booking rate: 42%. Platform median: 38%. You are above average — and you know it because EcoSkiller benchmarks your performance against the platform, not just against yourself.</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E.8 Growth Insights — Repeat Booking Rate compared to platform median benchmark | Example: 42% repeat rate vs platform median 38% | 'Above average' or 'below average' clearly indicated</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benchmarking concept: 'Most platforms show you your absolute metrics. EcoSkiller shows you where you stand relative to every other mentor on the platform. 42% repeat booking rate. Platform average: 38%. Above average. What does your repeat rate look like?' Share as a self-improvement challenge post.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Benchmark comparisons trigger immediate self-assessment in professional communities. Mentors who are above average will share to confirm their status. Mentors who are below average will take action. Both responses drive platform engagement and organic spread.</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are deeply comparative by nature — they have been benchmarked against cohort averages since school. A platform that provides performance benchmarking within a professional context activates the same competitive instinct, but in a healthy, constructive way that drives quality improvement rather than anxiety.</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1A3A5C" w:val="clear"/>
            <w:tcMar>
              <w:top w:type="dxa" w:w="140"/>
              <w:left w:type="dxa" w:w="200"/>
              <w:bottom w:type="dxa" w:w="140"/>
              <w:right w:type="dxa" w:w="200"/>
            </w:tcMar>
          </w:tcPr>
          <w:p>
            <w:r>
              <w:rPr>
                <w:rFonts w:ascii="Arial" w:cs="Arial" w:eastAsia="Arial" w:hAnsi="Arial"/>
                <w:b/>
                <w:bCs/>
                <w:color w:val="FFFFFF"/>
                <w:sz w:val="24"/>
                <w:szCs w:val="24"/>
              </w:rPr>
              <w:t xml:space="preserve">#29  </w:t>
            </w:r>
            <w:r>
              <w:rPr>
                <w:rFonts w:ascii="Arial" w:cs="Arial" w:eastAsia="Arial" w:hAnsi="Arial"/>
                <w:b/>
                <w:bCs/>
                <w:color w:val="FFFFFF"/>
                <w:sz w:val="24"/>
                <w:szCs w:val="24"/>
              </w:rPr>
              <w:t xml:space="preserve">"Project Review Quality 88/100 — 2 Aur Projects Se 91 Ho Sakta Hai" — The Specific Improvement Path</w:t>
            </w:r>
            <w:r>
              <w:rPr>
                <w:rFonts w:ascii="Arial" w:cs="Arial" w:eastAsia="Arial" w:hAnsi="Arial"/>
                <w:color w:val="CBD5E1"/>
                <w:sz w:val="18"/>
                <w:szCs w:val="18"/>
              </w:rPr>
              <w:t xml:space="preserve">   [Credibility Score]</w:t>
            </w:r>
          </w:p>
        </w:tc>
      </w:tr>
      <w:tr>
        <w:tc>
          <w:tcPr>
            <w:gridSpan w:val="2"/>
            <w:tcBorders>
              <w:top w:val="single" w:color="D1D5DB" w:sz="1"/>
              <w:left w:val="single" w:color="D1D5DB" w:sz="1"/>
              <w:bottom w:val="single" w:color="D1D5DB" w:sz="1"/>
              <w:right w:val="single" w:color="D1D5DB" w:sz="1"/>
            </w:tcBorders>
            <w:shd w:fill="D6E8F5"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Your Credibility Score breakdown tells you: Project Review Quality is 88/100. Complete 2 more projects with high company satisfaction. Estimated overall score impact: plus 0.6. Not a vague suggestion. A specific action. A specific number.</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E.7 Credibility Score — 'Top 2 Improvement Opportunities' with specific action and estimated score impact | Example: 'Project Review Quality is 88/100 — completing 2 more high-rated projects will push it above 90 — estimated overall score impact: +0.6'</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improvement opportunity as a coaching philosophy: 'EcoSkiller does not tell you to be better. It tells you exactly what to do next. Two more high-rated project reviews. Estimated score improvement: plus 0.6. This is not a performance review — it is a business plan.' Share as a professional development methodology post.</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Specific, quantified improvement guidance is rare and deeply valued by Indian professionals who are used to vague 'work on your communication skills' performance feedback. The specificity of the recommendation makes it immediately shareable as a contrast to the vague feedback culture they endure everywhere else.</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greatest frustration with performance management is the lack of specific, actionable guidance. A system that says '2 more projects, plus 0.6 score, unlock weekly payout' speaks the language of engineering precision that India's dominant professional class — engineers, analysts, accountants — craves. It turns self-improvement from a vague aspiration into a project plan.</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single" w:color="D1D5DB" w:sz="1"/>
              <w:left w:val="single" w:color="D1D5DB" w:sz="1"/>
              <w:bottom w:val="single" w:color="D1D5DB" w:sz="1"/>
              <w:right w:val="single" w:color="D1D5DB" w:sz="1"/>
            </w:tcBorders>
            <w:shd w:fill="78350F" w:val="clear"/>
            <w:tcMar>
              <w:top w:type="dxa" w:w="140"/>
              <w:left w:type="dxa" w:w="200"/>
              <w:bottom w:type="dxa" w:w="140"/>
              <w:right w:type="dxa" w:w="200"/>
            </w:tcMar>
          </w:tcPr>
          <w:p>
            <w:r>
              <w:rPr>
                <w:rFonts w:ascii="Arial" w:cs="Arial" w:eastAsia="Arial" w:hAnsi="Arial"/>
                <w:b/>
                <w:bCs/>
                <w:color w:val="FFFFFF"/>
                <w:sz w:val="24"/>
                <w:szCs w:val="24"/>
              </w:rPr>
              <w:t xml:space="preserve">#30  </w:t>
            </w:r>
            <w:r>
              <w:rPr>
                <w:rFonts w:ascii="Arial" w:cs="Arial" w:eastAsia="Arial" w:hAnsi="Arial"/>
                <w:b/>
                <w:bCs/>
                <w:color w:val="FFFFFF"/>
                <w:sz w:val="24"/>
                <w:szCs w:val="24"/>
              </w:rPr>
              <w:t xml:space="preserve">"Rs.16,000 Referral Income Ek Saal Mein — Bina Extra Sessions Ke" — The Income That Grows Your Network</w:t>
            </w:r>
            <w:r>
              <w:rPr>
                <w:rFonts w:ascii="Arial" w:cs="Arial" w:eastAsia="Arial" w:hAnsi="Arial"/>
                <w:color w:val="CBD5E1"/>
                <w:sz w:val="18"/>
                <w:szCs w:val="18"/>
              </w:rPr>
              <w:t xml:space="preserve">   [Income Growth]</w:t>
            </w:r>
          </w:p>
        </w:tc>
      </w:tr>
      <w:tr>
        <w:tc>
          <w:tcPr>
            <w:gridSpan w:val="2"/>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r>
              <w:rPr>
                <w:rFonts w:ascii="Arial" w:cs="Arial" w:eastAsia="Arial" w:hAnsi="Arial"/>
                <w:b/>
                <w:bCs/>
                <w:i/>
                <w:iCs/>
                <w:color w:val="374151"/>
                <w:sz w:val="20"/>
                <w:szCs w:val="20"/>
              </w:rPr>
              <w:t xml:space="preserve">Hook:  </w:t>
            </w:r>
            <w:r>
              <w:rPr>
                <w:rFonts w:ascii="Arial" w:cs="Arial" w:eastAsia="Arial" w:hAnsi="Arial"/>
                <w:i/>
                <w:iCs/>
                <w:color w:val="111827"/>
                <w:sz w:val="20"/>
                <w:szCs w:val="20"/>
              </w:rPr>
              <w:t xml:space="preserve">4 referrals in a year. All from high-demand domains. Rs.5,000 each. Rs.20,000 in referral bonuses. Divided over 12 months: Rs.1,667 per month — without a single extra session. Your network pays you.</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Feature Trigger</w:t>
            </w:r>
          </w:p>
          <w:p>
            <w:pPr>
              <w:spacing w:before="40"/>
            </w:pPr>
            <w:r>
              <w:rPr>
                <w:rFonts w:ascii="Arial" w:cs="Arial" w:eastAsia="Arial" w:hAnsi="Arial"/>
                <w:color w:val="1F2937"/>
                <w:sz w:val="18"/>
                <w:szCs w:val="18"/>
              </w:rPr>
              <w:t xml:space="preserve">E.5 Referral Bonus — Master Reference: 4 referrals/year = Rs.16,000-Rs.20,000 | 'No cap on number of referrals — each qualifying referral earns a separate bonus' | Paid monthly</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Go-To-Market Tactic</w:t>
            </w:r>
          </w:p>
          <w:p>
            <w:pPr>
              <w:spacing w:before="40"/>
            </w:pPr>
            <w:r>
              <w:rPr>
                <w:rFonts w:ascii="Arial" w:cs="Arial" w:eastAsia="Arial" w:hAnsi="Arial"/>
                <w:color w:val="1F2937"/>
                <w:sz w:val="18"/>
                <w:szCs w:val="18"/>
              </w:rPr>
              <w:t xml:space="preserve">Post the annual referral income calculation: 'You know 4 professionals who would be great mentors. You refer them. They join, verify, stay active 3 months. You earn Rs.20,000 this year from referrals alone — while they build their own mentor income. Your network is not just social capital. It is financial capital.' Share in professional networking communities.</w:t>
            </w:r>
          </w:p>
        </w:tc>
      </w:tr>
      <w:tr>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Viral Mechanic</w:t>
            </w:r>
          </w:p>
          <w:p>
            <w:pPr>
              <w:spacing w:before="40"/>
            </w:pPr>
            <w:r>
              <w:rPr>
                <w:rFonts w:ascii="Arial" w:cs="Arial" w:eastAsia="Arial" w:hAnsi="Arial"/>
                <w:color w:val="1F2937"/>
                <w:sz w:val="18"/>
                <w:szCs w:val="18"/>
              </w:rPr>
              <w:t xml:space="preserve">The network-as-financial-asset reframe resonates deeply in India's relationship-oriented professional culture. Professionals who have large networks of qualified colleagues — common among senior IT professionals, educators, and consultants — will immediately calculate their referral income potential.</w:t>
            </w:r>
          </w:p>
        </w:tc>
        <w:tc>
          <w:tcPr>
            <w:tcW w:type="dxa" w:w="4680"/>
            <w:tcBorders>
              <w:top w:val="single" w:color="D1D5DB" w:sz="1"/>
              <w:left w:val="single" w:color="D1D5DB" w:sz="1"/>
              <w:bottom w:val="single" w:color="D1D5DB" w:sz="1"/>
              <w:right w:val="single" w:color="D1D5DB" w:sz="1"/>
            </w:tcBorders>
            <w:tcMar>
              <w:top w:type="dxa" w:w="100"/>
              <w:left w:type="dxa" w:w="160"/>
              <w:bottom w:type="dxa" w:w="100"/>
              <w:right w:type="dxa" w:w="160"/>
            </w:tcMar>
          </w:tcPr>
          <w:p>
            <w:r>
              <w:rPr>
                <w:rFonts w:ascii="Arial" w:cs="Arial" w:eastAsia="Arial" w:hAnsi="Arial"/>
                <w:b/>
                <w:bCs/>
                <w:color w:val="374151"/>
                <w:sz w:val="18"/>
                <w:szCs w:val="18"/>
              </w:rPr>
              <w:t xml:space="preserve">🧠 Indian Mentor Psychology</w:t>
            </w:r>
          </w:p>
          <w:p>
            <w:pPr>
              <w:spacing w:before="40"/>
            </w:pPr>
            <w:r>
              <w:rPr>
                <w:rFonts w:ascii="Arial" w:cs="Arial" w:eastAsia="Arial" w:hAnsi="Arial"/>
                <w:color w:val="1F2937"/>
                <w:sz w:val="18"/>
                <w:szCs w:val="18"/>
              </w:rPr>
              <w:t xml:space="preserve">Indian professionals have always understood the value of strong professional networks for career growth. EcoSkiller's referral system converts this intuition into a specific, calculable financial asset — transforming a cultural understanding into a monetisable strategy. This alignment with existing values makes adoption feel natural rather than transactional.</w:t>
            </w:r>
          </w:p>
        </w:tc>
      </w:tr>
    </w:tbl>
    <w:p>
      <w:pPr>
        <w:spacing w:before="240" w:after="0"/>
      </w:pPr>
    </w:p>
    <w:p>
      <w:r>
        <w:br w:type="page"/>
      </w:r>
    </w:p>
    <w:p>
      <w:pPr>
        <w:spacing w:before="0" w:after="200"/>
      </w:pPr>
      <w:r>
        <w:rPr>
          <w:rFonts w:ascii="Arial" w:cs="Arial" w:eastAsia="Arial" w:hAnsi="Arial"/>
          <w:b/>
          <w:bCs/>
          <w:color w:val="1A1A2E"/>
          <w:sz w:val="28"/>
          <w:szCs w:val="28"/>
        </w:rPr>
        <w:t xml:space="preserve">EXECUTION PRIORITY — Activate These 5 First</w:t>
      </w:r>
    </w:p>
    <w:p>
      <w:pPr>
        <w:spacing w:before="0" w:after="200"/>
      </w:pPr>
      <w:r>
        <w:rPr>
          <w:rFonts w:ascii="Arial" w:cs="Arial" w:eastAsia="Arial" w:hAnsi="Arial"/>
          <w:color w:val="374151"/>
          <w:sz w:val="20"/>
          <w:szCs w:val="20"/>
        </w:rPr>
        <w:t xml:space="preserve">Ranked by viral potential, psychological resonance with Indian mentors, and conversion impact on new mentor registration:</w:t>
      </w:r>
    </w:p>
    <w:p>
      <w:pPr>
        <w:spacing w:before="200" w:after="0"/>
      </w:pPr>
      <w:r>
        <w:rPr>
          <w:rFonts w:ascii="Arial" w:cs="Arial" w:eastAsia="Arial" w:hAnsi="Arial"/>
          <w:b/>
          <w:bCs/>
          <w:color w:val="16A34A"/>
          <w:sz w:val="20"/>
          <w:szCs w:val="20"/>
        </w:rPr>
        <w:t xml:space="preserve">#1 — Real Lifetime Earnings Number  </w:t>
      </w:r>
      <w:r>
        <w:rPr>
          <w:rFonts w:ascii="Arial" w:cs="Arial" w:eastAsia="Arial" w:hAnsi="Arial"/>
          <w:color w:val="374151"/>
          <w:sz w:val="20"/>
          <w:szCs w:val="20"/>
        </w:rPr>
        <w:t xml:space="preserve">Rs.1,14,500 lifetime. One mentor. One platform. This single post — with specific rupee figures from a named mentor — will generate more genuine interest than any campaign about 'earning potential'. Indian professionals are immune to approximations. A real number from a real profile is the only income claim that converts.</w:t>
      </w:r>
    </w:p>
    <w:p>
      <w:pPr>
        <w:spacing w:before="200" w:after="0"/>
      </w:pPr>
      <w:r>
        <w:rPr>
          <w:rFonts w:ascii="Arial" w:cs="Arial" w:eastAsia="Arial" w:hAnsi="Arial"/>
          <w:b/>
          <w:bCs/>
          <w:color w:val="16A34A"/>
          <w:sz w:val="20"/>
          <w:szCs w:val="20"/>
        </w:rPr>
        <w:t xml:space="preserve">#4 — Group Session 3.3x Multiplier  </w:t>
      </w:r>
      <w:r>
        <w:rPr>
          <w:rFonts w:ascii="Arial" w:cs="Arial" w:eastAsia="Arial" w:hAnsi="Arial"/>
          <w:color w:val="374151"/>
          <w:sz w:val="20"/>
          <w:szCs w:val="20"/>
        </w:rPr>
        <w:t xml:space="preserve">The arithmetic of group sessions (3.3x income for the same hour) is the most immediately actionable income insight in Section E. It requires no new skills — just a different session format. Mentors with teaching backgrounds will act on this within 48 hours of seeing the calculation. Every corporate trainer and faculty member will share it.</w:t>
      </w:r>
    </w:p>
    <w:p>
      <w:pPr>
        <w:spacing w:before="200" w:after="0"/>
      </w:pPr>
      <w:r>
        <w:rPr>
          <w:rFonts w:ascii="Arial" w:cs="Arial" w:eastAsia="Arial" w:hAnsi="Arial"/>
          <w:b/>
          <w:bCs/>
          <w:color w:val="16A34A"/>
          <w:sz w:val="20"/>
          <w:szCs w:val="20"/>
        </w:rPr>
        <w:t xml:space="preserve">#6 — Salary-Like Payout Positioning  </w:t>
      </w:r>
      <w:r>
        <w:rPr>
          <w:rFonts w:ascii="Arial" w:cs="Arial" w:eastAsia="Arial" w:hAnsi="Arial"/>
          <w:color w:val="374151"/>
          <w:sz w:val="20"/>
          <w:szCs w:val="20"/>
        </w:rPr>
        <w:t xml:space="preserve">The emotional positioning of the monthly payout as 'salary-like reliability' is the single most powerful trust signal for Indian professionals considering a transition to or addition of independent income. The push notification screenshot — 'Your March earnings of Rs.16,160 have been transferred' — is the proof that converts sceptics into registered mentors.</w:t>
      </w:r>
    </w:p>
    <w:p>
      <w:pPr>
        <w:spacing w:before="200" w:after="0"/>
      </w:pPr>
      <w:r>
        <w:rPr>
          <w:rFonts w:ascii="Arial" w:cs="Arial" w:eastAsia="Arial" w:hAnsi="Arial"/>
          <w:b/>
          <w:bCs/>
          <w:color w:val="16A34A"/>
          <w:sz w:val="20"/>
          <w:szCs w:val="20"/>
        </w:rPr>
        <w:t xml:space="preserve">#9 — Score 50 to 91 Journey Map  </w:t>
      </w:r>
      <w:r>
        <w:rPr>
          <w:rFonts w:ascii="Arial" w:cs="Arial" w:eastAsia="Arial" w:hAnsi="Arial"/>
          <w:color w:val="374151"/>
          <w:sz w:val="20"/>
          <w:szCs w:val="20"/>
        </w:rPr>
        <w:t xml:space="preserve">A visual month-by-month progression from the baseline score of 50 to an elite score of 91 — with key milestones (75: weekly payout, 80: World-Class endorsement, 91: pricing power) — gives new mentors a complete strategic roadmap on Day 1. It converts onboarding from a setup task into a goal-oriented journey.</w:t>
      </w:r>
    </w:p>
    <w:p>
      <w:pPr>
        <w:spacing w:before="200" w:after="0"/>
      </w:pPr>
      <w:r>
        <w:rPr>
          <w:rFonts w:ascii="Arial" w:cs="Arial" w:eastAsia="Arial" w:hAnsi="Arial"/>
          <w:b/>
          <w:bCs/>
          <w:color w:val="16A34A"/>
          <w:sz w:val="20"/>
          <w:szCs w:val="20"/>
        </w:rPr>
        <w:t xml:space="preserve">#14 — 87% Placement Rate Public Profile  </w:t>
      </w:r>
      <w:r>
        <w:rPr>
          <w:rFonts w:ascii="Arial" w:cs="Arial" w:eastAsia="Arial" w:hAnsi="Arial"/>
          <w:color w:val="374151"/>
          <w:sz w:val="20"/>
          <w:szCs w:val="20"/>
        </w:rPr>
        <w:t xml:space="preserve">A platform-calculated, recruiter-verified placement rate displayed publicly on a mentor's profile is the most novel and most powerful marketing asset in India's mentoring market. Feature the first cohort of mentors with high placement rates prominently. The number will spread organically through student, parent, and placement officer communities faster than any paid campaign.</w:t>
      </w:r>
    </w:p>
    <w:p>
      <w:pPr>
        <w:spacing w:before="360" w:after="0"/>
      </w:pPr>
    </w:p>
    <w:p>
      <w:pPr>
        <w:spacing w:before="0" w:after="180"/>
      </w:pPr>
      <w:r>
        <w:rPr>
          <w:rFonts w:ascii="Arial" w:cs="Arial" w:eastAsia="Arial" w:hAnsi="Arial"/>
          <w:b/>
          <w:bCs/>
          <w:color w:val="1A1A2E"/>
          <w:sz w:val="28"/>
          <w:szCs w:val="28"/>
        </w:rPr>
        <w:t xml:space="preserve">IDEAS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60"/>
      </w:tblGrid>
      <w:tr>
        <w:tc>
          <w:tcPr>
            <w:tcW w:type="dxa" w:w="260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18"/>
                <w:szCs w:val="18"/>
              </w:rPr>
              <w:t xml:space="preserve">Category</w:t>
            </w:r>
          </w:p>
        </w:tc>
        <w:tc>
          <w:tcPr>
            <w:tcW w:type="dxa" w:w="90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18"/>
                <w:szCs w:val="18"/>
              </w:rPr>
              <w:t xml:space="preserve">Ideas</w:t>
            </w:r>
          </w:p>
        </w:tc>
        <w:tc>
          <w:tcPr>
            <w:tcW w:type="dxa" w:w="586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18"/>
                <w:szCs w:val="18"/>
              </w:rPr>
              <w:t xml:space="preserve">Idea Numbers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Income Reality</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4</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#1, #10, #26, #4 (Group)</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Transparency &amp; Trust</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4</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#2, #17, #19, #22</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Income Growth</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5</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#3, #4, #13, #16, #25, #30</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Credibility Score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4</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#5, #9, #23, #29</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Payment Reliability</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2</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#6, #12</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Growth Intelligence</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3</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#7, #11, #28</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Referral &amp; Network</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4</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#8, #18, #24, #30</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Success Tracking</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4</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18"/>
                <w:szCs w:val="18"/>
              </w:rPr>
              <w:t xml:space="preserve">#14, #15, #21, #27</w:t>
            </w:r>
          </w:p>
        </w:tc>
      </w:tr>
    </w:tbl>
    <w:p>
      <w:pPr>
        <w:spacing w:before="3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14532D" w:val="clear"/>
            <w:tcMar>
              <w:top w:type="dxa" w:w="240"/>
              <w:left w:type="dxa" w:w="280"/>
              <w:bottom w:type="dxa" w:w="240"/>
              <w:right w:type="dxa" w:w="280"/>
            </w:tcMar>
          </w:tcPr>
          <w:p>
            <w:pPr>
              <w:jc w:val="center"/>
            </w:pPr>
            <w:r>
              <w:rPr>
                <w:rFonts w:ascii="Arial" w:cs="Arial" w:eastAsia="Arial" w:hAnsi="Arial"/>
                <w:b/>
                <w:bCs/>
                <w:color w:val="6EE7B7"/>
                <w:sz w:val="24"/>
                <w:szCs w:val="24"/>
              </w:rPr>
              <w:t xml:space="preserve">Core Strategic Insight</w:t>
            </w:r>
          </w:p>
          <w:p>
            <w:pPr>
              <w:spacing w:before="120"/>
              <w:jc w:val="center"/>
            </w:pPr>
            <w:r>
              <w:rPr>
                <w:rFonts w:ascii="Arial" w:cs="Arial" w:eastAsia="Arial" w:hAnsi="Arial"/>
                <w:color w:val="D1FAE5"/>
                <w:sz w:val="20"/>
                <w:szCs w:val="20"/>
              </w:rPr>
              <w:t xml:space="preserve">Section E's core principle — quality automatically translates to income — is the most powerful positioning statement in EcoSkiller's mentor value proposition. It resolves every objection simultaneously: income uncertainty (transparent dashboard, fixed payout date), effort efficiency (group session multiplier, pricing engine), professional credibility (Credibility Score, placement rate), and data blindness (Growth Insights, benchmark comparisons). Every positioning idea in this document translates this principle into a specific, quantified, psychologically resonant message for a specific Indian mentor archetype. The currency of Section E is not rupees — it is professional dignity. EcoSkiller is not asking mentors to hustle for income. It is offering them a system that rewards their expertise fairly, transparently, reliably, and with increasing returns as quality improves.</w:t>
            </w:r>
          </w:p>
        </w:tc>
      </w:tr>
    </w:tbl>
    <w:p>
      <w:pPr>
        <w:spacing w:before="200" w:after="0"/>
      </w:pPr>
    </w:p>
    <w:p>
      <w:pPr>
        <w:spacing w:before="80"/>
        <w:jc w:val="center"/>
      </w:pPr>
      <w:r>
        <w:rPr>
          <w:rFonts w:ascii="Arial" w:cs="Arial" w:eastAsia="Arial" w:hAnsi="Arial"/>
          <w:color w:val="9CA3AF"/>
          <w:sz w:val="16"/>
          <w:szCs w:val="16"/>
        </w:rPr>
        <w:t xml:space="preserve">EcoSkiller  |  Mentor Module — Section E: Earnings &amp; Growth  |  Confidential Strategy Document  |  v1.0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right"/>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A34A" w:sz="6" w:space="1"/>
      </w:pBdr>
    </w:pPr>
    <w:r>
      <w:rPr>
        <w:rFonts w:ascii="Arial" w:cs="Arial" w:eastAsia="Arial" w:hAnsi="Arial"/>
        <w:color w:val="6B7280"/>
        <w:sz w:val="16"/>
        <w:szCs w:val="16"/>
      </w:rPr>
      <w:t xml:space="preserve">EcoSkiller  —  Mentor Module: Earnings &amp; Growth  |  30 Viral Positioning Ideas for Indian Mentors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2026-03-11T07:18:58.349Z</dcterms:created>
  <dcterms:modified xsi:type="dcterms:W3CDTF">2026-03-11T07:18:58.350Z</dcterms:modified>
</cp:coreProperties>
</file>

<file path=docProps/custom.xml><?xml version="1.0" encoding="utf-8"?>
<Properties xmlns="http://schemas.openxmlformats.org/officeDocument/2006/custom-properties" xmlns:vt="http://schemas.openxmlformats.org/officeDocument/2006/docPropsVTypes"/>
</file>