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C" w:val="clear"/>
            <w:tcMar>
              <w:top w:type="dxa" w:w="480"/>
              <w:left w:type="dxa" w:w="480"/>
              <w:bottom w:type="dxa" w:w="480"/>
              <w:right w:type="dxa" w:w="480"/>
            </w:tcMar>
          </w:tcPr>
          <w:p>
            <w:pPr>
              <w:spacing w:before="0" w:after="80"/>
              <w:jc w:val="center"/>
            </w:pPr>
            <w:r>
              <w:rPr>
                <w:rFonts w:ascii="Arial" w:cs="Arial" w:eastAsia="Arial" w:hAnsi="Arial"/>
                <w:b/>
                <w:bCs/>
                <w:color w:val="FFFFFF"/>
                <w:sz w:val="52"/>
                <w:szCs w:val="52"/>
              </w:rPr>
              <w:t xml:space="preserve">FINANCIAL OVERSIGHT</w:t>
            </w:r>
          </w:p>
          <w:p>
            <w:pPr>
              <w:spacing w:before="0" w:after="80"/>
              <w:jc w:val="center"/>
            </w:pPr>
            <w:r>
              <w:rPr>
                <w:rFonts w:ascii="Arial" w:cs="Arial" w:eastAsia="Arial" w:hAnsi="Arial"/>
                <w:color w:val="BFDBFE"/>
                <w:sz w:val="28"/>
                <w:szCs w:val="28"/>
              </w:rPr>
              <w:t xml:space="preserve">Module Feature Specification</w:t>
            </w:r>
          </w:p>
          <w:p>
            <w:pPr>
              <w:spacing w:before="0" w:after="0"/>
              <w:jc w:val="center"/>
            </w:pPr>
            <w:r>
              <w:rPr>
                <w:rFonts w:ascii="Arial" w:cs="Arial" w:eastAsia="Arial" w:hAnsi="Arial"/>
                <w:color w:val="93C5FD"/>
                <w:sz w:val="22"/>
                <w:szCs w:val="22"/>
              </w:rPr>
              <w:t xml:space="preserve">EcoSkiller Platform  |  Parent &amp; Family Portal</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BEAFE" w:val="clear"/>
            <w:tcMar>
              <w:top w:type="dxa" w:w="120"/>
              <w:left w:type="dxa" w:w="80"/>
              <w:bottom w:type="dxa" w:w="120"/>
              <w:right w:type="dxa" w:w="80"/>
            </w:tcMar>
          </w:tcPr>
          <w:p>
            <w:pPr>
              <w:jc w:val="center"/>
            </w:pPr>
            <w:r>
              <w:rPr>
                <w:rFonts w:ascii="Arial" w:cs="Arial" w:eastAsia="Arial" w:hAnsi="Arial"/>
                <w:b/>
                <w:bCs/>
                <w:color w:val="1B4F8C"/>
                <w:sz w:val="20"/>
                <w:szCs w:val="20"/>
              </w:rPr>
              <w:t xml:space="preserve">8 Features</w:t>
            </w:r>
          </w:p>
        </w:tc>
        <w:tc>
          <w:tcPr>
            <w:tcW w:type="dxa" w:w="2340"/>
            <w:tcBorders>
              <w:top w:val="none" w:color="FFFFFF" w:sz="0"/>
              <w:left w:val="none" w:color="FFFFFF" w:sz="0"/>
              <w:bottom w:val="none" w:color="FFFFFF" w:sz="0"/>
              <w:right w:val="none" w:color="FFFFFF" w:sz="0"/>
            </w:tcBorders>
            <w:shd w:fill="E8F4FD" w:val="clear"/>
            <w:tcMar>
              <w:top w:type="dxa" w:w="120"/>
              <w:left w:type="dxa" w:w="80"/>
              <w:bottom w:type="dxa" w:w="120"/>
              <w:right w:type="dxa" w:w="80"/>
            </w:tcMar>
          </w:tcPr>
          <w:p>
            <w:pPr>
              <w:jc w:val="center"/>
            </w:pPr>
            <w:r>
              <w:rPr>
                <w:rFonts w:ascii="Arial" w:cs="Arial" w:eastAsia="Arial" w:hAnsi="Arial"/>
                <w:b/>
                <w:bCs/>
                <w:color w:val="1B4F8C"/>
                <w:sz w:val="20"/>
                <w:szCs w:val="20"/>
              </w:rPr>
              <w:t xml:space="preserve">360° Visibility</w:t>
            </w:r>
          </w:p>
        </w:tc>
        <w:tc>
          <w:tcPr>
            <w:tcW w:type="dxa" w:w="2340"/>
            <w:tcBorders>
              <w:top w:val="none" w:color="FFFFFF" w:sz="0"/>
              <w:left w:val="none" w:color="FFFFFF" w:sz="0"/>
              <w:bottom w:val="none" w:color="FFFFFF" w:sz="0"/>
              <w:right w:val="none" w:color="FFFFFF" w:sz="0"/>
            </w:tcBorders>
            <w:shd w:fill="DBEAFE" w:val="clear"/>
            <w:tcMar>
              <w:top w:type="dxa" w:w="120"/>
              <w:left w:type="dxa" w:w="80"/>
              <w:bottom w:type="dxa" w:w="120"/>
              <w:right w:type="dxa" w:w="80"/>
            </w:tcMar>
          </w:tcPr>
          <w:p>
            <w:pPr>
              <w:jc w:val="center"/>
            </w:pPr>
            <w:r>
              <w:rPr>
                <w:rFonts w:ascii="Arial" w:cs="Arial" w:eastAsia="Arial" w:hAnsi="Arial"/>
                <w:b/>
                <w:bCs/>
                <w:color w:val="1B4F8C"/>
                <w:sz w:val="20"/>
                <w:szCs w:val="20"/>
              </w:rPr>
              <w:t xml:space="preserve">Real-Time Alerts</w:t>
            </w:r>
          </w:p>
        </w:tc>
        <w:tc>
          <w:tcPr>
            <w:tcW w:type="dxa" w:w="2340"/>
            <w:tcBorders>
              <w:top w:val="none" w:color="FFFFFF" w:sz="0"/>
              <w:left w:val="none" w:color="FFFFFF" w:sz="0"/>
              <w:bottom w:val="none" w:color="FFFFFF" w:sz="0"/>
              <w:right w:val="none" w:color="FFFFFF" w:sz="0"/>
            </w:tcBorders>
            <w:shd w:fill="E8F4FD" w:val="clear"/>
            <w:tcMar>
              <w:top w:type="dxa" w:w="120"/>
              <w:left w:type="dxa" w:w="80"/>
              <w:bottom w:type="dxa" w:w="120"/>
              <w:right w:type="dxa" w:w="80"/>
            </w:tcMar>
          </w:tcPr>
          <w:p>
            <w:pPr>
              <w:jc w:val="center"/>
            </w:pPr>
            <w:r>
              <w:rPr>
                <w:rFonts w:ascii="Arial" w:cs="Arial" w:eastAsia="Arial" w:hAnsi="Arial"/>
                <w:b/>
                <w:bCs/>
                <w:color w:val="1B4F8C"/>
                <w:sz w:val="20"/>
                <w:szCs w:val="20"/>
              </w:rPr>
              <w:t xml:space="preserve">ROI Analytics</w:t>
            </w:r>
          </w:p>
        </w:tc>
      </w:tr>
    </w:tbl>
    <w:p>
      <w:pPr>
        <w:spacing w:before="200" w:after="80"/>
      </w:pPr>
    </w:p>
    <w:p>
      <w:pPr>
        <w:pStyle w:val="Heading1"/>
        <w:pBdr>
          <w:bottom w:val="single" w:color="1B4F8C" w:sz="8" w:space="6"/>
        </w:pBdr>
        <w:spacing w:before="320" w:after="160"/>
      </w:pPr>
      <w:r>
        <w:rPr>
          <w:rFonts w:ascii="Arial" w:cs="Arial" w:eastAsia="Arial" w:hAnsi="Arial"/>
          <w:b/>
          <w:bCs/>
          <w:color w:val="1B4F8C"/>
          <w:sz w:val="34"/>
          <w:szCs w:val="34"/>
        </w:rPr>
        <w:t xml:space="preserve">Executive Summary</w:t>
      </w:r>
    </w:p>
    <w:p>
      <w:pPr>
        <w:spacing w:before="80" w:after="100"/>
      </w:pPr>
      <w:r>
        <w:rPr>
          <w:rFonts w:ascii="Arial" w:cs="Arial" w:eastAsia="Arial" w:hAnsi="Arial"/>
          <w:color w:val="1E293B"/>
          <w:sz w:val="22"/>
          <w:szCs w:val="22"/>
        </w:rPr>
        <w:t xml:space="preserve">The Financial Oversight module is a comprehensive parental financial management layer integrated into the EcoSkiller Platform. It empowers parents and family members to monitor, approve, and analyze every educational expenditure incurred by their child — from course purchases to competition fees, scholarships, and beyond. The module bridges the gap between educational investment and measurable return, giving families full transparency and control over their child's learning journey.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8F4FD" w:val="clear"/>
            <w:tcMar>
              <w:top w:type="dxa" w:w="120"/>
              <w:left w:type="dxa" w:w="180"/>
              <w:bottom w:type="dxa" w:w="120"/>
              <w:right w:type="dxa" w:w="180"/>
            </w:tcMar>
          </w:tcPr>
          <w:p>
            <w:pPr>
              <w:spacing w:before="0" w:after="60"/>
            </w:pPr>
            <w:r>
              <w:rPr>
                <w:rFonts w:ascii="Arial" w:cs="Arial" w:eastAsia="Arial" w:hAnsi="Arial"/>
                <w:b/>
                <w:bCs/>
                <w:color w:val="1B4F8C"/>
                <w:sz w:val="22"/>
                <w:szCs w:val="22"/>
              </w:rPr>
              <w:t xml:space="preserve">Mission Statement</w:t>
            </w:r>
          </w:p>
          <w:p>
            <w:pPr>
              <w:spacing w:before="0" w:after="0"/>
            </w:pPr>
            <w:r>
              <w:rPr>
                <w:rFonts w:ascii="Arial" w:cs="Arial" w:eastAsia="Arial" w:hAnsi="Arial"/>
                <w:color w:val="1E293B"/>
                <w:sz w:val="21"/>
                <w:szCs w:val="21"/>
              </w:rPr>
              <w:t xml:space="preserve">To eliminate financial blind spots in a student's educational journey by providing parents with real-time visibility, intelligent alerts, and data-driven analytics that transform educational spending from a cost into a trackable, optimized investment.</w:t>
            </w:r>
          </w:p>
        </w:tc>
      </w:tr>
    </w:tbl>
    <w:p>
      <w:pPr>
        <w:spacing w:before="120" w:after="80"/>
      </w:pPr>
    </w:p>
    <w:p>
      <w:pPr>
        <w:pStyle w:val="Heading1"/>
        <w:pBdr>
          <w:bottom w:val="single" w:color="1B4F8C" w:sz="8" w:space="6"/>
        </w:pBdr>
        <w:spacing w:before="320" w:after="160"/>
      </w:pPr>
      <w:r>
        <w:rPr>
          <w:rFonts w:ascii="Arial" w:cs="Arial" w:eastAsia="Arial" w:hAnsi="Arial"/>
          <w:b/>
          <w:bCs/>
          <w:color w:val="1B4F8C"/>
          <w:sz w:val="34"/>
          <w:szCs w:val="34"/>
        </w:rPr>
        <w:t xml:space="preserve">Module Overview</w:t>
      </w:r>
    </w:p>
    <w:p>
      <w:pPr>
        <w:spacing w:before="80" w:after="100"/>
      </w:pPr>
      <w:r>
        <w:rPr>
          <w:rFonts w:ascii="Arial" w:cs="Arial" w:eastAsia="Arial" w:hAnsi="Arial"/>
          <w:color w:val="1E293B"/>
          <w:sz w:val="22"/>
          <w:szCs w:val="22"/>
        </w:rPr>
        <w:t xml:space="preserve">The Financial Oversight module consists of eight tightly integrated features. Each feature addresses a distinct pain point in the lifecycle of educational spending, from the moment a student requests a course purchase to long-term ROI analysis across semesters. The system is designed for parents who are actively involved in their child's education and want both oversight and clarity without micromanagement.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5360"/>
        <w:gridCol w:w="1400"/>
      </w:tblGrid>
      <w:tr>
        <w:tc>
          <w:tcPr>
            <w:tcW w:type="dxa" w:w="400"/>
            <w:tcBorders>
              <w:top w:val="single" w:color="BFDBFE" w:sz="1"/>
              <w:left w:val="single" w:color="BFDBFE" w:sz="1"/>
              <w:bottom w:val="single" w:color="BFDBFE" w:sz="1"/>
              <w:right w:val="single" w:color="BFDBFE"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200"/>
            <w:tcBorders>
              <w:top w:val="single" w:color="BFDBFE" w:sz="1"/>
              <w:left w:val="single" w:color="BFDBFE" w:sz="1"/>
              <w:bottom w:val="single" w:color="BFDBFE" w:sz="1"/>
              <w:right w:val="single" w:color="BFDBFE"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5360"/>
            <w:tcBorders>
              <w:top w:val="single" w:color="BFDBFE" w:sz="1"/>
              <w:left w:val="single" w:color="BFDBFE" w:sz="1"/>
              <w:bottom w:val="single" w:color="BFDBFE" w:sz="1"/>
              <w:right w:val="single" w:color="BFDBFE"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Core Purpose</w:t>
            </w:r>
          </w:p>
        </w:tc>
        <w:tc>
          <w:tcPr>
            <w:tcW w:type="dxa" w:w="1400"/>
            <w:tcBorders>
              <w:top w:val="single" w:color="BFDBFE" w:sz="1"/>
              <w:left w:val="single" w:color="BFDBFE" w:sz="1"/>
              <w:bottom w:val="single" w:color="BFDBFE" w:sz="1"/>
              <w:right w:val="single" w:color="BFDBFE" w:sz="1"/>
            </w:tcBorders>
            <w:shd w:fill="1B4F8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4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1</w:t>
            </w:r>
          </w:p>
        </w:tc>
        <w:tc>
          <w:tcPr>
            <w:tcW w:type="dxa" w:w="22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Course Purchase Approval</w:t>
            </w:r>
          </w:p>
        </w:tc>
        <w:tc>
          <w:tcPr>
            <w:tcW w:type="dxa" w:w="536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Approve or reject student requests for paid courses before payment is processed</w:t>
            </w:r>
          </w:p>
        </w:tc>
        <w:tc>
          <w:tcPr>
            <w:tcW w:type="dxa" w:w="14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bCs/>
                <w:color w:val="DC2626"/>
                <w:sz w:val="20"/>
                <w:szCs w:val="20"/>
              </w:rPr>
              <w:t xml:space="preserve">Critical</w:t>
            </w:r>
          </w:p>
        </w:tc>
      </w:tr>
      <w:tr>
        <w:tc>
          <w:tcPr>
            <w:tcW w:type="dxa" w:w="4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2</w:t>
            </w:r>
          </w:p>
        </w:tc>
        <w:tc>
          <w:tcPr>
            <w:tcW w:type="dxa" w:w="22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Competition Fee Approval</w:t>
            </w:r>
          </w:p>
        </w:tc>
        <w:tc>
          <w:tcPr>
            <w:tcW w:type="dxa" w:w="536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Authorize payment for academic competitions, hackathons, and skill contests</w:t>
            </w:r>
          </w:p>
        </w:tc>
        <w:tc>
          <w:tcPr>
            <w:tcW w:type="dxa" w:w="14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bCs/>
                <w:color w:val="DC2626"/>
                <w:sz w:val="20"/>
                <w:szCs w:val="20"/>
              </w:rPr>
              <w:t xml:space="preserve">Critical</w:t>
            </w:r>
          </w:p>
        </w:tc>
      </w:tr>
      <w:tr>
        <w:tc>
          <w:tcPr>
            <w:tcW w:type="dxa" w:w="4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3</w:t>
            </w:r>
          </w:p>
        </w:tc>
        <w:tc>
          <w:tcPr>
            <w:tcW w:type="dxa" w:w="22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Educational Spending Dashboard</w:t>
            </w:r>
          </w:p>
        </w:tc>
        <w:tc>
          <w:tcPr>
            <w:tcW w:type="dxa" w:w="536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Unified view of all education-related expenditures in one place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bCs/>
                <w:color w:val="0E7490"/>
                <w:sz w:val="20"/>
                <w:szCs w:val="20"/>
              </w:rPr>
              <w:t xml:space="preserve">High</w:t>
            </w:r>
          </w:p>
        </w:tc>
      </w:tr>
      <w:tr>
        <w:tc>
          <w:tcPr>
            <w:tcW w:type="dxa" w:w="4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4</w:t>
            </w:r>
          </w:p>
        </w:tc>
        <w:tc>
          <w:tcPr>
            <w:tcW w:type="dxa" w:w="22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Monthly Learning Expense Tracking</w:t>
            </w:r>
          </w:p>
        </w:tc>
        <w:tc>
          <w:tcPr>
            <w:tcW w:type="dxa" w:w="536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Month-by-month breakdown of learning costs across all categories</w:t>
            </w:r>
          </w:p>
        </w:tc>
        <w:tc>
          <w:tcPr>
            <w:tcW w:type="dxa" w:w="14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bCs/>
                <w:color w:val="0E7490"/>
                <w:sz w:val="20"/>
                <w:szCs w:val="20"/>
              </w:rPr>
              <w:t xml:space="preserve">High</w:t>
            </w:r>
          </w:p>
        </w:tc>
      </w:tr>
      <w:tr>
        <w:tc>
          <w:tcPr>
            <w:tcW w:type="dxa" w:w="4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5</w:t>
            </w:r>
          </w:p>
        </w:tc>
        <w:tc>
          <w:tcPr>
            <w:tcW w:type="dxa" w:w="22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Scholarship Tracking</w:t>
            </w:r>
          </w:p>
        </w:tc>
        <w:tc>
          <w:tcPr>
            <w:tcW w:type="dxa" w:w="536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Monitor active scholarships, application status, and disbursement records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bCs/>
                <w:color w:val="0E7490"/>
                <w:sz w:val="20"/>
                <w:szCs w:val="20"/>
              </w:rPr>
              <w:t xml:space="preserve">High</w:t>
            </w:r>
          </w:p>
        </w:tc>
      </w:tr>
      <w:tr>
        <w:tc>
          <w:tcPr>
            <w:tcW w:type="dxa" w:w="4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6</w:t>
            </w:r>
          </w:p>
        </w:tc>
        <w:tc>
          <w:tcPr>
            <w:tcW w:type="dxa" w:w="22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Fee Discount Tracking</w:t>
            </w:r>
          </w:p>
        </w:tc>
        <w:tc>
          <w:tcPr>
            <w:tcW w:type="dxa" w:w="536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Track applied discounts, coupons, and institutional concessions</w:t>
            </w:r>
          </w:p>
        </w:tc>
        <w:tc>
          <w:tcPr>
            <w:tcW w:type="dxa" w:w="14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bCs/>
                <w:color w:val="D97706"/>
                <w:sz w:val="20"/>
                <w:szCs w:val="20"/>
              </w:rPr>
              <w:t xml:space="preserve">Medium</w:t>
            </w:r>
          </w:p>
        </w:tc>
      </w:tr>
      <w:tr>
        <w:tc>
          <w:tcPr>
            <w:tcW w:type="dxa" w:w="4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7</w:t>
            </w:r>
          </w:p>
        </w:tc>
        <w:tc>
          <w:tcPr>
            <w:tcW w:type="dxa" w:w="22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Education ROI Analytics</w:t>
            </w:r>
          </w:p>
        </w:tc>
        <w:tc>
          <w:tcPr>
            <w:tcW w:type="dxa" w:w="536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Measure the return on educational investment through outcomes data</w:t>
            </w:r>
          </w:p>
        </w:tc>
        <w:tc>
          <w:tcPr>
            <w:tcW w:type="dxa" w:w="1400"/>
            <w:tcBorders>
              <w:top w:val="single" w:color="BFDBFE" w:sz="1"/>
              <w:left w:val="single" w:color="BFDBFE" w:sz="1"/>
              <w:bottom w:val="single" w:color="BFDBFE" w:sz="1"/>
              <w:right w:val="single" w:color="BFDBFE" w:sz="1"/>
            </w:tcBorders>
            <w:shd w:fill="FFFFFF" w:val="clear"/>
            <w:tcMar>
              <w:top w:type="dxa" w:w="80"/>
              <w:left w:type="dxa" w:w="100"/>
              <w:bottom w:type="dxa" w:w="80"/>
              <w:right w:type="dxa" w:w="100"/>
            </w:tcMar>
          </w:tcPr>
          <w:p>
            <w:r>
              <w:rPr>
                <w:rFonts w:ascii="Arial" w:cs="Arial" w:eastAsia="Arial" w:hAnsi="Arial"/>
                <w:b/>
                <w:bCs/>
                <w:color w:val="0E7490"/>
                <w:sz w:val="20"/>
                <w:szCs w:val="20"/>
              </w:rPr>
              <w:t xml:space="preserve">High</w:t>
            </w:r>
          </w:p>
        </w:tc>
      </w:tr>
      <w:tr>
        <w:tc>
          <w:tcPr>
            <w:tcW w:type="dxa" w:w="4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8</w:t>
            </w:r>
          </w:p>
        </w:tc>
        <w:tc>
          <w:tcPr>
            <w:tcW w:type="dxa" w:w="22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Spending Alerts</w:t>
            </w:r>
          </w:p>
        </w:tc>
        <w:tc>
          <w:tcPr>
            <w:tcW w:type="dxa" w:w="536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val="false"/>
                <w:bCs w:val="false"/>
                <w:color w:val="1E293B"/>
                <w:sz w:val="20"/>
                <w:szCs w:val="20"/>
              </w:rPr>
              <w:t xml:space="preserve">Automated notifications for budget thresholds, unusual activity, and approvals</w:t>
            </w:r>
          </w:p>
        </w:tc>
        <w:tc>
          <w:tcPr>
            <w:tcW w:type="dxa" w:w="1400"/>
            <w:tcBorders>
              <w:top w:val="single" w:color="BFDBFE" w:sz="1"/>
              <w:left w:val="single" w:color="BFDBFE" w:sz="1"/>
              <w:bottom w:val="single" w:color="BFDBFE" w:sz="1"/>
              <w:right w:val="single" w:color="BFDBFE" w:sz="1"/>
            </w:tcBorders>
            <w:shd w:fill="E8F4FD" w:val="clear"/>
            <w:tcMar>
              <w:top w:type="dxa" w:w="80"/>
              <w:left w:type="dxa" w:w="100"/>
              <w:bottom w:type="dxa" w:w="80"/>
              <w:right w:type="dxa" w:w="100"/>
            </w:tcMar>
          </w:tcPr>
          <w:p>
            <w:r>
              <w:rPr>
                <w:rFonts w:ascii="Arial" w:cs="Arial" w:eastAsia="Arial" w:hAnsi="Arial"/>
                <w:b/>
                <w:bCs/>
                <w:color w:val="DC2626"/>
                <w:sz w:val="20"/>
                <w:szCs w:val="20"/>
              </w:rPr>
              <w:t xml:space="preserve">Critical</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FEATURE 1  |  Course Purchase Approval</w:t>
            </w:r>
          </w:p>
        </w:tc>
      </w:tr>
    </w:tbl>
    <w:p>
      <w:pPr>
        <w:spacing w:before="80" w:after="80"/>
      </w:pPr>
    </w:p>
    <w:p>
      <w:pPr>
        <w:pStyle w:val="Heading2"/>
        <w:spacing w:before="280" w:after="120"/>
      </w:pPr>
      <w:r>
        <w:rPr>
          <w:rFonts w:ascii="Arial" w:cs="Arial" w:eastAsia="Arial" w:hAnsi="Arial"/>
          <w:b/>
          <w:bCs/>
          <w:color w:val="0E7490"/>
          <w:sz w:val="26"/>
          <w:szCs w:val="26"/>
        </w:rPr>
        <w:t xml:space="preserve">Overview</w:t>
      </w:r>
    </w:p>
    <w:p>
      <w:pPr>
        <w:spacing w:before="80" w:after="100"/>
      </w:pPr>
      <w:r>
        <w:rPr>
          <w:rFonts w:ascii="Arial" w:cs="Arial" w:eastAsia="Arial" w:hAnsi="Arial"/>
          <w:color w:val="1E293B"/>
          <w:sz w:val="22"/>
          <w:szCs w:val="22"/>
        </w:rPr>
        <w:t xml:space="preserve">The Course Purchase Approval feature establishes a parent-gated payment workflow for all course purchases initiated by students on the EcoSkiller platform. When a student selects a paid course, the system does not process payment immediately. Instead, it routes a structured approval request to the linked parent or guardian account, complete with course metadata, cost breakdown, and instructor information.</w:t>
      </w:r>
    </w:p>
    <w:p>
      <w:pPr>
        <w:spacing w:before="60" w:after="80"/>
      </w:pPr>
    </w:p>
    <w:p>
      <w:pPr>
        <w:pStyle w:val="Heading2"/>
        <w:spacing w:before="280" w:after="120"/>
      </w:pPr>
      <w:r>
        <w:rPr>
          <w:rFonts w:ascii="Arial" w:cs="Arial" w:eastAsia="Arial" w:hAnsi="Arial"/>
          <w:b/>
          <w:bCs/>
          <w:color w:val="0E7490"/>
          <w:sz w:val="26"/>
          <w:szCs w:val="26"/>
        </w:rPr>
        <w:t xml:space="preserve">How It Works</w:t>
      </w:r>
    </w:p>
    <w:p>
      <w:pPr>
        <w:pStyle w:val="ListParagraph"/>
        <w:numPr>
          <w:ilvl w:val="0"/>
          <w:numId w:val="2"/>
        </w:numPr>
        <w:spacing w:before="60" w:after="60"/>
      </w:pPr>
      <w:r>
        <w:rPr>
          <w:rFonts w:ascii="Arial" w:cs="Arial" w:eastAsia="Arial" w:hAnsi="Arial"/>
          <w:color w:val="1E293B"/>
          <w:sz w:val="22"/>
          <w:szCs w:val="22"/>
        </w:rPr>
        <w:t xml:space="preserve">Student browses the course marketplace and selects a paid course</w:t>
      </w:r>
    </w:p>
    <w:p>
      <w:pPr>
        <w:pStyle w:val="ListParagraph"/>
        <w:numPr>
          <w:ilvl w:val="0"/>
          <w:numId w:val="2"/>
        </w:numPr>
        <w:spacing w:before="60" w:after="60"/>
      </w:pPr>
      <w:r>
        <w:rPr>
          <w:rFonts w:ascii="Arial" w:cs="Arial" w:eastAsia="Arial" w:hAnsi="Arial"/>
          <w:color w:val="1E293B"/>
          <w:sz w:val="22"/>
          <w:szCs w:val="22"/>
        </w:rPr>
        <w:t xml:space="preserve">System generates an approval request containing full course details, pricing, duration, and instructor credentials</w:t>
      </w:r>
    </w:p>
    <w:p>
      <w:pPr>
        <w:pStyle w:val="ListParagraph"/>
        <w:numPr>
          <w:ilvl w:val="0"/>
          <w:numId w:val="2"/>
        </w:numPr>
        <w:spacing w:before="60" w:after="60"/>
      </w:pPr>
      <w:r>
        <w:rPr>
          <w:rFonts w:ascii="Arial" w:cs="Arial" w:eastAsia="Arial" w:hAnsi="Arial"/>
          <w:color w:val="1E293B"/>
          <w:sz w:val="22"/>
          <w:szCs w:val="22"/>
        </w:rPr>
        <w:t xml:space="preserve">Parent receives instant notification via app, email, or SMS</w:t>
      </w:r>
    </w:p>
    <w:p>
      <w:pPr>
        <w:pStyle w:val="ListParagraph"/>
        <w:numPr>
          <w:ilvl w:val="0"/>
          <w:numId w:val="2"/>
        </w:numPr>
        <w:spacing w:before="60" w:after="60"/>
      </w:pPr>
      <w:r>
        <w:rPr>
          <w:rFonts w:ascii="Arial" w:cs="Arial" w:eastAsia="Arial" w:hAnsi="Arial"/>
          <w:color w:val="1E293B"/>
          <w:sz w:val="22"/>
          <w:szCs w:val="22"/>
        </w:rPr>
        <w:t xml:space="preserve">Parent reviews the course preview, syllabus summary, and peer ratings within the platform</w:t>
      </w:r>
    </w:p>
    <w:p>
      <w:pPr>
        <w:pStyle w:val="ListParagraph"/>
        <w:numPr>
          <w:ilvl w:val="0"/>
          <w:numId w:val="2"/>
        </w:numPr>
        <w:spacing w:before="60" w:after="60"/>
      </w:pPr>
      <w:r>
        <w:rPr>
          <w:rFonts w:ascii="Arial" w:cs="Arial" w:eastAsia="Arial" w:hAnsi="Arial"/>
          <w:color w:val="1E293B"/>
          <w:sz w:val="22"/>
          <w:szCs w:val="22"/>
        </w:rPr>
        <w:t xml:space="preserve">Parent can approve, reject, or request more information before deciding</w:t>
      </w:r>
    </w:p>
    <w:p>
      <w:pPr>
        <w:pStyle w:val="ListParagraph"/>
        <w:numPr>
          <w:ilvl w:val="0"/>
          <w:numId w:val="2"/>
        </w:numPr>
        <w:spacing w:before="60" w:after="60"/>
      </w:pPr>
      <w:r>
        <w:rPr>
          <w:rFonts w:ascii="Arial" w:cs="Arial" w:eastAsia="Arial" w:hAnsi="Arial"/>
          <w:color w:val="1E293B"/>
          <w:sz w:val="22"/>
          <w:szCs w:val="22"/>
        </w:rPr>
        <w:t xml:space="preserve">Upon approval, payment is auto-processed from the linked family payment method</w:t>
      </w:r>
    </w:p>
    <w:p>
      <w:pPr>
        <w:pStyle w:val="ListParagraph"/>
        <w:numPr>
          <w:ilvl w:val="0"/>
          <w:numId w:val="2"/>
        </w:numPr>
        <w:spacing w:before="60" w:after="60"/>
      </w:pPr>
      <w:r>
        <w:rPr>
          <w:rFonts w:ascii="Arial" w:cs="Arial" w:eastAsia="Arial" w:hAnsi="Arial"/>
          <w:color w:val="1E293B"/>
          <w:sz w:val="22"/>
          <w:szCs w:val="22"/>
        </w:rPr>
        <w:t xml:space="preserve">Upon rejection, the student receives a notification with the parent's reason if provided</w:t>
      </w:r>
    </w:p>
    <w:p>
      <w:pPr>
        <w:pStyle w:val="ListParagraph"/>
        <w:numPr>
          <w:ilvl w:val="0"/>
          <w:numId w:val="2"/>
        </w:numPr>
        <w:spacing w:before="60" w:after="60"/>
      </w:pPr>
      <w:r>
        <w:rPr>
          <w:rFonts w:ascii="Arial" w:cs="Arial" w:eastAsia="Arial" w:hAnsi="Arial"/>
          <w:color w:val="1E293B"/>
          <w:sz w:val="22"/>
          <w:szCs w:val="22"/>
        </w:rPr>
        <w:t xml:space="preserve">All approval decisions are permanently logged with timestamp and decision reason</w:t>
      </w:r>
    </w:p>
    <w:p>
      <w:pPr>
        <w:spacing w:before="80" w:after="80"/>
      </w:pPr>
    </w:p>
    <w:p>
      <w:pPr>
        <w:pStyle w:val="Heading2"/>
        <w:spacing w:before="280" w:after="120"/>
      </w:pPr>
      <w:r>
        <w:rPr>
          <w:rFonts w:ascii="Arial" w:cs="Arial" w:eastAsia="Arial" w:hAnsi="Arial"/>
          <w:b/>
          <w:bCs/>
          <w:color w:val="0E7490"/>
          <w:sz w:val="26"/>
          <w:szCs w:val="26"/>
        </w:rPr>
        <w:t xml:space="preserve">Detailed Sub-Features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Sub-Feature</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User Benefit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Approval Request Queue</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Centralized list of all pending student course requests with priority ordering</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Parents never miss a pending request</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Course Preview Card</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Full course metadata embedded in the approval request — instructor bio, syllabus, ratings, total hours, difficulty level</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Informed decisions without leaving the approval screen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Price Transparency Panel</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Itemized cost display: base price, applicable taxes, any auto-applied discounts, and net payable amount</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 surprise charges at payment time</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Approval Deadline Timer</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Configurable auto-expiry for pending requests to prevent indefinite hold on student access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Reduces friction and delays in learning</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Conditional Approval</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Parent can approve with conditions — e.g., Approve only if completion certificate is earned</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Encourages accountability without hard rejection</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Batch Approval</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Approve multiple low-cost courses in a single action with a configurable price ceiling</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Reduces approval fatigue for high-frequency learners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Rejection Reason Log</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Structured reason selection plus optional custom note when rejecting a request</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Enables constructive parent-student dialogue</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Override History</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Full audit trail of all overrides, approvals, and rejections with actor identification</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Accountability and dispute resolution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1FAE5" w:val="clear"/>
            <w:tcMar>
              <w:top w:type="dxa" w:w="120"/>
              <w:left w:type="dxa" w:w="180"/>
              <w:bottom w:type="dxa" w:w="120"/>
              <w:right w:type="dxa" w:w="180"/>
            </w:tcMar>
          </w:tcPr>
          <w:p>
            <w:pPr>
              <w:spacing w:before="0" w:after="60"/>
            </w:pPr>
            <w:r>
              <w:rPr>
                <w:rFonts w:ascii="Arial" w:cs="Arial" w:eastAsia="Arial" w:hAnsi="Arial"/>
                <w:b/>
                <w:bCs/>
                <w:color w:val="1B4F8C"/>
                <w:sz w:val="22"/>
                <w:szCs w:val="22"/>
              </w:rPr>
              <w:t xml:space="preserve">Key Design Principle</w:t>
            </w:r>
          </w:p>
          <w:p>
            <w:pPr>
              <w:spacing w:before="0" w:after="0"/>
            </w:pPr>
            <w:r>
              <w:rPr>
                <w:rFonts w:ascii="Arial" w:cs="Arial" w:eastAsia="Arial" w:hAnsi="Arial"/>
                <w:color w:val="1E293B"/>
                <w:sz w:val="21"/>
                <w:szCs w:val="21"/>
              </w:rPr>
              <w:t xml:space="preserve">Course Purchase Approval is not a gatekeeping mechanism — it is a communication tool. The system creates a structured conversation between parent and student about educational investment choices, ensuring mutual understanding before financial commitment.</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FEATURE 2  |  Competition Fee Approval</w:t>
            </w:r>
          </w:p>
        </w:tc>
      </w:tr>
    </w:tbl>
    <w:p>
      <w:pPr>
        <w:spacing w:before="80" w:after="80"/>
      </w:pPr>
    </w:p>
    <w:p>
      <w:pPr>
        <w:pStyle w:val="Heading2"/>
        <w:spacing w:before="280" w:after="120"/>
      </w:pPr>
      <w:r>
        <w:rPr>
          <w:rFonts w:ascii="Arial" w:cs="Arial" w:eastAsia="Arial" w:hAnsi="Arial"/>
          <w:b/>
          <w:bCs/>
          <w:color w:val="0E7490"/>
          <w:sz w:val="26"/>
          <w:szCs w:val="26"/>
        </w:rPr>
        <w:t xml:space="preserve">Overview</w:t>
      </w:r>
    </w:p>
    <w:p>
      <w:pPr>
        <w:spacing w:before="80" w:after="100"/>
      </w:pPr>
      <w:r>
        <w:rPr>
          <w:rFonts w:ascii="Arial" w:cs="Arial" w:eastAsia="Arial" w:hAnsi="Arial"/>
          <w:color w:val="1E293B"/>
          <w:sz w:val="22"/>
          <w:szCs w:val="22"/>
        </w:rPr>
        <w:t xml:space="preserve">Academic competitions, hackathons, coding contests, debate tournaments, and skill-based challenges are a critical part of a student's holistic development. The Competition Fee Approval feature ensures that fees for these high-stakes events go through the same transparent parental review process as course purchases, with additional context about the event's credibility and return value.</w:t>
      </w:r>
    </w:p>
    <w:p>
      <w:pPr>
        <w:spacing w:before="60" w:after="80"/>
      </w:pPr>
    </w:p>
    <w:p>
      <w:pPr>
        <w:pStyle w:val="Heading2"/>
        <w:spacing w:before="280" w:after="120"/>
      </w:pPr>
      <w:r>
        <w:rPr>
          <w:rFonts w:ascii="Arial" w:cs="Arial" w:eastAsia="Arial" w:hAnsi="Arial"/>
          <w:b/>
          <w:bCs/>
          <w:color w:val="0E7490"/>
          <w:sz w:val="26"/>
          <w:szCs w:val="26"/>
        </w:rPr>
        <w:t xml:space="preserve">How It Works</w:t>
      </w:r>
    </w:p>
    <w:p>
      <w:pPr>
        <w:pStyle w:val="ListParagraph"/>
        <w:numPr>
          <w:ilvl w:val="0"/>
          <w:numId w:val="2"/>
        </w:numPr>
        <w:spacing w:before="60" w:after="60"/>
      </w:pPr>
      <w:r>
        <w:rPr>
          <w:rFonts w:ascii="Arial" w:cs="Arial" w:eastAsia="Arial" w:hAnsi="Arial"/>
          <w:color w:val="1E293B"/>
          <w:sz w:val="22"/>
          <w:szCs w:val="22"/>
        </w:rPr>
        <w:t xml:space="preserve">Student discovers and registers intent to participate in a competition on the platform</w:t>
      </w:r>
    </w:p>
    <w:p>
      <w:pPr>
        <w:pStyle w:val="ListParagraph"/>
        <w:numPr>
          <w:ilvl w:val="0"/>
          <w:numId w:val="2"/>
        </w:numPr>
        <w:spacing w:before="60" w:after="60"/>
      </w:pPr>
      <w:r>
        <w:rPr>
          <w:rFonts w:ascii="Arial" w:cs="Arial" w:eastAsia="Arial" w:hAnsi="Arial"/>
          <w:color w:val="1E293B"/>
          <w:sz w:val="22"/>
          <w:szCs w:val="22"/>
        </w:rPr>
        <w:t xml:space="preserve">System auto-generates a competition fee approval request enriched with event details</w:t>
      </w:r>
    </w:p>
    <w:p>
      <w:pPr>
        <w:pStyle w:val="ListParagraph"/>
        <w:numPr>
          <w:ilvl w:val="0"/>
          <w:numId w:val="2"/>
        </w:numPr>
        <w:spacing w:before="60" w:after="60"/>
      </w:pPr>
      <w:r>
        <w:rPr>
          <w:rFonts w:ascii="Arial" w:cs="Arial" w:eastAsia="Arial" w:hAnsi="Arial"/>
          <w:color w:val="1E293B"/>
          <w:sz w:val="22"/>
          <w:szCs w:val="22"/>
        </w:rPr>
        <w:t xml:space="preserve">Parent receives contextual notification including competition type, organizer, fee breakdown, and expected outcomes</w:t>
      </w:r>
    </w:p>
    <w:p>
      <w:pPr>
        <w:pStyle w:val="ListParagraph"/>
        <w:numPr>
          <w:ilvl w:val="0"/>
          <w:numId w:val="2"/>
        </w:numPr>
        <w:spacing w:before="60" w:after="60"/>
      </w:pPr>
      <w:r>
        <w:rPr>
          <w:rFonts w:ascii="Arial" w:cs="Arial" w:eastAsia="Arial" w:hAnsi="Arial"/>
          <w:color w:val="1E293B"/>
          <w:sz w:val="22"/>
          <w:szCs w:val="22"/>
        </w:rPr>
        <w:t xml:space="preserve">Parent reviews the competition's legitimacy score and historical outcome data</w:t>
      </w:r>
    </w:p>
    <w:p>
      <w:pPr>
        <w:pStyle w:val="ListParagraph"/>
        <w:numPr>
          <w:ilvl w:val="0"/>
          <w:numId w:val="2"/>
        </w:numPr>
        <w:spacing w:before="60" w:after="60"/>
      </w:pPr>
      <w:r>
        <w:rPr>
          <w:rFonts w:ascii="Arial" w:cs="Arial" w:eastAsia="Arial" w:hAnsi="Arial"/>
          <w:color w:val="1E293B"/>
          <w:sz w:val="22"/>
          <w:szCs w:val="22"/>
        </w:rPr>
        <w:t xml:space="preserve">Parent approves, rejects, or negotiates alternative participation options with the student</w:t>
      </w:r>
    </w:p>
    <w:p>
      <w:pPr>
        <w:pStyle w:val="ListParagraph"/>
        <w:numPr>
          <w:ilvl w:val="0"/>
          <w:numId w:val="2"/>
        </w:numPr>
        <w:spacing w:before="60" w:after="60"/>
      </w:pPr>
      <w:r>
        <w:rPr>
          <w:rFonts w:ascii="Arial" w:cs="Arial" w:eastAsia="Arial" w:hAnsi="Arial"/>
          <w:color w:val="1E293B"/>
          <w:sz w:val="22"/>
          <w:szCs w:val="22"/>
        </w:rPr>
        <w:t xml:space="preserve">Fee is released only after approval confirmation</w:t>
      </w:r>
    </w:p>
    <w:p>
      <w:pPr>
        <w:pStyle w:val="ListParagraph"/>
        <w:numPr>
          <w:ilvl w:val="0"/>
          <w:numId w:val="2"/>
        </w:numPr>
        <w:spacing w:before="60" w:after="60"/>
      </w:pPr>
      <w:r>
        <w:rPr>
          <w:rFonts w:ascii="Arial" w:cs="Arial" w:eastAsia="Arial" w:hAnsi="Arial"/>
          <w:color w:val="1E293B"/>
          <w:sz w:val="22"/>
          <w:szCs w:val="22"/>
        </w:rPr>
        <w:t xml:space="preserve">Post-event, the system links competition outcomes back to the original approval for ROI tracking</w:t>
      </w:r>
    </w:p>
    <w:p>
      <w:pPr>
        <w:spacing w:before="80" w:after="80"/>
      </w:pPr>
    </w:p>
    <w:p>
      <w:pPr>
        <w:pStyle w:val="Heading2"/>
        <w:spacing w:before="280" w:after="120"/>
      </w:pPr>
      <w:r>
        <w:rPr>
          <w:rFonts w:ascii="Arial" w:cs="Arial" w:eastAsia="Arial" w:hAnsi="Arial"/>
          <w:b/>
          <w:bCs/>
          <w:color w:val="0E7490"/>
          <w:sz w:val="26"/>
          <w:szCs w:val="26"/>
        </w:rPr>
        <w:t xml:space="preserve">Detailed Sub-Features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Sub-Feature</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User Benefit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Competition Legitimacy Score</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AI-generated credibility score based on organizer reputation, past participant reviews, and industry recognition</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Parents can trust the quality of events students participate in</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Event Outcome Preview</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Projected outcomes including certificates, portfolio additions, and career impact based on similar past participants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Helps parents evaluate long-term value vs. entry fee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Fee Category Classification</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Automatic classification of fees: registration, material, travel, accommodation — with separate approval flows</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Granular control over what gets approved</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Sibling Group Discounts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Detection of discounted group registration when multiple family members participate</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Maximizes family savings automatically</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Competition Calendar Sync</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Approved competitions sync to a family calendar with reminders for key dates</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Keeps families organized around scheduled events</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Result Linkback</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Post-event results are automatically linked to the original approval and surfaced in ROI Analytics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Closes the loop between investment and outcome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Waitlist Approval Hold</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Approval placed on hold for waitlisted competitions until seat confirmation is received</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Prevents unnecessary early payment</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FEATURE 3  |  Educational Spending Dashboard</w:t>
            </w:r>
          </w:p>
        </w:tc>
      </w:tr>
    </w:tbl>
    <w:p>
      <w:pPr>
        <w:spacing w:before="80" w:after="80"/>
      </w:pPr>
    </w:p>
    <w:p>
      <w:pPr>
        <w:pStyle w:val="Heading2"/>
        <w:spacing w:before="280" w:after="120"/>
      </w:pPr>
      <w:r>
        <w:rPr>
          <w:rFonts w:ascii="Arial" w:cs="Arial" w:eastAsia="Arial" w:hAnsi="Arial"/>
          <w:b/>
          <w:bCs/>
          <w:color w:val="0E7490"/>
          <w:sz w:val="26"/>
          <w:szCs w:val="26"/>
        </w:rPr>
        <w:t xml:space="preserve">Overview</w:t>
      </w:r>
    </w:p>
    <w:p>
      <w:pPr>
        <w:spacing w:before="80" w:after="100"/>
      </w:pPr>
      <w:r>
        <w:rPr>
          <w:rFonts w:ascii="Arial" w:cs="Arial" w:eastAsia="Arial" w:hAnsi="Arial"/>
          <w:color w:val="1E293B"/>
          <w:sz w:val="22"/>
          <w:szCs w:val="22"/>
        </w:rPr>
        <w:t xml:space="preserve">The Educational Spending Dashboard is the command center of the Financial Oversight module. It aggregates all approved and processed financial transactions across every category — courses, competitions, books, certifications, workshops, tutoring, and more — into a single, visually rich, interactive dashboard. Parents can slice data by time period, category, child profile, or institution.</w:t>
      </w:r>
    </w:p>
    <w:p>
      <w:pPr>
        <w:spacing w:before="60" w:after="80"/>
      </w:pPr>
    </w:p>
    <w:p>
      <w:pPr>
        <w:pStyle w:val="Heading2"/>
        <w:spacing w:before="280" w:after="120"/>
      </w:pPr>
      <w:r>
        <w:rPr>
          <w:rFonts w:ascii="Arial" w:cs="Arial" w:eastAsia="Arial" w:hAnsi="Arial"/>
          <w:b/>
          <w:bCs/>
          <w:color w:val="0E7490"/>
          <w:sz w:val="26"/>
          <w:szCs w:val="26"/>
        </w:rPr>
        <w:t xml:space="preserve">Dashboard Panels</w:t>
      </w:r>
    </w:p>
    <w:p>
      <w:pPr>
        <w:pStyle w:val="ListParagraph"/>
        <w:numPr>
          <w:ilvl w:val="0"/>
          <w:numId w:val="2"/>
        </w:numPr>
        <w:spacing w:before="60" w:after="60"/>
      </w:pPr>
      <w:r>
        <w:rPr>
          <w:rFonts w:ascii="Arial" w:cs="Arial" w:eastAsia="Arial" w:hAnsi="Arial"/>
          <w:color w:val="1E293B"/>
          <w:sz w:val="22"/>
          <w:szCs w:val="22"/>
        </w:rPr>
        <w:t xml:space="preserve">Total Spend Overview — cumulative spending across all time periods with year-over-year comparison</w:t>
      </w:r>
    </w:p>
    <w:p>
      <w:pPr>
        <w:pStyle w:val="ListParagraph"/>
        <w:numPr>
          <w:ilvl w:val="0"/>
          <w:numId w:val="2"/>
        </w:numPr>
        <w:spacing w:before="60" w:after="60"/>
      </w:pPr>
      <w:r>
        <w:rPr>
          <w:rFonts w:ascii="Arial" w:cs="Arial" w:eastAsia="Arial" w:hAnsi="Arial"/>
          <w:color w:val="1E293B"/>
          <w:sz w:val="22"/>
          <w:szCs w:val="22"/>
        </w:rPr>
        <w:t xml:space="preserve">Category Breakdown — pie and bar charts segmenting spend by course type, competition, certification, etc.</w:t>
      </w:r>
    </w:p>
    <w:p>
      <w:pPr>
        <w:pStyle w:val="ListParagraph"/>
        <w:numPr>
          <w:ilvl w:val="0"/>
          <w:numId w:val="2"/>
        </w:numPr>
        <w:spacing w:before="60" w:after="60"/>
      </w:pPr>
      <w:r>
        <w:rPr>
          <w:rFonts w:ascii="Arial" w:cs="Arial" w:eastAsia="Arial" w:hAnsi="Arial"/>
          <w:color w:val="1E293B"/>
          <w:sz w:val="22"/>
          <w:szCs w:val="22"/>
        </w:rPr>
        <w:t xml:space="preserve">Pending Approvals Panel — quick-action view of all requests awaiting parent decision</w:t>
      </w:r>
    </w:p>
    <w:p>
      <w:pPr>
        <w:pStyle w:val="ListParagraph"/>
        <w:numPr>
          <w:ilvl w:val="0"/>
          <w:numId w:val="2"/>
        </w:numPr>
        <w:spacing w:before="60" w:after="60"/>
      </w:pPr>
      <w:r>
        <w:rPr>
          <w:rFonts w:ascii="Arial" w:cs="Arial" w:eastAsia="Arial" w:hAnsi="Arial"/>
          <w:color w:val="1E293B"/>
          <w:sz w:val="22"/>
          <w:szCs w:val="22"/>
        </w:rPr>
        <w:t xml:space="preserve">Recent Transactions Feed — chronological list of all processed payments with status tags</w:t>
      </w:r>
    </w:p>
    <w:p>
      <w:pPr>
        <w:pStyle w:val="ListParagraph"/>
        <w:numPr>
          <w:ilvl w:val="0"/>
          <w:numId w:val="2"/>
        </w:numPr>
        <w:spacing w:before="60" w:after="60"/>
      </w:pPr>
      <w:r>
        <w:rPr>
          <w:rFonts w:ascii="Arial" w:cs="Arial" w:eastAsia="Arial" w:hAnsi="Arial"/>
          <w:color w:val="1E293B"/>
          <w:sz w:val="22"/>
          <w:szCs w:val="22"/>
        </w:rPr>
        <w:t xml:space="preserve">Savings Summary — total discounts, scholarships, and waivers applied to date</w:t>
      </w:r>
    </w:p>
    <w:p>
      <w:pPr>
        <w:pStyle w:val="ListParagraph"/>
        <w:numPr>
          <w:ilvl w:val="0"/>
          <w:numId w:val="2"/>
        </w:numPr>
        <w:spacing w:before="60" w:after="60"/>
      </w:pPr>
      <w:r>
        <w:rPr>
          <w:rFonts w:ascii="Arial" w:cs="Arial" w:eastAsia="Arial" w:hAnsi="Arial"/>
          <w:color w:val="1E293B"/>
          <w:sz w:val="22"/>
          <w:szCs w:val="22"/>
        </w:rPr>
        <w:t xml:space="preserve">Budget Utilization Gauge — visual representation of monthly budget consumption vs. defined limits</w:t>
      </w:r>
    </w:p>
    <w:p>
      <w:pPr>
        <w:pStyle w:val="ListParagraph"/>
        <w:numPr>
          <w:ilvl w:val="0"/>
          <w:numId w:val="2"/>
        </w:numPr>
        <w:spacing w:before="60" w:after="60"/>
      </w:pPr>
      <w:r>
        <w:rPr>
          <w:rFonts w:ascii="Arial" w:cs="Arial" w:eastAsia="Arial" w:hAnsi="Arial"/>
          <w:color w:val="1E293B"/>
          <w:sz w:val="22"/>
          <w:szCs w:val="22"/>
        </w:rPr>
        <w:t xml:space="preserve">Top Spending Categories — ranked list of highest expense areas with trend arrows</w:t>
      </w:r>
    </w:p>
    <w:p>
      <w:pPr>
        <w:pStyle w:val="ListParagraph"/>
        <w:numPr>
          <w:ilvl w:val="0"/>
          <w:numId w:val="2"/>
        </w:numPr>
        <w:spacing w:before="60" w:after="60"/>
      </w:pPr>
      <w:r>
        <w:rPr>
          <w:rFonts w:ascii="Arial" w:cs="Arial" w:eastAsia="Arial" w:hAnsi="Arial"/>
          <w:color w:val="1E293B"/>
          <w:sz w:val="22"/>
          <w:szCs w:val="22"/>
        </w:rPr>
        <w:t xml:space="preserve">Child Comparison View — side-by-side spend analysis for families with multiple children</w:t>
      </w:r>
    </w:p>
    <w:p>
      <w:pPr>
        <w:spacing w:before="80" w:after="80"/>
      </w:pPr>
    </w:p>
    <w:p>
      <w:pPr>
        <w:pStyle w:val="Heading2"/>
        <w:spacing w:before="280" w:after="120"/>
      </w:pPr>
      <w:r>
        <w:rPr>
          <w:rFonts w:ascii="Arial" w:cs="Arial" w:eastAsia="Arial" w:hAnsi="Arial"/>
          <w:b/>
          <w:bCs/>
          <w:color w:val="0E7490"/>
          <w:sz w:val="26"/>
          <w:szCs w:val="26"/>
        </w:rPr>
        <w:t xml:space="preserve">Dashboard Filter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Sub-Feature</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User Benefit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Date Range Filter</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Custom date range selection: daily, weekly, monthly, quarterly, annual, or custom window</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Analyze spending patterns across any time horizon</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Category Filter</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Filter by spending category: courses, competitions, certifications, events, materials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Isolate specific expense types for focused analysis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Child Profile Filter</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For multi-child families, filter dashboard to a specific child's expenditure</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Prevent cross-child data confusion</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Institution Filter</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Filter by partnered institution or platform segment (EcoSkiller, Dojo, Institute)</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Track spending across different educational verticals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Payment Method Filter</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Breakdown by payment method: linked card, wallet, scholarship disbursement, fee waiver</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Identify preferred and alternative payment channels</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Export Function</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Export dashboard data as PDF, Excel, or CSV for tax and financial planning purposes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Simplifies annual financial documentation</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FEATURE 4  |  Monthly Learning Expense Tracking</w:t>
            </w:r>
          </w:p>
        </w:tc>
      </w:tr>
    </w:tbl>
    <w:p>
      <w:pPr>
        <w:spacing w:before="80" w:after="80"/>
      </w:pPr>
    </w:p>
    <w:p>
      <w:pPr>
        <w:pStyle w:val="Heading2"/>
        <w:spacing w:before="280" w:after="120"/>
      </w:pPr>
      <w:r>
        <w:rPr>
          <w:rFonts w:ascii="Arial" w:cs="Arial" w:eastAsia="Arial" w:hAnsi="Arial"/>
          <w:b/>
          <w:bCs/>
          <w:color w:val="0E7490"/>
          <w:sz w:val="26"/>
          <w:szCs w:val="26"/>
        </w:rPr>
        <w:t xml:space="preserve">Overview</w:t>
      </w:r>
    </w:p>
    <w:p>
      <w:pPr>
        <w:spacing w:before="80" w:after="100"/>
      </w:pPr>
      <w:r>
        <w:rPr>
          <w:rFonts w:ascii="Arial" w:cs="Arial" w:eastAsia="Arial" w:hAnsi="Arial"/>
          <w:color w:val="1E293B"/>
          <w:sz w:val="22"/>
          <w:szCs w:val="22"/>
        </w:rPr>
        <w:t xml:space="preserve">Monthly Learning Expense Tracking provides a disciplined, calendar-based view of all educational spending. Unlike the holistic dashboard, this feature focuses specifically on month-to-month financial rhythms, helping parents budget effectively, identify seasonal spikes, and plan ahead for high-spend months such as semester starts or certification periods.</w:t>
      </w:r>
    </w:p>
    <w:p>
      <w:pPr>
        <w:spacing w:before="60" w:after="80"/>
      </w:pPr>
    </w:p>
    <w:p>
      <w:pPr>
        <w:pStyle w:val="Heading2"/>
        <w:spacing w:before="280" w:after="120"/>
      </w:pPr>
      <w:r>
        <w:rPr>
          <w:rFonts w:ascii="Arial" w:cs="Arial" w:eastAsia="Arial" w:hAnsi="Arial"/>
          <w:b/>
          <w:bCs/>
          <w:color w:val="0E7490"/>
          <w:sz w:val="26"/>
          <w:szCs w:val="26"/>
        </w:rPr>
        <w:t xml:space="preserve">Core Tracking Capabilities</w:t>
      </w:r>
    </w:p>
    <w:p>
      <w:pPr>
        <w:pStyle w:val="ListParagraph"/>
        <w:numPr>
          <w:ilvl w:val="0"/>
          <w:numId w:val="2"/>
        </w:numPr>
        <w:spacing w:before="60" w:after="60"/>
      </w:pPr>
      <w:r>
        <w:rPr>
          <w:rFonts w:ascii="Arial" w:cs="Arial" w:eastAsia="Arial" w:hAnsi="Arial"/>
          <w:color w:val="1E293B"/>
          <w:sz w:val="22"/>
          <w:szCs w:val="22"/>
        </w:rPr>
        <w:t xml:space="preserve">Month-by-month expense calendar with clickable date cells revealing transaction details</w:t>
      </w:r>
    </w:p>
    <w:p>
      <w:pPr>
        <w:pStyle w:val="ListParagraph"/>
        <w:numPr>
          <w:ilvl w:val="0"/>
          <w:numId w:val="2"/>
        </w:numPr>
        <w:spacing w:before="60" w:after="60"/>
      </w:pPr>
      <w:r>
        <w:rPr>
          <w:rFonts w:ascii="Arial" w:cs="Arial" w:eastAsia="Arial" w:hAnsi="Arial"/>
          <w:color w:val="1E293B"/>
          <w:sz w:val="22"/>
          <w:szCs w:val="22"/>
        </w:rPr>
        <w:t xml:space="preserve">Automated monthly expense report generated on the 1st of each month covering the prior month</w:t>
      </w:r>
    </w:p>
    <w:p>
      <w:pPr>
        <w:pStyle w:val="ListParagraph"/>
        <w:numPr>
          <w:ilvl w:val="0"/>
          <w:numId w:val="2"/>
        </w:numPr>
        <w:spacing w:before="60" w:after="60"/>
      </w:pPr>
      <w:r>
        <w:rPr>
          <w:rFonts w:ascii="Arial" w:cs="Arial" w:eastAsia="Arial" w:hAnsi="Arial"/>
          <w:color w:val="1E293B"/>
          <w:sz w:val="22"/>
          <w:szCs w:val="22"/>
        </w:rPr>
        <w:t xml:space="preserve">Configurable monthly spending caps per child with soft limit (alert only) or hard limit (block transactions) enforcement</w:t>
      </w:r>
    </w:p>
    <w:p>
      <w:pPr>
        <w:pStyle w:val="ListParagraph"/>
        <w:numPr>
          <w:ilvl w:val="0"/>
          <w:numId w:val="2"/>
        </w:numPr>
        <w:spacing w:before="60" w:after="60"/>
      </w:pPr>
      <w:r>
        <w:rPr>
          <w:rFonts w:ascii="Arial" w:cs="Arial" w:eastAsia="Arial" w:hAnsi="Arial"/>
          <w:color w:val="1E293B"/>
          <w:sz w:val="22"/>
          <w:szCs w:val="22"/>
        </w:rPr>
        <w:t xml:space="preserve">Carryover tracking — unused monthly budget optionally rolls forward to the next month</w:t>
      </w:r>
    </w:p>
    <w:p>
      <w:pPr>
        <w:pStyle w:val="ListParagraph"/>
        <w:numPr>
          <w:ilvl w:val="0"/>
          <w:numId w:val="2"/>
        </w:numPr>
        <w:spacing w:before="60" w:after="60"/>
      </w:pPr>
      <w:r>
        <w:rPr>
          <w:rFonts w:ascii="Arial" w:cs="Arial" w:eastAsia="Arial" w:hAnsi="Arial"/>
          <w:color w:val="1E293B"/>
          <w:sz w:val="22"/>
          <w:szCs w:val="22"/>
        </w:rPr>
        <w:t xml:space="preserve">Predicted spend for upcoming months based on enrolled course schedules and registered competitions</w:t>
      </w:r>
    </w:p>
    <w:p>
      <w:pPr>
        <w:spacing w:before="80" w:after="80"/>
      </w:pPr>
    </w:p>
    <w:p>
      <w:pPr>
        <w:pStyle w:val="Heading2"/>
        <w:spacing w:before="280" w:after="120"/>
      </w:pPr>
      <w:r>
        <w:rPr>
          <w:rFonts w:ascii="Arial" w:cs="Arial" w:eastAsia="Arial" w:hAnsi="Arial"/>
          <w:b/>
          <w:bCs/>
          <w:color w:val="0E7490"/>
          <w:sz w:val="26"/>
          <w:szCs w:val="26"/>
        </w:rPr>
        <w:t xml:space="preserve">Monthly Report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Sub-Feature</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User Benefit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Opening Balance</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Available budget at the start of the month, including any rolled-over balance from prior month</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Accurate financial starting point each cycle</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Approved Spend</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Total of all parent-approved transactions during the month</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Tracks decision-aligned expenditure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Unapproved Requests</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List of student requests that were rejected or expired during the month</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Visibility into blocked spending intent</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Net Savings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Total discounts, scholarship credits, and waivers applied during the month</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Highlights financial optimization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Month-End Balance</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Remaining budget after all approved transactions, before carryover decision</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Clear picture of remaining monthly capacity</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Next Month Forecast</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Projected spend for the next 30 days based on enrolled activities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Enables proactive budgeting</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Category Heat Map</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Color-coded spend intensity by category, highlighting where budget concentration occurred</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Visual spending pattern recognition</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FEATURE 5  |  Scholarship Tracking</w:t>
            </w:r>
          </w:p>
        </w:tc>
      </w:tr>
    </w:tbl>
    <w:p>
      <w:pPr>
        <w:spacing w:before="80" w:after="80"/>
      </w:pPr>
    </w:p>
    <w:p>
      <w:pPr>
        <w:pStyle w:val="Heading2"/>
        <w:spacing w:before="280" w:after="120"/>
      </w:pPr>
      <w:r>
        <w:rPr>
          <w:rFonts w:ascii="Arial" w:cs="Arial" w:eastAsia="Arial" w:hAnsi="Arial"/>
          <w:b/>
          <w:bCs/>
          <w:color w:val="0E7490"/>
          <w:sz w:val="26"/>
          <w:szCs w:val="26"/>
        </w:rPr>
        <w:t xml:space="preserve">Overview</w:t>
      </w:r>
    </w:p>
    <w:p>
      <w:pPr>
        <w:spacing w:before="80" w:after="100"/>
      </w:pPr>
      <w:r>
        <w:rPr>
          <w:rFonts w:ascii="Arial" w:cs="Arial" w:eastAsia="Arial" w:hAnsi="Arial"/>
          <w:color w:val="1E293B"/>
          <w:sz w:val="22"/>
          <w:szCs w:val="22"/>
        </w:rPr>
        <w:t xml:space="preserve">Scholarships represent one of the most high-impact but administratively complex financial instruments in education. The Scholarship Tracking feature creates a centralized, intelligent repository for all scholarship-related activities — from application discovery to disbursement confirmation — giving parents and students a single source of truth for all scholarship-related finances.</w:t>
      </w:r>
    </w:p>
    <w:p>
      <w:pPr>
        <w:spacing w:before="60" w:after="80"/>
      </w:pPr>
    </w:p>
    <w:p>
      <w:pPr>
        <w:pStyle w:val="Heading2"/>
        <w:spacing w:before="280" w:after="120"/>
      </w:pPr>
      <w:r>
        <w:rPr>
          <w:rFonts w:ascii="Arial" w:cs="Arial" w:eastAsia="Arial" w:hAnsi="Arial"/>
          <w:b/>
          <w:bCs/>
          <w:color w:val="0E7490"/>
          <w:sz w:val="26"/>
          <w:szCs w:val="26"/>
        </w:rPr>
        <w:t xml:space="preserve">Scholarship Lifecycle Stages</w:t>
      </w:r>
    </w:p>
    <w:p>
      <w:pPr>
        <w:pStyle w:val="ListParagraph"/>
        <w:numPr>
          <w:ilvl w:val="0"/>
          <w:numId w:val="2"/>
        </w:numPr>
        <w:spacing w:before="60" w:after="60"/>
      </w:pPr>
      <w:r>
        <w:rPr>
          <w:rFonts w:ascii="Arial" w:cs="Arial" w:eastAsia="Arial" w:hAnsi="Arial"/>
          <w:color w:val="1E293B"/>
          <w:sz w:val="22"/>
          <w:szCs w:val="22"/>
        </w:rPr>
        <w:t xml:space="preserve">Discovery — curated list of scholarships relevant to the student's profile, course type, and institution</w:t>
      </w:r>
    </w:p>
    <w:p>
      <w:pPr>
        <w:pStyle w:val="ListParagraph"/>
        <w:numPr>
          <w:ilvl w:val="0"/>
          <w:numId w:val="2"/>
        </w:numPr>
        <w:spacing w:before="60" w:after="60"/>
      </w:pPr>
      <w:r>
        <w:rPr>
          <w:rFonts w:ascii="Arial" w:cs="Arial" w:eastAsia="Arial" w:hAnsi="Arial"/>
          <w:color w:val="1E293B"/>
          <w:sz w:val="22"/>
          <w:szCs w:val="22"/>
        </w:rPr>
        <w:t xml:space="preserve">Application — in-platform scholarship application with document upload and status tracking</w:t>
      </w:r>
    </w:p>
    <w:p>
      <w:pPr>
        <w:pStyle w:val="ListParagraph"/>
        <w:numPr>
          <w:ilvl w:val="0"/>
          <w:numId w:val="2"/>
        </w:numPr>
        <w:spacing w:before="60" w:after="60"/>
      </w:pPr>
      <w:r>
        <w:rPr>
          <w:rFonts w:ascii="Arial" w:cs="Arial" w:eastAsia="Arial" w:hAnsi="Arial"/>
          <w:color w:val="1E293B"/>
          <w:sz w:val="22"/>
          <w:szCs w:val="22"/>
        </w:rPr>
        <w:t xml:space="preserve">Review — status updates at each stage of the scholarship provider's review process</w:t>
      </w:r>
    </w:p>
    <w:p>
      <w:pPr>
        <w:pStyle w:val="ListParagraph"/>
        <w:numPr>
          <w:ilvl w:val="0"/>
          <w:numId w:val="2"/>
        </w:numPr>
        <w:spacing w:before="60" w:after="60"/>
      </w:pPr>
      <w:r>
        <w:rPr>
          <w:rFonts w:ascii="Arial" w:cs="Arial" w:eastAsia="Arial" w:hAnsi="Arial"/>
          <w:color w:val="1E293B"/>
          <w:sz w:val="22"/>
          <w:szCs w:val="22"/>
        </w:rPr>
        <w:t xml:space="preserve">Award — notification and record creation upon scholarship award confirmation</w:t>
      </w:r>
    </w:p>
    <w:p>
      <w:pPr>
        <w:pStyle w:val="ListParagraph"/>
        <w:numPr>
          <w:ilvl w:val="0"/>
          <w:numId w:val="2"/>
        </w:numPr>
        <w:spacing w:before="60" w:after="60"/>
      </w:pPr>
      <w:r>
        <w:rPr>
          <w:rFonts w:ascii="Arial" w:cs="Arial" w:eastAsia="Arial" w:hAnsi="Arial"/>
          <w:color w:val="1E293B"/>
          <w:sz w:val="22"/>
          <w:szCs w:val="22"/>
        </w:rPr>
        <w:t xml:space="preserve">Disbursement — transaction-level tracking of scholarship fund release to student account or institution</w:t>
      </w:r>
    </w:p>
    <w:p>
      <w:pPr>
        <w:pStyle w:val="ListParagraph"/>
        <w:numPr>
          <w:ilvl w:val="0"/>
          <w:numId w:val="2"/>
        </w:numPr>
        <w:spacing w:before="60" w:after="60"/>
      </w:pPr>
      <w:r>
        <w:rPr>
          <w:rFonts w:ascii="Arial" w:cs="Arial" w:eastAsia="Arial" w:hAnsi="Arial"/>
          <w:color w:val="1E293B"/>
          <w:sz w:val="22"/>
          <w:szCs w:val="22"/>
        </w:rPr>
        <w:t xml:space="preserve">Renewal — reminders and tracking for recurring annual or semester scholarships</w:t>
      </w:r>
    </w:p>
    <w:p>
      <w:pPr>
        <w:pStyle w:val="ListParagraph"/>
        <w:numPr>
          <w:ilvl w:val="0"/>
          <w:numId w:val="2"/>
        </w:numPr>
        <w:spacing w:before="60" w:after="60"/>
      </w:pPr>
      <w:r>
        <w:rPr>
          <w:rFonts w:ascii="Arial" w:cs="Arial" w:eastAsia="Arial" w:hAnsi="Arial"/>
          <w:color w:val="1E293B"/>
          <w:sz w:val="22"/>
          <w:szCs w:val="22"/>
        </w:rPr>
        <w:t xml:space="preserve">Expiry — alerts when a scholarship's validity window is approaching or has lapsed</w:t>
      </w:r>
    </w:p>
    <w:p>
      <w:pPr>
        <w:spacing w:before="80" w:after="80"/>
      </w:pPr>
    </w:p>
    <w:p>
      <w:pPr>
        <w:pStyle w:val="Heading2"/>
        <w:spacing w:before="280" w:after="120"/>
      </w:pPr>
      <w:r>
        <w:rPr>
          <w:rFonts w:ascii="Arial" w:cs="Arial" w:eastAsia="Arial" w:hAnsi="Arial"/>
          <w:b/>
          <w:bCs/>
          <w:color w:val="0E7490"/>
          <w:sz w:val="26"/>
          <w:szCs w:val="26"/>
        </w:rPr>
        <w:t xml:space="preserve">Scholarship Dashboard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1"/>
              <w:left w:val="single" w:color="BFDBFE" w:sz="1"/>
              <w:bottom w:val="single" w:color="BFDBFE" w:sz="1"/>
              <w:right w:val="single" w:color="BFDBFE" w:sz="1"/>
            </w:tcBorders>
            <w:shd w:fill="0E7490" w:val="clear"/>
            <w:tcMar>
              <w:top w:type="dxa" w:w="100"/>
              <w:left w:type="dxa" w:w="140"/>
              <w:bottom w:type="dxa" w:w="100"/>
              <w:right w:type="dxa" w:w="140"/>
            </w:tcMar>
          </w:tcPr>
          <w:p>
            <w:r>
              <w:rPr>
                <w:rFonts w:ascii="Arial" w:cs="Arial" w:eastAsia="Arial" w:hAnsi="Arial"/>
                <w:b/>
                <w:bCs/>
                <w:color w:val="FFFFFF"/>
                <w:sz w:val="21"/>
                <w:szCs w:val="21"/>
              </w:rPr>
              <w:t xml:space="preserve">Metric</w:t>
            </w:r>
          </w:p>
        </w:tc>
        <w:tc>
          <w:tcPr>
            <w:tcW w:type="dxa" w:w="3120"/>
            <w:tcBorders>
              <w:top w:val="single" w:color="BFDBFE" w:sz="1"/>
              <w:left w:val="single" w:color="BFDBFE" w:sz="1"/>
              <w:bottom w:val="single" w:color="BFDBFE" w:sz="1"/>
              <w:right w:val="single" w:color="BFDBFE" w:sz="1"/>
            </w:tcBorders>
            <w:shd w:fill="0E7490" w:val="clear"/>
            <w:tcMar>
              <w:top w:type="dxa" w:w="100"/>
              <w:left w:type="dxa" w:w="140"/>
              <w:bottom w:type="dxa" w:w="100"/>
              <w:right w:type="dxa" w:w="140"/>
            </w:tcMar>
          </w:tcPr>
          <w:p>
            <w:r>
              <w:rPr>
                <w:rFonts w:ascii="Arial" w:cs="Arial" w:eastAsia="Arial" w:hAnsi="Arial"/>
                <w:b/>
                <w:bCs/>
                <w:color w:val="FFFFFF"/>
                <w:sz w:val="21"/>
                <w:szCs w:val="21"/>
              </w:rPr>
              <w:t xml:space="preserve">Tracked By</w:t>
            </w:r>
          </w:p>
        </w:tc>
        <w:tc>
          <w:tcPr>
            <w:tcW w:type="dxa" w:w="3120"/>
            <w:tcBorders>
              <w:top w:val="single" w:color="BFDBFE" w:sz="1"/>
              <w:left w:val="single" w:color="BFDBFE" w:sz="1"/>
              <w:bottom w:val="single" w:color="BFDBFE" w:sz="1"/>
              <w:right w:val="single" w:color="BFDBFE" w:sz="1"/>
            </w:tcBorders>
            <w:shd w:fill="0E7490" w:val="clear"/>
            <w:tcMar>
              <w:top w:type="dxa" w:w="100"/>
              <w:left w:type="dxa" w:w="140"/>
              <w:bottom w:type="dxa" w:w="100"/>
              <w:right w:type="dxa" w:w="140"/>
            </w:tcMar>
          </w:tcPr>
          <w:p>
            <w:r>
              <w:rPr>
                <w:rFonts w:ascii="Arial" w:cs="Arial" w:eastAsia="Arial" w:hAnsi="Arial"/>
                <w:b/>
                <w:bCs/>
                <w:color w:val="FFFFFF"/>
                <w:sz w:val="21"/>
                <w:szCs w:val="21"/>
              </w:rPr>
              <w:t xml:space="preserve">Alert Threshold</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Total Scholarship Value Received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Disbursement Engine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N/A — informational only</w:t>
            </w:r>
          </w:p>
        </w:tc>
      </w:tr>
      <w:tr>
        <w:tc>
          <w:tcPr>
            <w:tcW w:type="dxa" w:w="3120"/>
            <w:tcBorders>
              <w:top w:val="single" w:color="BFDBFE" w:sz="1"/>
              <w:left w:val="single" w:color="BFDBFE" w:sz="1"/>
              <w:bottom w:val="single" w:color="BFDBFE" w:sz="1"/>
              <w:right w:val="single" w:color="BFDBFE" w:sz="1"/>
            </w:tcBorders>
            <w:shd w:fill="D1FAE5" w:val="clear"/>
            <w:tcMar>
              <w:top w:type="dxa" w:w="80"/>
              <w:left w:type="dxa" w:w="140"/>
              <w:bottom w:type="dxa" w:w="80"/>
              <w:right w:type="dxa" w:w="140"/>
            </w:tcMar>
          </w:tcPr>
          <w:p>
            <w:r>
              <w:rPr>
                <w:rFonts w:ascii="Arial" w:cs="Arial" w:eastAsia="Arial" w:hAnsi="Arial"/>
                <w:color w:val="1E293B"/>
                <w:sz w:val="20"/>
                <w:szCs w:val="20"/>
              </w:rPr>
              <w:t xml:space="preserve">Active Scholarship Count</w:t>
            </w:r>
          </w:p>
        </w:tc>
        <w:tc>
          <w:tcPr>
            <w:tcW w:type="dxa" w:w="3120"/>
            <w:tcBorders>
              <w:top w:val="single" w:color="BFDBFE" w:sz="1"/>
              <w:left w:val="single" w:color="BFDBFE" w:sz="1"/>
              <w:bottom w:val="single" w:color="BFDBFE" w:sz="1"/>
              <w:right w:val="single" w:color="BFDBFE" w:sz="1"/>
            </w:tcBorders>
            <w:shd w:fill="D1FAE5" w:val="clear"/>
            <w:tcMar>
              <w:top w:type="dxa" w:w="80"/>
              <w:left w:type="dxa" w:w="140"/>
              <w:bottom w:type="dxa" w:w="80"/>
              <w:right w:type="dxa" w:w="140"/>
            </w:tcMar>
          </w:tcPr>
          <w:p>
            <w:r>
              <w:rPr>
                <w:rFonts w:ascii="Arial" w:cs="Arial" w:eastAsia="Arial" w:hAnsi="Arial"/>
                <w:color w:val="1E293B"/>
                <w:sz w:val="20"/>
                <w:szCs w:val="20"/>
              </w:rPr>
              <w:t xml:space="preserve">Scholarship Registry</w:t>
            </w:r>
          </w:p>
        </w:tc>
        <w:tc>
          <w:tcPr>
            <w:tcW w:type="dxa" w:w="3120"/>
            <w:tcBorders>
              <w:top w:val="single" w:color="BFDBFE" w:sz="1"/>
              <w:left w:val="single" w:color="BFDBFE" w:sz="1"/>
              <w:bottom w:val="single" w:color="BFDBFE" w:sz="1"/>
              <w:right w:val="single" w:color="BFDBFE" w:sz="1"/>
            </w:tcBorders>
            <w:shd w:fill="D1FAE5" w:val="clear"/>
            <w:tcMar>
              <w:top w:type="dxa" w:w="80"/>
              <w:left w:type="dxa" w:w="140"/>
              <w:bottom w:type="dxa" w:w="80"/>
              <w:right w:type="dxa" w:w="140"/>
            </w:tcMar>
          </w:tcPr>
          <w:p>
            <w:r>
              <w:rPr>
                <w:rFonts w:ascii="Arial" w:cs="Arial" w:eastAsia="Arial" w:hAnsi="Arial"/>
                <w:color w:val="1E293B"/>
                <w:sz w:val="20"/>
                <w:szCs w:val="20"/>
              </w:rPr>
              <w:t xml:space="preserve">Alert if count drops below 1</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Pending Application Count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Application Tracker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Alert if application nearing deadline</w:t>
            </w:r>
          </w:p>
        </w:tc>
      </w:tr>
      <w:tr>
        <w:tc>
          <w:tcPr>
            <w:tcW w:type="dxa" w:w="3120"/>
            <w:tcBorders>
              <w:top w:val="single" w:color="BFDBFE" w:sz="1"/>
              <w:left w:val="single" w:color="BFDBFE" w:sz="1"/>
              <w:bottom w:val="single" w:color="BFDBFE" w:sz="1"/>
              <w:right w:val="single" w:color="BFDBFE" w:sz="1"/>
            </w:tcBorders>
            <w:shd w:fill="D1FAE5" w:val="clear"/>
            <w:tcMar>
              <w:top w:type="dxa" w:w="80"/>
              <w:left w:type="dxa" w:w="140"/>
              <w:bottom w:type="dxa" w:w="80"/>
              <w:right w:type="dxa" w:w="140"/>
            </w:tcMar>
          </w:tcPr>
          <w:p>
            <w:r>
              <w:rPr>
                <w:rFonts w:ascii="Arial" w:cs="Arial" w:eastAsia="Arial" w:hAnsi="Arial"/>
                <w:color w:val="1E293B"/>
                <w:sz w:val="20"/>
                <w:szCs w:val="20"/>
              </w:rPr>
              <w:t xml:space="preserve">Scholarship Utilization Rate</w:t>
            </w:r>
          </w:p>
        </w:tc>
        <w:tc>
          <w:tcPr>
            <w:tcW w:type="dxa" w:w="3120"/>
            <w:tcBorders>
              <w:top w:val="single" w:color="BFDBFE" w:sz="1"/>
              <w:left w:val="single" w:color="BFDBFE" w:sz="1"/>
              <w:bottom w:val="single" w:color="BFDBFE" w:sz="1"/>
              <w:right w:val="single" w:color="BFDBFE" w:sz="1"/>
            </w:tcBorders>
            <w:shd w:fill="D1FAE5" w:val="clear"/>
            <w:tcMar>
              <w:top w:type="dxa" w:w="80"/>
              <w:left w:type="dxa" w:w="140"/>
              <w:bottom w:type="dxa" w:w="80"/>
              <w:right w:type="dxa" w:w="140"/>
            </w:tcMar>
          </w:tcPr>
          <w:p>
            <w:r>
              <w:rPr>
                <w:rFonts w:ascii="Arial" w:cs="Arial" w:eastAsia="Arial" w:hAnsi="Arial"/>
                <w:color w:val="1E293B"/>
                <w:sz w:val="20"/>
                <w:szCs w:val="20"/>
              </w:rPr>
              <w:t xml:space="preserve">Spend Reconciliation Engine</w:t>
            </w:r>
          </w:p>
        </w:tc>
        <w:tc>
          <w:tcPr>
            <w:tcW w:type="dxa" w:w="3120"/>
            <w:tcBorders>
              <w:top w:val="single" w:color="BFDBFE" w:sz="1"/>
              <w:left w:val="single" w:color="BFDBFE" w:sz="1"/>
              <w:bottom w:val="single" w:color="BFDBFE" w:sz="1"/>
              <w:right w:val="single" w:color="BFDBFE" w:sz="1"/>
            </w:tcBorders>
            <w:shd w:fill="D1FAE5" w:val="clear"/>
            <w:tcMar>
              <w:top w:type="dxa" w:w="80"/>
              <w:left w:type="dxa" w:w="140"/>
              <w:bottom w:type="dxa" w:w="80"/>
              <w:right w:type="dxa" w:w="140"/>
            </w:tcMar>
          </w:tcPr>
          <w:p>
            <w:r>
              <w:rPr>
                <w:rFonts w:ascii="Arial" w:cs="Arial" w:eastAsia="Arial" w:hAnsi="Arial"/>
                <w:color w:val="1E293B"/>
                <w:sz w:val="20"/>
                <w:szCs w:val="20"/>
              </w:rPr>
              <w:t xml:space="preserve">Alert if below 80% utilized</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Renewal Deadline Proximity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Calendar Service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Alert 30, 14, 7 days before expiry</w:t>
            </w:r>
          </w:p>
        </w:tc>
      </w:tr>
      <w:tr>
        <w:tc>
          <w:tcPr>
            <w:tcW w:type="dxa" w:w="3120"/>
            <w:tcBorders>
              <w:top w:val="single" w:color="BFDBFE" w:sz="1"/>
              <w:left w:val="single" w:color="BFDBFE" w:sz="1"/>
              <w:bottom w:val="single" w:color="BFDBFE" w:sz="1"/>
              <w:right w:val="single" w:color="BFDBFE" w:sz="1"/>
            </w:tcBorders>
            <w:shd w:fill="D1FAE5" w:val="clear"/>
            <w:tcMar>
              <w:top w:type="dxa" w:w="80"/>
              <w:left w:type="dxa" w:w="140"/>
              <w:bottom w:type="dxa" w:w="80"/>
              <w:right w:type="dxa" w:w="140"/>
            </w:tcMar>
          </w:tcPr>
          <w:p>
            <w:r>
              <w:rPr>
                <w:rFonts w:ascii="Arial" w:cs="Arial" w:eastAsia="Arial" w:hAnsi="Arial"/>
                <w:color w:val="1E293B"/>
                <w:sz w:val="20"/>
                <w:szCs w:val="20"/>
              </w:rPr>
              <w:t xml:space="preserve">Average Award Amount</w:t>
            </w:r>
          </w:p>
        </w:tc>
        <w:tc>
          <w:tcPr>
            <w:tcW w:type="dxa" w:w="3120"/>
            <w:tcBorders>
              <w:top w:val="single" w:color="BFDBFE" w:sz="1"/>
              <w:left w:val="single" w:color="BFDBFE" w:sz="1"/>
              <w:bottom w:val="single" w:color="BFDBFE" w:sz="1"/>
              <w:right w:val="single" w:color="BFDBFE" w:sz="1"/>
            </w:tcBorders>
            <w:shd w:fill="D1FAE5" w:val="clear"/>
            <w:tcMar>
              <w:top w:type="dxa" w:w="80"/>
              <w:left w:type="dxa" w:w="140"/>
              <w:bottom w:type="dxa" w:w="80"/>
              <w:right w:type="dxa" w:w="140"/>
            </w:tcMar>
          </w:tcPr>
          <w:p>
            <w:r>
              <w:rPr>
                <w:rFonts w:ascii="Arial" w:cs="Arial" w:eastAsia="Arial" w:hAnsi="Arial"/>
                <w:color w:val="1E293B"/>
                <w:sz w:val="20"/>
                <w:szCs w:val="20"/>
              </w:rPr>
              <w:t xml:space="preserve">Analytics Engine</w:t>
            </w:r>
          </w:p>
        </w:tc>
        <w:tc>
          <w:tcPr>
            <w:tcW w:type="dxa" w:w="3120"/>
            <w:tcBorders>
              <w:top w:val="single" w:color="BFDBFE" w:sz="1"/>
              <w:left w:val="single" w:color="BFDBFE" w:sz="1"/>
              <w:bottom w:val="single" w:color="BFDBFE" w:sz="1"/>
              <w:right w:val="single" w:color="BFDBFE" w:sz="1"/>
            </w:tcBorders>
            <w:shd w:fill="D1FAE5" w:val="clear"/>
            <w:tcMar>
              <w:top w:type="dxa" w:w="80"/>
              <w:left w:type="dxa" w:w="140"/>
              <w:bottom w:type="dxa" w:w="80"/>
              <w:right w:type="dxa" w:w="140"/>
            </w:tcMar>
          </w:tcPr>
          <w:p>
            <w:r>
              <w:rPr>
                <w:rFonts w:ascii="Arial" w:cs="Arial" w:eastAsia="Arial" w:hAnsi="Arial"/>
                <w:color w:val="1E293B"/>
                <w:sz w:val="20"/>
                <w:szCs w:val="20"/>
              </w:rPr>
              <w:t xml:space="preserve">N/A — benchmarking metric</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Rejection Rate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Application Tracker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Alert if above 50% rejection rate</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FEATURE 6  |  Fee Discount Tracking</w:t>
            </w:r>
          </w:p>
        </w:tc>
      </w:tr>
    </w:tbl>
    <w:p>
      <w:pPr>
        <w:spacing w:before="80" w:after="80"/>
      </w:pPr>
    </w:p>
    <w:p>
      <w:pPr>
        <w:pStyle w:val="Heading2"/>
        <w:spacing w:before="280" w:after="120"/>
      </w:pPr>
      <w:r>
        <w:rPr>
          <w:rFonts w:ascii="Arial" w:cs="Arial" w:eastAsia="Arial" w:hAnsi="Arial"/>
          <w:b/>
          <w:bCs/>
          <w:color w:val="0E7490"/>
          <w:sz w:val="26"/>
          <w:szCs w:val="26"/>
        </w:rPr>
        <w:t xml:space="preserve">Overview</w:t>
      </w:r>
    </w:p>
    <w:p>
      <w:pPr>
        <w:spacing w:before="80" w:after="100"/>
      </w:pPr>
      <w:r>
        <w:rPr>
          <w:rFonts w:ascii="Arial" w:cs="Arial" w:eastAsia="Arial" w:hAnsi="Arial"/>
          <w:color w:val="1E293B"/>
          <w:sz w:val="22"/>
          <w:szCs w:val="22"/>
        </w:rPr>
        <w:t xml:space="preserve">Educational platforms offer a variety of discounts — early bird pricing, referral bonuses, bundle discounts, institutional tie-ups, and promotional coupons. The Fee Discount Tracking feature ensures that no applicable discount ever goes unclaimed, and that all applied discounts are documented and verifiable over time.</w:t>
      </w:r>
    </w:p>
    <w:p>
      <w:pPr>
        <w:spacing w:before="60" w:after="80"/>
      </w:pPr>
    </w:p>
    <w:p>
      <w:pPr>
        <w:pStyle w:val="Heading2"/>
        <w:spacing w:before="280" w:after="120"/>
      </w:pPr>
      <w:r>
        <w:rPr>
          <w:rFonts w:ascii="Arial" w:cs="Arial" w:eastAsia="Arial" w:hAnsi="Arial"/>
          <w:b/>
          <w:bCs/>
          <w:color w:val="0E7490"/>
          <w:sz w:val="26"/>
          <w:szCs w:val="26"/>
        </w:rPr>
        <w:t xml:space="preserve">Discount Categories Tracked</w:t>
      </w:r>
    </w:p>
    <w:p>
      <w:pPr>
        <w:pStyle w:val="ListParagraph"/>
        <w:numPr>
          <w:ilvl w:val="0"/>
          <w:numId w:val="2"/>
        </w:numPr>
        <w:spacing w:before="60" w:after="60"/>
      </w:pPr>
      <w:r>
        <w:rPr>
          <w:rFonts w:ascii="Arial" w:cs="Arial" w:eastAsia="Arial" w:hAnsi="Arial"/>
          <w:color w:val="1E293B"/>
          <w:sz w:val="22"/>
          <w:szCs w:val="22"/>
        </w:rPr>
        <w:t xml:space="preserve">Early Bird Discounts — time-sensitive price reductions for early course enrollment</w:t>
      </w:r>
    </w:p>
    <w:p>
      <w:pPr>
        <w:pStyle w:val="ListParagraph"/>
        <w:numPr>
          <w:ilvl w:val="0"/>
          <w:numId w:val="2"/>
        </w:numPr>
        <w:spacing w:before="60" w:after="60"/>
      </w:pPr>
      <w:r>
        <w:rPr>
          <w:rFonts w:ascii="Arial" w:cs="Arial" w:eastAsia="Arial" w:hAnsi="Arial"/>
          <w:color w:val="1E293B"/>
          <w:sz w:val="22"/>
          <w:szCs w:val="22"/>
        </w:rPr>
        <w:t xml:space="preserve">Referral Bonuses — credit or discount earned when a student refers a new user</w:t>
      </w:r>
    </w:p>
    <w:p>
      <w:pPr>
        <w:pStyle w:val="ListParagraph"/>
        <w:numPr>
          <w:ilvl w:val="0"/>
          <w:numId w:val="2"/>
        </w:numPr>
        <w:spacing w:before="60" w:after="60"/>
      </w:pPr>
      <w:r>
        <w:rPr>
          <w:rFonts w:ascii="Arial" w:cs="Arial" w:eastAsia="Arial" w:hAnsi="Arial"/>
          <w:color w:val="1E293B"/>
          <w:sz w:val="22"/>
          <w:szCs w:val="22"/>
        </w:rPr>
        <w:t xml:space="preserve">Institutional Tie-Up Discounts — pre-negotiated discounts for students from partner institutes</w:t>
      </w:r>
    </w:p>
    <w:p>
      <w:pPr>
        <w:pStyle w:val="ListParagraph"/>
        <w:numPr>
          <w:ilvl w:val="0"/>
          <w:numId w:val="2"/>
        </w:numPr>
        <w:spacing w:before="60" w:after="60"/>
      </w:pPr>
      <w:r>
        <w:rPr>
          <w:rFonts w:ascii="Arial" w:cs="Arial" w:eastAsia="Arial" w:hAnsi="Arial"/>
          <w:color w:val="1E293B"/>
          <w:sz w:val="22"/>
          <w:szCs w:val="22"/>
        </w:rPr>
        <w:t xml:space="preserve">Bundle Discounts — reduced pricing when purchasing course bundles or multi-module packages</w:t>
      </w:r>
    </w:p>
    <w:p>
      <w:pPr>
        <w:pStyle w:val="ListParagraph"/>
        <w:numPr>
          <w:ilvl w:val="0"/>
          <w:numId w:val="2"/>
        </w:numPr>
        <w:spacing w:before="60" w:after="60"/>
      </w:pPr>
      <w:r>
        <w:rPr>
          <w:rFonts w:ascii="Arial" w:cs="Arial" w:eastAsia="Arial" w:hAnsi="Arial"/>
          <w:color w:val="1E293B"/>
          <w:sz w:val="22"/>
          <w:szCs w:val="22"/>
        </w:rPr>
        <w:t xml:space="preserve">Sibling Discounts — family pricing for households with multiple enrolled students</w:t>
      </w:r>
    </w:p>
    <w:p>
      <w:pPr>
        <w:pStyle w:val="ListParagraph"/>
        <w:numPr>
          <w:ilvl w:val="0"/>
          <w:numId w:val="2"/>
        </w:numPr>
        <w:spacing w:before="60" w:after="60"/>
      </w:pPr>
      <w:r>
        <w:rPr>
          <w:rFonts w:ascii="Arial" w:cs="Arial" w:eastAsia="Arial" w:hAnsi="Arial"/>
          <w:color w:val="1E293B"/>
          <w:sz w:val="22"/>
          <w:szCs w:val="22"/>
        </w:rPr>
        <w:t xml:space="preserve">Scholarship-Linked Discounts — additional concessions applied alongside scholarship awards</w:t>
      </w:r>
    </w:p>
    <w:p>
      <w:pPr>
        <w:pStyle w:val="ListParagraph"/>
        <w:numPr>
          <w:ilvl w:val="0"/>
          <w:numId w:val="2"/>
        </w:numPr>
        <w:spacing w:before="60" w:after="60"/>
      </w:pPr>
      <w:r>
        <w:rPr>
          <w:rFonts w:ascii="Arial" w:cs="Arial" w:eastAsia="Arial" w:hAnsi="Arial"/>
          <w:color w:val="1E293B"/>
          <w:sz w:val="22"/>
          <w:szCs w:val="22"/>
        </w:rPr>
        <w:t xml:space="preserve">Promotional Coupons — time-limited platform-wide or personalized discount codes</w:t>
      </w:r>
    </w:p>
    <w:p>
      <w:pPr>
        <w:pStyle w:val="ListParagraph"/>
        <w:numPr>
          <w:ilvl w:val="0"/>
          <w:numId w:val="2"/>
        </w:numPr>
        <w:spacing w:before="60" w:after="60"/>
      </w:pPr>
      <w:r>
        <w:rPr>
          <w:rFonts w:ascii="Arial" w:cs="Arial" w:eastAsia="Arial" w:hAnsi="Arial"/>
          <w:color w:val="1E293B"/>
          <w:sz w:val="22"/>
          <w:szCs w:val="22"/>
        </w:rPr>
        <w:t xml:space="preserve">Loyalty Discounts — long-term user discounts based on cumulative platform engagement</w:t>
      </w:r>
    </w:p>
    <w:p>
      <w:pPr>
        <w:spacing w:before="80" w:after="80"/>
      </w:pPr>
    </w:p>
    <w:p>
      <w:pPr>
        <w:pStyle w:val="Heading2"/>
        <w:spacing w:before="280" w:after="120"/>
      </w:pPr>
      <w:r>
        <w:rPr>
          <w:rFonts w:ascii="Arial" w:cs="Arial" w:eastAsia="Arial" w:hAnsi="Arial"/>
          <w:b/>
          <w:bCs/>
          <w:color w:val="0E7490"/>
          <w:sz w:val="26"/>
          <w:szCs w:val="26"/>
        </w:rPr>
        <w:t xml:space="preserve">Discount Tracking Sub-Features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Sub-Feature</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User Benefit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Discount Eligibility Scanner</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Automatically scans all pending and upcoming purchases for applicable discounts before checkout</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Parents never overpay due to missed discounts</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Coupon Vault</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Secure storage for all earned and purchased coupons with validity windows and usage status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Single location for all redeemable codes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Discount Application History</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Permanent record of every discount applied, including amount saved and original price</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Transparent financial audit for all transactions</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Expiring Discount Alerts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Proactive notifications when a discount or coupon is approaching its expiry date</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Maximizes discount utilization before lapse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Discount Stack Analysis</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Shows which discounts can be combined and calculates the maximum possible saving for any purchase</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Optimizes checkout strategy</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Total Savings Ledger</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Running total of all savings accumulated over the student's platform lifetime</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Motivates continued engagement through visible savings</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FEATURE 7  |  Education ROI Analytics</w:t>
            </w:r>
          </w:p>
        </w:tc>
      </w:tr>
    </w:tbl>
    <w:p>
      <w:pPr>
        <w:spacing w:before="80" w:after="80"/>
      </w:pPr>
    </w:p>
    <w:p>
      <w:pPr>
        <w:pStyle w:val="Heading2"/>
        <w:spacing w:before="280" w:after="120"/>
      </w:pPr>
      <w:r>
        <w:rPr>
          <w:rFonts w:ascii="Arial" w:cs="Arial" w:eastAsia="Arial" w:hAnsi="Arial"/>
          <w:b/>
          <w:bCs/>
          <w:color w:val="0E7490"/>
          <w:sz w:val="26"/>
          <w:szCs w:val="26"/>
        </w:rPr>
        <w:t xml:space="preserve">Overview</w:t>
      </w:r>
    </w:p>
    <w:p>
      <w:pPr>
        <w:spacing w:before="80" w:after="100"/>
      </w:pPr>
      <w:r>
        <w:rPr>
          <w:rFonts w:ascii="Arial" w:cs="Arial" w:eastAsia="Arial" w:hAnsi="Arial"/>
          <w:color w:val="1E293B"/>
          <w:sz w:val="22"/>
          <w:szCs w:val="22"/>
        </w:rPr>
        <w:t xml:space="preserve">Education ROI Analytics is the most strategically differentiated feature of the Financial Oversight module. It answers the most important question every parent has: Is this money working? By correlating educational expenditures with measurable learning outcomes — assessment scores, skill certifications, placement progress, competition rankings, and career readiness indicators — the system produces an actionable ROI score for every educational investment.</w:t>
      </w:r>
    </w:p>
    <w:p>
      <w:pPr>
        <w:spacing w:before="60" w:after="80"/>
      </w:pPr>
    </w:p>
    <w:p>
      <w:pPr>
        <w:pStyle w:val="Heading2"/>
        <w:spacing w:before="280" w:after="120"/>
      </w:pPr>
      <w:r>
        <w:rPr>
          <w:rFonts w:ascii="Arial" w:cs="Arial" w:eastAsia="Arial" w:hAnsi="Arial"/>
          <w:b/>
          <w:bCs/>
          <w:color w:val="0E7490"/>
          <w:sz w:val="26"/>
          <w:szCs w:val="26"/>
        </w:rPr>
        <w:t xml:space="preserve">ROI Calculation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8F4FD" w:val="clear"/>
            <w:tcMar>
              <w:top w:type="dxa" w:w="120"/>
              <w:left w:type="dxa" w:w="180"/>
              <w:bottom w:type="dxa" w:w="120"/>
              <w:right w:type="dxa" w:w="180"/>
            </w:tcMar>
          </w:tcPr>
          <w:p>
            <w:pPr>
              <w:spacing w:before="0" w:after="60"/>
            </w:pPr>
            <w:r>
              <w:rPr>
                <w:rFonts w:ascii="Arial" w:cs="Arial" w:eastAsia="Arial" w:hAnsi="Arial"/>
                <w:b/>
                <w:bCs/>
                <w:color w:val="1B4F8C"/>
                <w:sz w:val="22"/>
                <w:szCs w:val="22"/>
              </w:rPr>
              <w:t xml:space="preserve">ROI Formula</w:t>
            </w:r>
          </w:p>
          <w:p>
            <w:pPr>
              <w:spacing w:before="0" w:after="0"/>
            </w:pPr>
            <w:r>
              <w:rPr>
                <w:rFonts w:ascii="Arial" w:cs="Arial" w:eastAsia="Arial" w:hAnsi="Arial"/>
                <w:color w:val="1E293B"/>
                <w:sz w:val="21"/>
                <w:szCs w:val="21"/>
              </w:rPr>
              <w:t xml:space="preserve">Education ROI = (Value of Outcomes Achieved) / (Total Educational Investment) x 100
Where Outcome Value includes: Skill Certification Market Value + Competition Awards + Placement Package Uplift + Academic Grade Improvement + Time-to-Skill Efficiency Score</w:t>
            </w:r>
          </w:p>
        </w:tc>
      </w:tr>
    </w:tbl>
    <w:p>
      <w:pPr>
        <w:spacing w:before="80" w:after="80"/>
      </w:pPr>
    </w:p>
    <w:p>
      <w:pPr>
        <w:pStyle w:val="Heading2"/>
        <w:spacing w:before="280" w:after="120"/>
      </w:pPr>
      <w:r>
        <w:rPr>
          <w:rFonts w:ascii="Arial" w:cs="Arial" w:eastAsia="Arial" w:hAnsi="Arial"/>
          <w:b/>
          <w:bCs/>
          <w:color w:val="0E7490"/>
          <w:sz w:val="26"/>
          <w:szCs w:val="26"/>
        </w:rPr>
        <w:t xml:space="preserve">Analytics Dimensions</w:t>
      </w:r>
    </w:p>
    <w:p>
      <w:pPr>
        <w:pStyle w:val="ListParagraph"/>
        <w:numPr>
          <w:ilvl w:val="0"/>
          <w:numId w:val="2"/>
        </w:numPr>
        <w:spacing w:before="60" w:after="60"/>
      </w:pPr>
      <w:r>
        <w:rPr>
          <w:rFonts w:ascii="Arial" w:cs="Arial" w:eastAsia="Arial" w:hAnsi="Arial"/>
          <w:color w:val="1E293B"/>
          <w:sz w:val="22"/>
          <w:szCs w:val="22"/>
        </w:rPr>
        <w:t xml:space="preserve">Course-Level ROI — individual ROI score per completed or enrolled course based on post-completion outcomes</w:t>
      </w:r>
    </w:p>
    <w:p>
      <w:pPr>
        <w:pStyle w:val="ListParagraph"/>
        <w:numPr>
          <w:ilvl w:val="0"/>
          <w:numId w:val="2"/>
        </w:numPr>
        <w:spacing w:before="60" w:after="60"/>
      </w:pPr>
      <w:r>
        <w:rPr>
          <w:rFonts w:ascii="Arial" w:cs="Arial" w:eastAsia="Arial" w:hAnsi="Arial"/>
          <w:color w:val="1E293B"/>
          <w:sz w:val="22"/>
          <w:szCs w:val="22"/>
        </w:rPr>
        <w:t xml:space="preserve">Competition ROI — investment-to-result analysis for each competition including award value, recognition, and portfolio impact</w:t>
      </w:r>
    </w:p>
    <w:p>
      <w:pPr>
        <w:pStyle w:val="ListParagraph"/>
        <w:numPr>
          <w:ilvl w:val="0"/>
          <w:numId w:val="2"/>
        </w:numPr>
        <w:spacing w:before="60" w:after="60"/>
      </w:pPr>
      <w:r>
        <w:rPr>
          <w:rFonts w:ascii="Arial" w:cs="Arial" w:eastAsia="Arial" w:hAnsi="Arial"/>
          <w:color w:val="1E293B"/>
          <w:sz w:val="22"/>
          <w:szCs w:val="22"/>
        </w:rPr>
        <w:t xml:space="preserve">Certification ROI — market value of earned certifications relative to course and exam fees paid</w:t>
      </w:r>
    </w:p>
    <w:p>
      <w:pPr>
        <w:pStyle w:val="ListParagraph"/>
        <w:numPr>
          <w:ilvl w:val="0"/>
          <w:numId w:val="2"/>
        </w:numPr>
        <w:spacing w:before="60" w:after="60"/>
      </w:pPr>
      <w:r>
        <w:rPr>
          <w:rFonts w:ascii="Arial" w:cs="Arial" w:eastAsia="Arial" w:hAnsi="Arial"/>
          <w:color w:val="1E293B"/>
          <w:sz w:val="22"/>
          <w:szCs w:val="22"/>
        </w:rPr>
        <w:t xml:space="preserve">Skill Gap ROI — measures whether educational spend is effectively closing identified skill gaps</w:t>
      </w:r>
    </w:p>
    <w:p>
      <w:pPr>
        <w:pStyle w:val="ListParagraph"/>
        <w:numPr>
          <w:ilvl w:val="0"/>
          <w:numId w:val="2"/>
        </w:numPr>
        <w:spacing w:before="60" w:after="60"/>
      </w:pPr>
      <w:r>
        <w:rPr>
          <w:rFonts w:ascii="Arial" w:cs="Arial" w:eastAsia="Arial" w:hAnsi="Arial"/>
          <w:color w:val="1E293B"/>
          <w:sz w:val="22"/>
          <w:szCs w:val="22"/>
        </w:rPr>
        <w:t xml:space="preserve">Time-Value ROI — learning hours invested vs. competency level achieved, normalized by cost</w:t>
      </w:r>
    </w:p>
    <w:p>
      <w:pPr>
        <w:pStyle w:val="ListParagraph"/>
        <w:numPr>
          <w:ilvl w:val="0"/>
          <w:numId w:val="2"/>
        </w:numPr>
        <w:spacing w:before="60" w:after="60"/>
      </w:pPr>
      <w:r>
        <w:rPr>
          <w:rFonts w:ascii="Arial" w:cs="Arial" w:eastAsia="Arial" w:hAnsi="Arial"/>
          <w:color w:val="1E293B"/>
          <w:sz w:val="22"/>
          <w:szCs w:val="22"/>
        </w:rPr>
        <w:t xml:space="preserve">Placement ROI — correlation between educational expenditure and job offer package improvement</w:t>
      </w:r>
    </w:p>
    <w:p>
      <w:pPr>
        <w:spacing w:before="80" w:after="80"/>
      </w:pPr>
    </w:p>
    <w:p>
      <w:pPr>
        <w:pStyle w:val="Heading2"/>
        <w:spacing w:before="280" w:after="120"/>
      </w:pPr>
      <w:r>
        <w:rPr>
          <w:rFonts w:ascii="Arial" w:cs="Arial" w:eastAsia="Arial" w:hAnsi="Arial"/>
          <w:b/>
          <w:bCs/>
          <w:color w:val="0E7490"/>
          <w:sz w:val="26"/>
          <w:szCs w:val="26"/>
        </w:rPr>
        <w:t xml:space="preserve">ROI Dashboard 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Sub-Feature</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User Benefit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Investment Timeline</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Chronological plot of all educational investments overlaid with outcome milestones</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See cause-and-effect relationships over time</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ROI Heatmap</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Category-level heat map showing which types of spending yield the highest measurable returns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Prioritize high-ROI spending categories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Peer Benchmark Comparison</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Anonymized comparison of the student's ROI against peers in the same cohort and tier</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Contextualize performance relative to similar students</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Skill Acquisition Curve</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Learning velocity chart showing how quickly new skills are certified post-investment</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Identify optimal spend-to-skill timing</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Predictive ROI Projector</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AI-powered forecast of expected outcomes if a pending course or competition is approved</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Make investment decisions with data, not intuition</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Annual ROI Report</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Comprehensive year-end report documenting all investments, outcomes, and net educational ROI</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Serves as a portfolio document for scholarships and applications</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FEATURE 8  |  Spending Alerts</w:t>
            </w:r>
          </w:p>
        </w:tc>
      </w:tr>
    </w:tbl>
    <w:p>
      <w:pPr>
        <w:spacing w:before="80" w:after="80"/>
      </w:pPr>
    </w:p>
    <w:p>
      <w:pPr>
        <w:pStyle w:val="Heading2"/>
        <w:spacing w:before="280" w:after="120"/>
      </w:pPr>
      <w:r>
        <w:rPr>
          <w:rFonts w:ascii="Arial" w:cs="Arial" w:eastAsia="Arial" w:hAnsi="Arial"/>
          <w:b/>
          <w:bCs/>
          <w:color w:val="0E7490"/>
          <w:sz w:val="26"/>
          <w:szCs w:val="26"/>
        </w:rPr>
        <w:t xml:space="preserve">Overview</w:t>
      </w:r>
    </w:p>
    <w:p>
      <w:pPr>
        <w:spacing w:before="80" w:after="100"/>
      </w:pPr>
      <w:r>
        <w:rPr>
          <w:rFonts w:ascii="Arial" w:cs="Arial" w:eastAsia="Arial" w:hAnsi="Arial"/>
          <w:color w:val="1E293B"/>
          <w:sz w:val="22"/>
          <w:szCs w:val="22"/>
        </w:rPr>
        <w:t xml:space="preserve">Spending Alerts is the real-time intelligence layer of the Financial Oversight module. It proactively monitors all financial activity, threshold breaches, unusual patterns, and time-sensitive opportunities, delivering precisely targeted notifications through the parent's preferred communication channel. The alert system is fully configurable, ensuring parents receive exactly the information they want without noise or alert fatigue.</w:t>
      </w:r>
    </w:p>
    <w:p>
      <w:pPr>
        <w:spacing w:before="60" w:after="80"/>
      </w:pPr>
    </w:p>
    <w:p>
      <w:pPr>
        <w:pStyle w:val="Heading2"/>
        <w:spacing w:before="280" w:after="120"/>
      </w:pPr>
      <w:r>
        <w:rPr>
          <w:rFonts w:ascii="Arial" w:cs="Arial" w:eastAsia="Arial" w:hAnsi="Arial"/>
          <w:b/>
          <w:bCs/>
          <w:color w:val="0E7490"/>
          <w:sz w:val="26"/>
          <w:szCs w:val="26"/>
        </w:rPr>
        <w:t xml:space="preserve">Alert Categories</w:t>
      </w:r>
    </w:p>
    <w:p>
      <w:pPr>
        <w:pStyle w:val="Heading3"/>
        <w:spacing w:before="200" w:after="80"/>
      </w:pPr>
      <w:r>
        <w:rPr>
          <w:rFonts w:ascii="Arial" w:cs="Arial" w:eastAsia="Arial" w:hAnsi="Arial"/>
          <w:b/>
          <w:bCs/>
          <w:color w:val="1E293B"/>
          <w:sz w:val="22"/>
          <w:szCs w:val="22"/>
        </w:rPr>
        <w:t xml:space="preserve">1. Approval Alerts</w:t>
      </w:r>
    </w:p>
    <w:p>
      <w:pPr>
        <w:pStyle w:val="ListParagraph"/>
        <w:numPr>
          <w:ilvl w:val="0"/>
          <w:numId w:val="2"/>
        </w:numPr>
        <w:spacing w:before="60" w:after="60"/>
      </w:pPr>
      <w:r>
        <w:rPr>
          <w:rFonts w:ascii="Arial" w:cs="Arial" w:eastAsia="Arial" w:hAnsi="Arial"/>
          <w:color w:val="1E293B"/>
          <w:sz w:val="22"/>
          <w:szCs w:val="22"/>
        </w:rPr>
        <w:t xml:space="preserve">New course purchase request received from student</w:t>
      </w:r>
    </w:p>
    <w:p>
      <w:pPr>
        <w:pStyle w:val="ListParagraph"/>
        <w:numPr>
          <w:ilvl w:val="0"/>
          <w:numId w:val="2"/>
        </w:numPr>
        <w:spacing w:before="60" w:after="60"/>
      </w:pPr>
      <w:r>
        <w:rPr>
          <w:rFonts w:ascii="Arial" w:cs="Arial" w:eastAsia="Arial" w:hAnsi="Arial"/>
          <w:color w:val="1E293B"/>
          <w:sz w:val="22"/>
          <w:szCs w:val="22"/>
        </w:rPr>
        <w:t xml:space="preserve">New competition fee request received from student</w:t>
      </w:r>
    </w:p>
    <w:p>
      <w:pPr>
        <w:pStyle w:val="ListParagraph"/>
        <w:numPr>
          <w:ilvl w:val="0"/>
          <w:numId w:val="2"/>
        </w:numPr>
        <w:spacing w:before="60" w:after="60"/>
      </w:pPr>
      <w:r>
        <w:rPr>
          <w:rFonts w:ascii="Arial" w:cs="Arial" w:eastAsia="Arial" w:hAnsi="Arial"/>
          <w:color w:val="1E293B"/>
          <w:sz w:val="22"/>
          <w:szCs w:val="22"/>
        </w:rPr>
        <w:t xml:space="preserve">Pending approval approaching auto-expiry deadline</w:t>
      </w:r>
    </w:p>
    <w:p>
      <w:pPr>
        <w:pStyle w:val="ListParagraph"/>
        <w:numPr>
          <w:ilvl w:val="0"/>
          <w:numId w:val="2"/>
        </w:numPr>
        <w:spacing w:before="60" w:after="60"/>
      </w:pPr>
      <w:r>
        <w:rPr>
          <w:rFonts w:ascii="Arial" w:cs="Arial" w:eastAsia="Arial" w:hAnsi="Arial"/>
          <w:color w:val="1E293B"/>
          <w:sz w:val="22"/>
          <w:szCs w:val="22"/>
        </w:rPr>
        <w:t xml:space="preserve">Approval chain escalation if primary approver is unreachable</w:t>
      </w:r>
    </w:p>
    <w:p>
      <w:pPr>
        <w:spacing w:before="60" w:after="80"/>
      </w:pPr>
    </w:p>
    <w:p>
      <w:pPr>
        <w:pStyle w:val="Heading3"/>
        <w:spacing w:before="200" w:after="80"/>
      </w:pPr>
      <w:r>
        <w:rPr>
          <w:rFonts w:ascii="Arial" w:cs="Arial" w:eastAsia="Arial" w:hAnsi="Arial"/>
          <w:b/>
          <w:bCs/>
          <w:color w:val="1E293B"/>
          <w:sz w:val="22"/>
          <w:szCs w:val="22"/>
        </w:rPr>
        <w:t xml:space="preserve">2. Budget and Threshold Alerts</w:t>
      </w:r>
    </w:p>
    <w:p>
      <w:pPr>
        <w:pStyle w:val="ListParagraph"/>
        <w:numPr>
          <w:ilvl w:val="0"/>
          <w:numId w:val="2"/>
        </w:numPr>
        <w:spacing w:before="60" w:after="60"/>
      </w:pPr>
      <w:r>
        <w:rPr>
          <w:rFonts w:ascii="Arial" w:cs="Arial" w:eastAsia="Arial" w:hAnsi="Arial"/>
          <w:color w:val="1E293B"/>
          <w:sz w:val="22"/>
          <w:szCs w:val="22"/>
        </w:rPr>
        <w:t xml:space="preserve">Monthly budget consumed at 50%, 75%, 90%, and 100% milestones</w:t>
      </w:r>
    </w:p>
    <w:p>
      <w:pPr>
        <w:pStyle w:val="ListParagraph"/>
        <w:numPr>
          <w:ilvl w:val="0"/>
          <w:numId w:val="2"/>
        </w:numPr>
        <w:spacing w:before="60" w:after="60"/>
      </w:pPr>
      <w:r>
        <w:rPr>
          <w:rFonts w:ascii="Arial" w:cs="Arial" w:eastAsia="Arial" w:hAnsi="Arial"/>
          <w:color w:val="1E293B"/>
          <w:sz w:val="22"/>
          <w:szCs w:val="22"/>
        </w:rPr>
        <w:t xml:space="preserve">Single transaction exceeds configurable high-value threshold</w:t>
      </w:r>
    </w:p>
    <w:p>
      <w:pPr>
        <w:pStyle w:val="ListParagraph"/>
        <w:numPr>
          <w:ilvl w:val="0"/>
          <w:numId w:val="2"/>
        </w:numPr>
        <w:spacing w:before="60" w:after="60"/>
      </w:pPr>
      <w:r>
        <w:rPr>
          <w:rFonts w:ascii="Arial" w:cs="Arial" w:eastAsia="Arial" w:hAnsi="Arial"/>
          <w:color w:val="1E293B"/>
          <w:sz w:val="22"/>
          <w:szCs w:val="22"/>
        </w:rPr>
        <w:t xml:space="preserve">Weekly spend velocity is trending above projected monthly pace</w:t>
      </w:r>
    </w:p>
    <w:p>
      <w:pPr>
        <w:pStyle w:val="ListParagraph"/>
        <w:numPr>
          <w:ilvl w:val="0"/>
          <w:numId w:val="2"/>
        </w:numPr>
        <w:spacing w:before="60" w:after="60"/>
      </w:pPr>
      <w:r>
        <w:rPr>
          <w:rFonts w:ascii="Arial" w:cs="Arial" w:eastAsia="Arial" w:hAnsi="Arial"/>
          <w:color w:val="1E293B"/>
          <w:sz w:val="22"/>
          <w:szCs w:val="22"/>
        </w:rPr>
        <w:t xml:space="preserve">Cumulative annual spend approaching defined annual ceiling</w:t>
      </w:r>
    </w:p>
    <w:p>
      <w:pPr>
        <w:spacing w:before="60" w:after="80"/>
      </w:pPr>
    </w:p>
    <w:p>
      <w:pPr>
        <w:pStyle w:val="Heading3"/>
        <w:spacing w:before="200" w:after="80"/>
      </w:pPr>
      <w:r>
        <w:rPr>
          <w:rFonts w:ascii="Arial" w:cs="Arial" w:eastAsia="Arial" w:hAnsi="Arial"/>
          <w:b/>
          <w:bCs/>
          <w:color w:val="1E293B"/>
          <w:sz w:val="22"/>
          <w:szCs w:val="22"/>
        </w:rPr>
        <w:t xml:space="preserve">3. Anomaly and Security Alerts</w:t>
      </w:r>
    </w:p>
    <w:p>
      <w:pPr>
        <w:pStyle w:val="ListParagraph"/>
        <w:numPr>
          <w:ilvl w:val="0"/>
          <w:numId w:val="2"/>
        </w:numPr>
        <w:spacing w:before="60" w:after="60"/>
      </w:pPr>
      <w:r>
        <w:rPr>
          <w:rFonts w:ascii="Arial" w:cs="Arial" w:eastAsia="Arial" w:hAnsi="Arial"/>
          <w:color w:val="1E293B"/>
          <w:sz w:val="22"/>
          <w:szCs w:val="22"/>
        </w:rPr>
        <w:t xml:space="preserve">Unusual spending pattern detected — transaction outside normal category or amount range</w:t>
      </w:r>
    </w:p>
    <w:p>
      <w:pPr>
        <w:pStyle w:val="ListParagraph"/>
        <w:numPr>
          <w:ilvl w:val="0"/>
          <w:numId w:val="2"/>
        </w:numPr>
        <w:spacing w:before="60" w:after="60"/>
      </w:pPr>
      <w:r>
        <w:rPr>
          <w:rFonts w:ascii="Arial" w:cs="Arial" w:eastAsia="Arial" w:hAnsi="Arial"/>
          <w:color w:val="1E293B"/>
          <w:sz w:val="22"/>
          <w:szCs w:val="22"/>
        </w:rPr>
        <w:t xml:space="preserve">Duplicate purchase attempt identified for an already-enrolled course</w:t>
      </w:r>
    </w:p>
    <w:p>
      <w:pPr>
        <w:pStyle w:val="ListParagraph"/>
        <w:numPr>
          <w:ilvl w:val="0"/>
          <w:numId w:val="2"/>
        </w:numPr>
        <w:spacing w:before="60" w:after="60"/>
      </w:pPr>
      <w:r>
        <w:rPr>
          <w:rFonts w:ascii="Arial" w:cs="Arial" w:eastAsia="Arial" w:hAnsi="Arial"/>
          <w:color w:val="1E293B"/>
          <w:sz w:val="22"/>
          <w:szCs w:val="22"/>
        </w:rPr>
        <w:t xml:space="preserve">Transaction originating from an unfamiliar device or location</w:t>
      </w:r>
    </w:p>
    <w:p>
      <w:pPr>
        <w:pStyle w:val="ListParagraph"/>
        <w:numPr>
          <w:ilvl w:val="0"/>
          <w:numId w:val="2"/>
        </w:numPr>
        <w:spacing w:before="60" w:after="60"/>
      </w:pPr>
      <w:r>
        <w:rPr>
          <w:rFonts w:ascii="Arial" w:cs="Arial" w:eastAsia="Arial" w:hAnsi="Arial"/>
          <w:color w:val="1E293B"/>
          <w:sz w:val="22"/>
          <w:szCs w:val="22"/>
        </w:rPr>
        <w:t xml:space="preserve">Multiple rapid approval requests submitted in a short window</w:t>
      </w:r>
    </w:p>
    <w:p>
      <w:pPr>
        <w:spacing w:before="60" w:after="80"/>
      </w:pPr>
    </w:p>
    <w:p>
      <w:pPr>
        <w:pStyle w:val="Heading3"/>
        <w:spacing w:before="200" w:after="80"/>
      </w:pPr>
      <w:r>
        <w:rPr>
          <w:rFonts w:ascii="Arial" w:cs="Arial" w:eastAsia="Arial" w:hAnsi="Arial"/>
          <w:b/>
          <w:bCs/>
          <w:color w:val="1E293B"/>
          <w:sz w:val="22"/>
          <w:szCs w:val="22"/>
        </w:rPr>
        <w:t xml:space="preserve">4. Opportunity Alerts</w:t>
      </w:r>
    </w:p>
    <w:p>
      <w:pPr>
        <w:pStyle w:val="ListParagraph"/>
        <w:numPr>
          <w:ilvl w:val="0"/>
          <w:numId w:val="2"/>
        </w:numPr>
        <w:spacing w:before="60" w:after="60"/>
      </w:pPr>
      <w:r>
        <w:rPr>
          <w:rFonts w:ascii="Arial" w:cs="Arial" w:eastAsia="Arial" w:hAnsi="Arial"/>
          <w:color w:val="1E293B"/>
          <w:sz w:val="22"/>
          <w:szCs w:val="22"/>
        </w:rPr>
        <w:t xml:space="preserve">Applicable discount or coupon identified for a course in the student's wishlist</w:t>
      </w:r>
    </w:p>
    <w:p>
      <w:pPr>
        <w:pStyle w:val="ListParagraph"/>
        <w:numPr>
          <w:ilvl w:val="0"/>
          <w:numId w:val="2"/>
        </w:numPr>
        <w:spacing w:before="60" w:after="60"/>
      </w:pPr>
      <w:r>
        <w:rPr>
          <w:rFonts w:ascii="Arial" w:cs="Arial" w:eastAsia="Arial" w:hAnsi="Arial"/>
          <w:color w:val="1E293B"/>
          <w:sz w:val="22"/>
          <w:szCs w:val="22"/>
        </w:rPr>
        <w:t xml:space="preserve">Scholarship deadline approaching for a program the student qualifies for</w:t>
      </w:r>
    </w:p>
    <w:p>
      <w:pPr>
        <w:pStyle w:val="ListParagraph"/>
        <w:numPr>
          <w:ilvl w:val="0"/>
          <w:numId w:val="2"/>
        </w:numPr>
        <w:spacing w:before="60" w:after="60"/>
      </w:pPr>
      <w:r>
        <w:rPr>
          <w:rFonts w:ascii="Arial" w:cs="Arial" w:eastAsia="Arial" w:hAnsi="Arial"/>
          <w:color w:val="1E293B"/>
          <w:sz w:val="22"/>
          <w:szCs w:val="22"/>
        </w:rPr>
        <w:t xml:space="preserve">Early-bird pricing window opening for an upcoming competition or course</w:t>
      </w:r>
    </w:p>
    <w:p>
      <w:pPr>
        <w:pStyle w:val="ListParagraph"/>
        <w:numPr>
          <w:ilvl w:val="0"/>
          <w:numId w:val="2"/>
        </w:numPr>
        <w:spacing w:before="60" w:after="60"/>
      </w:pPr>
      <w:r>
        <w:rPr>
          <w:rFonts w:ascii="Arial" w:cs="Arial" w:eastAsia="Arial" w:hAnsi="Arial"/>
          <w:color w:val="1E293B"/>
          <w:sz w:val="22"/>
          <w:szCs w:val="22"/>
        </w:rPr>
        <w:t xml:space="preserve">Referral bonus opportunity detected based on the student's network activity</w:t>
      </w:r>
    </w:p>
    <w:p>
      <w:pPr>
        <w:spacing w:before="60" w:after="80"/>
      </w:pPr>
    </w:p>
    <w:p>
      <w:pPr>
        <w:pStyle w:val="Heading3"/>
        <w:spacing w:before="200" w:after="80"/>
      </w:pPr>
      <w:r>
        <w:rPr>
          <w:rFonts w:ascii="Arial" w:cs="Arial" w:eastAsia="Arial" w:hAnsi="Arial"/>
          <w:b/>
          <w:bCs/>
          <w:color w:val="1E293B"/>
          <w:sz w:val="22"/>
          <w:szCs w:val="22"/>
        </w:rPr>
        <w:t xml:space="preserve">5. Outcome Alerts</w:t>
      </w:r>
    </w:p>
    <w:p>
      <w:pPr>
        <w:pStyle w:val="ListParagraph"/>
        <w:numPr>
          <w:ilvl w:val="0"/>
          <w:numId w:val="2"/>
        </w:numPr>
        <w:spacing w:before="60" w:after="60"/>
      </w:pPr>
      <w:r>
        <w:rPr>
          <w:rFonts w:ascii="Arial" w:cs="Arial" w:eastAsia="Arial" w:hAnsi="Arial"/>
          <w:color w:val="1E293B"/>
          <w:sz w:val="22"/>
          <w:szCs w:val="22"/>
        </w:rPr>
        <w:t xml:space="preserve">Course completion milestone reached — ROI update triggered</w:t>
      </w:r>
    </w:p>
    <w:p>
      <w:pPr>
        <w:pStyle w:val="ListParagraph"/>
        <w:numPr>
          <w:ilvl w:val="0"/>
          <w:numId w:val="2"/>
        </w:numPr>
        <w:spacing w:before="60" w:after="60"/>
      </w:pPr>
      <w:r>
        <w:rPr>
          <w:rFonts w:ascii="Arial" w:cs="Arial" w:eastAsia="Arial" w:hAnsi="Arial"/>
          <w:color w:val="1E293B"/>
          <w:sz w:val="22"/>
          <w:szCs w:val="22"/>
        </w:rPr>
        <w:t xml:space="preserve">Certification awarded — linked to original spend record and added to ROI score</w:t>
      </w:r>
    </w:p>
    <w:p>
      <w:pPr>
        <w:pStyle w:val="ListParagraph"/>
        <w:numPr>
          <w:ilvl w:val="0"/>
          <w:numId w:val="2"/>
        </w:numPr>
        <w:spacing w:before="60" w:after="60"/>
      </w:pPr>
      <w:r>
        <w:rPr>
          <w:rFonts w:ascii="Arial" w:cs="Arial" w:eastAsia="Arial" w:hAnsi="Arial"/>
          <w:color w:val="1E293B"/>
          <w:sz w:val="22"/>
          <w:szCs w:val="22"/>
        </w:rPr>
        <w:t xml:space="preserve">Competition result published — outcome linked to competition fee approval record</w:t>
      </w:r>
    </w:p>
    <w:p>
      <w:pPr>
        <w:pStyle w:val="ListParagraph"/>
        <w:numPr>
          <w:ilvl w:val="0"/>
          <w:numId w:val="2"/>
        </w:numPr>
        <w:spacing w:before="60" w:after="60"/>
      </w:pPr>
      <w:r>
        <w:rPr>
          <w:rFonts w:ascii="Arial" w:cs="Arial" w:eastAsia="Arial" w:hAnsi="Arial"/>
          <w:color w:val="1E293B"/>
          <w:sz w:val="22"/>
          <w:szCs w:val="22"/>
        </w:rPr>
        <w:t xml:space="preserve">Monthly ROI report ready for parent review</w:t>
      </w:r>
    </w:p>
    <w:p>
      <w:pPr>
        <w:spacing w:before="80" w:after="80"/>
      </w:pPr>
    </w:p>
    <w:p>
      <w:pPr>
        <w:pStyle w:val="Heading2"/>
        <w:spacing w:before="280" w:after="120"/>
      </w:pPr>
      <w:r>
        <w:rPr>
          <w:rFonts w:ascii="Arial" w:cs="Arial" w:eastAsia="Arial" w:hAnsi="Arial"/>
          <w:b/>
          <w:bCs/>
          <w:color w:val="0E7490"/>
          <w:sz w:val="26"/>
          <w:szCs w:val="26"/>
        </w:rPr>
        <w:t xml:space="preserve">Alert Configuration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Sub-Feature</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3280"/>
            <w:tcBorders>
              <w:top w:val="single" w:color="93C5FD" w:sz="1"/>
              <w:left w:val="single" w:color="93C5FD" w:sz="1"/>
              <w:bottom w:val="single" w:color="93C5FD" w:sz="1"/>
              <w:right w:val="single" w:color="93C5FD"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User Benefit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Delivery Channel</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Choose from: in-app push notification, email digest, SMS, or WhatsApp</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Alerts reach parents on their preferred medium</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Alert Frequency Control</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Set per-category frequency: instant, hourly digest, or daily summary</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Prevents alert fatigue for high-volume families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Severity Levels</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Critical (immediate), High (within 1 hour), Medium (daily digest), Low (weekly digest)</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Prioritizes parent attention appropriately</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Custom Threshold Configuration</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Parents define their own budget thresholds and trigger points for all numerical alerts</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Personalized control over notification triggers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Mute Windows</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Schedule quiet hours when non-critical alerts are suppressed (e.g., overnight)</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Respects parent availability and focus time</w:t>
            </w:r>
          </w:p>
        </w:tc>
      </w:tr>
      <w:tr>
        <w:tc>
          <w:tcPr>
            <w:tcW w:type="dxa" w:w="28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Alert History Log</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Permanent archive of all alerts sent with read status and action taken</w:t>
            </w:r>
          </w:p>
        </w:tc>
        <w:tc>
          <w:tcPr>
            <w:tcW w:type="dxa" w:w="32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Prevents disputes about missed notifications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Co-Parent Sync</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Share alerts with a second parent or guardian account for joint financial oversight</w:t>
            </w:r>
          </w:p>
        </w:tc>
        <w:tc>
          <w:tcPr>
            <w:tcW w:type="dxa" w:w="32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Supports dual-guardian family structures</w:t>
            </w:r>
          </w:p>
        </w:tc>
      </w:tr>
    </w:tbl>
    <w:p>
      <w:pPr>
        <w:spacing w:before="200" w:after="80"/>
      </w:pPr>
    </w:p>
    <w:p>
      <w:pPr>
        <w:pStyle w:val="Heading1"/>
        <w:pBdr>
          <w:bottom w:val="single" w:color="1B4F8C" w:sz="8" w:space="6"/>
        </w:pBdr>
        <w:spacing w:before="320" w:after="160"/>
      </w:pPr>
      <w:r>
        <w:rPr>
          <w:rFonts w:ascii="Arial" w:cs="Arial" w:eastAsia="Arial" w:hAnsi="Arial"/>
          <w:b/>
          <w:bCs/>
          <w:color w:val="1B4F8C"/>
          <w:sz w:val="34"/>
          <w:szCs w:val="34"/>
        </w:rPr>
        <w:t xml:space="preserve">Module Integration Architecture</w:t>
      </w:r>
    </w:p>
    <w:p>
      <w:pPr>
        <w:spacing w:before="80" w:after="100"/>
      </w:pPr>
      <w:r>
        <w:rPr>
          <w:rFonts w:ascii="Arial" w:cs="Arial" w:eastAsia="Arial" w:hAnsi="Arial"/>
          <w:color w:val="1E293B"/>
          <w:sz w:val="22"/>
          <w:szCs w:val="22"/>
        </w:rPr>
        <w:t xml:space="preserve">The Financial Oversight module does not operate in isolation. It is deeply integrated with every other layer of the EcoSkiller platform to ensure financial data is always current, outcomes are always linked to investments, and the experience is seamless for both parents and students.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FDBFE" w:sz="1"/>
              <w:left w:val="single" w:color="BFDBFE" w:sz="1"/>
              <w:bottom w:val="single" w:color="BFDBFE" w:sz="1"/>
              <w:right w:val="single" w:color="BFDBFE"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Platform Module</w:t>
            </w:r>
          </w:p>
        </w:tc>
        <w:tc>
          <w:tcPr>
            <w:tcW w:type="dxa" w:w="3180"/>
            <w:tcBorders>
              <w:top w:val="single" w:color="BFDBFE" w:sz="1"/>
              <w:left w:val="single" w:color="BFDBFE" w:sz="1"/>
              <w:bottom w:val="single" w:color="BFDBFE" w:sz="1"/>
              <w:right w:val="single" w:color="BFDBFE"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Integration Type</w:t>
            </w:r>
          </w:p>
        </w:tc>
        <w:tc>
          <w:tcPr>
            <w:tcW w:type="dxa" w:w="3180"/>
            <w:tcBorders>
              <w:top w:val="single" w:color="BFDBFE" w:sz="1"/>
              <w:left w:val="single" w:color="BFDBFE" w:sz="1"/>
              <w:bottom w:val="single" w:color="BFDBFE" w:sz="1"/>
              <w:right w:val="single" w:color="BFDBFE" w:sz="1"/>
            </w:tcBorders>
            <w:shd w:fill="1B4F8C" w:val="clear"/>
            <w:tcMar>
              <w:top w:type="dxa" w:w="100"/>
              <w:left w:type="dxa" w:w="140"/>
              <w:bottom w:type="dxa" w:w="100"/>
              <w:right w:type="dxa" w:w="140"/>
            </w:tcMar>
          </w:tcPr>
          <w:p>
            <w:r>
              <w:rPr>
                <w:rFonts w:ascii="Arial" w:cs="Arial" w:eastAsia="Arial" w:hAnsi="Arial"/>
                <w:b/>
                <w:bCs/>
                <w:color w:val="FFFFFF"/>
                <w:sz w:val="21"/>
                <w:szCs w:val="21"/>
              </w:rPr>
              <w:t xml:space="preserve">Financial Oversight Benefit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Course Marketplace</w:t>
            </w:r>
          </w:p>
        </w:tc>
        <w:tc>
          <w:tcPr>
            <w:tcW w:type="dxa" w:w="31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Bidirectional — sends purchase requests, receives approval signals</w:t>
            </w:r>
          </w:p>
        </w:tc>
        <w:tc>
          <w:tcPr>
            <w:tcW w:type="dxa" w:w="31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Enables gated course access pending parent approval</w:t>
            </w:r>
          </w:p>
        </w:tc>
      </w:tr>
      <w:tr>
        <w:tc>
          <w:tcPr>
            <w:tcW w:type="dxa" w:w="30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Competition Registry</w:t>
            </w:r>
          </w:p>
        </w:tc>
        <w:tc>
          <w:tcPr>
            <w:tcW w:type="dxa" w:w="31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Bidirectional — sends fee requests, receives outcome data</w:t>
            </w:r>
          </w:p>
        </w:tc>
        <w:tc>
          <w:tcPr>
            <w:tcW w:type="dxa" w:w="31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Links competition costs to result-based ROI</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Student Assessment Engine</w:t>
            </w:r>
          </w:p>
        </w:tc>
        <w:tc>
          <w:tcPr>
            <w:tcW w:type="dxa" w:w="31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Read-only — pulls score improvements post-investment</w:t>
            </w:r>
          </w:p>
        </w:tc>
        <w:tc>
          <w:tcPr>
            <w:tcW w:type="dxa" w:w="31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Measures academic impact of approved spend</w:t>
            </w:r>
          </w:p>
        </w:tc>
      </w:tr>
      <w:tr>
        <w:tc>
          <w:tcPr>
            <w:tcW w:type="dxa" w:w="30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Placement Module</w:t>
            </w:r>
          </w:p>
        </w:tc>
        <w:tc>
          <w:tcPr>
            <w:tcW w:type="dxa" w:w="31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Read-only — pulls offer data for placement ROI calculation</w:t>
            </w:r>
          </w:p>
        </w:tc>
        <w:tc>
          <w:tcPr>
            <w:tcW w:type="dxa" w:w="31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Connects learning investment to career outcomes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Scholarship Engine</w:t>
            </w:r>
          </w:p>
        </w:tc>
        <w:tc>
          <w:tcPr>
            <w:tcW w:type="dxa" w:w="31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Bidirectional — reads scholarship awards, updates spend records</w:t>
            </w:r>
          </w:p>
        </w:tc>
        <w:tc>
          <w:tcPr>
            <w:tcW w:type="dxa" w:w="31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Auto-adjusts net spend after scholarship application</w:t>
            </w:r>
          </w:p>
        </w:tc>
      </w:tr>
      <w:tr>
        <w:tc>
          <w:tcPr>
            <w:tcW w:type="dxa" w:w="30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Notification Service</w:t>
            </w:r>
          </w:p>
        </w:tc>
        <w:tc>
          <w:tcPr>
            <w:tcW w:type="dxa" w:w="31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Outbound — pushes all alerts via configured channels</w:t>
            </w:r>
          </w:p>
        </w:tc>
        <w:tc>
          <w:tcPr>
            <w:tcW w:type="dxa" w:w="31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Powers the real-time Spending Alert system</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Institute Portal</w:t>
            </w:r>
          </w:p>
        </w:tc>
        <w:tc>
          <w:tcPr>
            <w:tcW w:type="dxa" w:w="31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Read-only — syncs fee structures and institutional discounts</w:t>
            </w:r>
          </w:p>
        </w:tc>
        <w:tc>
          <w:tcPr>
            <w:tcW w:type="dxa" w:w="31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Ensures institutional concessions are captured</w:t>
            </w:r>
          </w:p>
        </w:tc>
      </w:tr>
      <w:tr>
        <w:tc>
          <w:tcPr>
            <w:tcW w:type="dxa" w:w="300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Analytics Platform</w:t>
            </w:r>
          </w:p>
        </w:tc>
        <w:tc>
          <w:tcPr>
            <w:tcW w:type="dxa" w:w="31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Bidirectional — sends spend data, pulls outcome scores</w:t>
            </w:r>
          </w:p>
        </w:tc>
        <w:tc>
          <w:tcPr>
            <w:tcW w:type="dxa" w:w="3180"/>
            <w:tcBorders>
              <w:top w:val="single" w:color="BFDBFE" w:sz="1"/>
              <w:left w:val="single" w:color="BFDBFE" w:sz="1"/>
              <w:bottom w:val="single" w:color="BFDBFE" w:sz="1"/>
              <w:right w:val="single" w:color="BFDBFE" w:sz="1"/>
            </w:tcBorders>
            <w:shd w:fill="E8F4FD" w:val="clear"/>
            <w:tcMar>
              <w:top w:type="dxa" w:w="80"/>
              <w:left w:type="dxa" w:w="140"/>
              <w:bottom w:type="dxa" w:w="80"/>
              <w:right w:type="dxa" w:w="140"/>
            </w:tcMar>
          </w:tcPr>
          <w:p>
            <w:r>
              <w:rPr>
                <w:rFonts w:ascii="Arial" w:cs="Arial" w:eastAsia="Arial" w:hAnsi="Arial"/>
                <w:color w:val="1E293B"/>
                <w:sz w:val="20"/>
                <w:szCs w:val="20"/>
              </w:rPr>
              <w:t xml:space="preserve">Fuels the Education ROI Analytics engine</w:t>
            </w:r>
          </w:p>
        </w:tc>
      </w:tr>
    </w:tbl>
    <w:p>
      <w:pPr>
        <w:spacing w:before="200" w:after="80"/>
      </w:pPr>
    </w:p>
    <w:p>
      <w:pPr>
        <w:pStyle w:val="Heading1"/>
        <w:pBdr>
          <w:bottom w:val="single" w:color="1B4F8C" w:sz="8" w:space="6"/>
        </w:pBdr>
        <w:spacing w:before="320" w:after="160"/>
      </w:pPr>
      <w:r>
        <w:rPr>
          <w:rFonts w:ascii="Arial" w:cs="Arial" w:eastAsia="Arial" w:hAnsi="Arial"/>
          <w:b/>
          <w:bCs/>
          <w:color w:val="1B4F8C"/>
          <w:sz w:val="34"/>
          <w:szCs w:val="34"/>
        </w:rPr>
        <w:t xml:space="preserve">Privacy and Security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1FAE5" w:val="clear"/>
            <w:tcMar>
              <w:top w:type="dxa" w:w="120"/>
              <w:left w:type="dxa" w:w="180"/>
              <w:bottom w:type="dxa" w:w="120"/>
              <w:right w:type="dxa" w:w="180"/>
            </w:tcMar>
          </w:tcPr>
          <w:p>
            <w:pPr>
              <w:spacing w:before="0" w:after="60"/>
            </w:pPr>
            <w:r>
              <w:rPr>
                <w:rFonts w:ascii="Arial" w:cs="Arial" w:eastAsia="Arial" w:hAnsi="Arial"/>
                <w:b/>
                <w:bCs/>
                <w:color w:val="1B4F8C"/>
                <w:sz w:val="22"/>
                <w:szCs w:val="22"/>
              </w:rPr>
              <w:t xml:space="preserve">Data Protection Commitment</w:t>
            </w:r>
          </w:p>
          <w:p>
            <w:pPr>
              <w:spacing w:before="0" w:after="0"/>
            </w:pPr>
            <w:r>
              <w:rPr>
                <w:rFonts w:ascii="Arial" w:cs="Arial" w:eastAsia="Arial" w:hAnsi="Arial"/>
                <w:color w:val="1E293B"/>
                <w:sz w:val="21"/>
                <w:szCs w:val="21"/>
              </w:rPr>
              <w:t xml:space="preserve">All financial data within the Financial Oversight module is encrypted at rest and in transit. Parent approval actions are signed with a secure session token. No financial data is shared with third-party advertisers, analytics vendors, or partner institutions without explicit parent consent. All audit logs are immutable and retained for a minimum of 7 years for compliance purposes.</w:t>
            </w:r>
          </w:p>
        </w:tc>
      </w:tr>
    </w:tbl>
    <w:p>
      <w:pPr>
        <w:spacing w:before="80" w:after="80"/>
      </w:pPr>
    </w:p>
    <w:p>
      <w:pPr>
        <w:pStyle w:val="ListParagraph"/>
        <w:numPr>
          <w:ilvl w:val="0"/>
          <w:numId w:val="2"/>
        </w:numPr>
        <w:spacing w:before="60" w:after="60"/>
      </w:pPr>
      <w:r>
        <w:rPr>
          <w:rFonts w:ascii="Arial" w:cs="Arial" w:eastAsia="Arial" w:hAnsi="Arial"/>
          <w:color w:val="1E293B"/>
          <w:sz w:val="22"/>
          <w:szCs w:val="22"/>
        </w:rPr>
        <w:t xml:space="preserve">End-to-end encryption (AES-256) for all stored financial records</w:t>
      </w:r>
    </w:p>
    <w:p>
      <w:pPr>
        <w:pStyle w:val="ListParagraph"/>
        <w:numPr>
          <w:ilvl w:val="0"/>
          <w:numId w:val="2"/>
        </w:numPr>
        <w:spacing w:before="60" w:after="60"/>
      </w:pPr>
      <w:r>
        <w:rPr>
          <w:rFonts w:ascii="Arial" w:cs="Arial" w:eastAsia="Arial" w:hAnsi="Arial"/>
          <w:color w:val="1E293B"/>
          <w:sz w:val="22"/>
          <w:szCs w:val="22"/>
        </w:rPr>
        <w:t xml:space="preserve">OAuth 2.0 with MFA enforced for all parent account access</w:t>
      </w:r>
    </w:p>
    <w:p>
      <w:pPr>
        <w:pStyle w:val="ListParagraph"/>
        <w:numPr>
          <w:ilvl w:val="0"/>
          <w:numId w:val="2"/>
        </w:numPr>
        <w:spacing w:before="60" w:after="60"/>
      </w:pPr>
      <w:r>
        <w:rPr>
          <w:rFonts w:ascii="Arial" w:cs="Arial" w:eastAsia="Arial" w:hAnsi="Arial"/>
          <w:color w:val="1E293B"/>
          <w:sz w:val="22"/>
          <w:szCs w:val="22"/>
        </w:rPr>
        <w:t xml:space="preserve">Role-based access control — students see their own requests; parents see approval queues and analytics</w:t>
      </w:r>
    </w:p>
    <w:p>
      <w:pPr>
        <w:pStyle w:val="ListParagraph"/>
        <w:numPr>
          <w:ilvl w:val="0"/>
          <w:numId w:val="2"/>
        </w:numPr>
        <w:spacing w:before="60" w:after="60"/>
      </w:pPr>
      <w:r>
        <w:rPr>
          <w:rFonts w:ascii="Arial" w:cs="Arial" w:eastAsia="Arial" w:hAnsi="Arial"/>
          <w:color w:val="1E293B"/>
          <w:sz w:val="22"/>
          <w:szCs w:val="22"/>
        </w:rPr>
        <w:t xml:space="preserve">Immutable audit logs for all financial transactions and approval decisions</w:t>
      </w:r>
    </w:p>
    <w:p>
      <w:pPr>
        <w:pStyle w:val="ListParagraph"/>
        <w:numPr>
          <w:ilvl w:val="0"/>
          <w:numId w:val="2"/>
        </w:numPr>
        <w:spacing w:before="60" w:after="60"/>
      </w:pPr>
      <w:r>
        <w:rPr>
          <w:rFonts w:ascii="Arial" w:cs="Arial" w:eastAsia="Arial" w:hAnsi="Arial"/>
          <w:color w:val="1E293B"/>
          <w:sz w:val="22"/>
          <w:szCs w:val="22"/>
        </w:rPr>
        <w:t xml:space="preserve">GDPR and DPDP Act 2023 (India) compliant data retention and deletion policies</w:t>
      </w:r>
    </w:p>
    <w:p>
      <w:pPr>
        <w:pStyle w:val="ListParagraph"/>
        <w:numPr>
          <w:ilvl w:val="0"/>
          <w:numId w:val="2"/>
        </w:numPr>
        <w:spacing w:before="60" w:after="60"/>
      </w:pPr>
      <w:r>
        <w:rPr>
          <w:rFonts w:ascii="Arial" w:cs="Arial" w:eastAsia="Arial" w:hAnsi="Arial"/>
          <w:color w:val="1E293B"/>
          <w:sz w:val="22"/>
          <w:szCs w:val="22"/>
        </w:rPr>
        <w:t xml:space="preserve">Real-time fraud detection on all payment transactions</w:t>
      </w:r>
    </w:p>
    <w:p>
      <w:pPr>
        <w:spacing w:before="200" w:after="80"/>
      </w:pPr>
    </w:p>
    <w:p>
      <w:pPr>
        <w:pStyle w:val="Heading1"/>
        <w:pBdr>
          <w:bottom w:val="single" w:color="1B4F8C" w:sz="8" w:space="6"/>
        </w:pBdr>
        <w:spacing w:before="320" w:after="160"/>
      </w:pPr>
      <w:r>
        <w:rPr>
          <w:rFonts w:ascii="Arial" w:cs="Arial" w:eastAsia="Arial" w:hAnsi="Arial"/>
          <w:b/>
          <w:bCs/>
          <w:color w:val="1B4F8C"/>
          <w:sz w:val="34"/>
          <w:szCs w:val="34"/>
        </w:rPr>
        <w:t xml:space="preserve">Summary and Value Proposition</w:t>
      </w:r>
    </w:p>
    <w:p>
      <w:pPr>
        <w:spacing w:before="80" w:after="100"/>
      </w:pPr>
      <w:r>
        <w:rPr>
          <w:rFonts w:ascii="Arial" w:cs="Arial" w:eastAsia="Arial" w:hAnsi="Arial"/>
          <w:color w:val="1E293B"/>
          <w:sz w:val="22"/>
          <w:szCs w:val="22"/>
        </w:rPr>
        <w:t xml:space="preserve">The Financial Oversight module transforms educational spending from an opaque, reactive expense into a transparent, strategic investment. By combining real-time approvals, comprehensive tracking, intelligent analytics, and proactive alerting, the module serves three stakeholder groups simultaneously: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1"/>
              <w:left w:val="single" w:color="BFDBFE" w:sz="1"/>
              <w:bottom w:val="single" w:color="BFDBFE" w:sz="1"/>
              <w:right w:val="single" w:color="BFDBFE" w:sz="1"/>
            </w:tcBorders>
            <w:shd w:fill="1B4F8C" w:val="clear"/>
            <w:tcMar>
              <w:top w:type="dxa" w:w="120"/>
              <w:left w:type="dxa" w:w="160"/>
              <w:bottom w:type="dxa" w:w="80"/>
              <w:right w:type="dxa" w:w="160"/>
            </w:tcMar>
          </w:tcPr>
          <w:p>
            <w:pPr>
              <w:jc w:val="center"/>
            </w:pPr>
            <w:r>
              <w:rPr>
                <w:rFonts w:ascii="Arial" w:cs="Arial" w:eastAsia="Arial" w:hAnsi="Arial"/>
                <w:b/>
                <w:bCs/>
                <w:color w:val="FFFFFF"/>
                <w:sz w:val="22"/>
                <w:szCs w:val="22"/>
              </w:rPr>
              <w:t xml:space="preserve">For Parents</w:t>
            </w:r>
          </w:p>
        </w:tc>
        <w:tc>
          <w:tcPr>
            <w:tcW w:type="dxa" w:w="3120"/>
            <w:tcBorders>
              <w:top w:val="single" w:color="BFDBFE" w:sz="1"/>
              <w:left w:val="single" w:color="BFDBFE" w:sz="1"/>
              <w:bottom w:val="single" w:color="BFDBFE" w:sz="1"/>
              <w:right w:val="single" w:color="BFDBFE" w:sz="1"/>
            </w:tcBorders>
            <w:shd w:fill="0E7490" w:val="clear"/>
            <w:tcMar>
              <w:top w:type="dxa" w:w="120"/>
              <w:left w:type="dxa" w:w="160"/>
              <w:bottom w:type="dxa" w:w="80"/>
              <w:right w:type="dxa" w:w="160"/>
            </w:tcMar>
          </w:tcPr>
          <w:p>
            <w:pPr>
              <w:jc w:val="center"/>
            </w:pPr>
            <w:r>
              <w:rPr>
                <w:rFonts w:ascii="Arial" w:cs="Arial" w:eastAsia="Arial" w:hAnsi="Arial"/>
                <w:b/>
                <w:bCs/>
                <w:color w:val="FFFFFF"/>
                <w:sz w:val="22"/>
                <w:szCs w:val="22"/>
              </w:rPr>
              <w:t xml:space="preserve">For Students</w:t>
            </w:r>
          </w:p>
        </w:tc>
        <w:tc>
          <w:tcPr>
            <w:tcW w:type="dxa" w:w="3120"/>
            <w:tcBorders>
              <w:top w:val="single" w:color="BFDBFE" w:sz="1"/>
              <w:left w:val="single" w:color="BFDBFE" w:sz="1"/>
              <w:bottom w:val="single" w:color="BFDBFE" w:sz="1"/>
              <w:right w:val="single" w:color="BFDBFE" w:sz="1"/>
            </w:tcBorders>
            <w:shd w:fill="1E3A5F" w:val="clear"/>
            <w:tcMar>
              <w:top w:type="dxa" w:w="120"/>
              <w:left w:type="dxa" w:w="160"/>
              <w:bottom w:type="dxa" w:w="80"/>
              <w:right w:type="dxa" w:w="160"/>
            </w:tcMar>
          </w:tcPr>
          <w:p>
            <w:pPr>
              <w:jc w:val="center"/>
            </w:pPr>
            <w:r>
              <w:rPr>
                <w:rFonts w:ascii="Arial" w:cs="Arial" w:eastAsia="Arial" w:hAnsi="Arial"/>
                <w:b/>
                <w:bCs/>
                <w:color w:val="FFFFFF"/>
                <w:sz w:val="22"/>
                <w:szCs w:val="22"/>
              </w:rPr>
              <w:t xml:space="preserve">For the Platform</w:t>
            </w:r>
          </w:p>
        </w:tc>
      </w:tr>
      <w:tr>
        <w:tc>
          <w:tcPr>
            <w:tcW w:type="dxa" w:w="3120"/>
            <w:tcBorders>
              <w:top w:val="single" w:color="BFDBFE" w:sz="1"/>
              <w:left w:val="single" w:color="BFDBFE" w:sz="1"/>
              <w:bottom w:val="single" w:color="BFDBFE" w:sz="1"/>
              <w:right w:val="single" w:color="BFDBFE" w:sz="1"/>
            </w:tcBorders>
            <w:shd w:fill="E8F4FD" w:val="clear"/>
            <w:tcMar>
              <w:top w:type="dxa" w:w="120"/>
              <w:left w:type="dxa" w:w="160"/>
              <w:bottom w:type="dxa" w:w="120"/>
              <w:right w:type="dxa" w:w="160"/>
            </w:tcMar>
          </w:tcPr>
          <w:p>
            <w:r>
              <w:rPr>
                <w:rFonts w:ascii="Arial" w:cs="Arial" w:eastAsia="Arial" w:hAnsi="Arial"/>
                <w:color w:val="1E293B"/>
                <w:sz w:val="20"/>
                <w:szCs w:val="20"/>
              </w:rPr>
              <w:t xml:space="preserve">Complete control and visibility over every rupee spent on education, with confidence that investments are producing measurable outcomes.</w:t>
            </w:r>
          </w:p>
        </w:tc>
        <w:tc>
          <w:tcPr>
            <w:tcW w:type="dxa" w:w="3120"/>
            <w:tcBorders>
              <w:top w:val="single" w:color="BFDBFE" w:sz="1"/>
              <w:left w:val="single" w:color="BFDBFE" w:sz="1"/>
              <w:bottom w:val="single" w:color="BFDBFE" w:sz="1"/>
              <w:right w:val="single" w:color="BFDBFE" w:sz="1"/>
            </w:tcBorders>
            <w:shd w:fill="E8F4FD" w:val="clear"/>
            <w:tcMar>
              <w:top w:type="dxa" w:w="120"/>
              <w:left w:type="dxa" w:w="160"/>
              <w:bottom w:type="dxa" w:w="120"/>
              <w:right w:type="dxa" w:w="160"/>
            </w:tcMar>
          </w:tcPr>
          <w:p>
            <w:r>
              <w:rPr>
                <w:rFonts w:ascii="Arial" w:cs="Arial" w:eastAsia="Arial" w:hAnsi="Arial"/>
                <w:color w:val="1E293B"/>
                <w:sz w:val="20"/>
                <w:szCs w:val="20"/>
              </w:rPr>
              <w:t xml:space="preserve">Faster access to courses and competitions through a structured approval process that replaces informal asking and financial ambiguity.</w:t>
            </w:r>
          </w:p>
        </w:tc>
        <w:tc>
          <w:tcPr>
            <w:tcW w:type="dxa" w:w="3120"/>
            <w:tcBorders>
              <w:top w:val="single" w:color="BFDBFE" w:sz="1"/>
              <w:left w:val="single" w:color="BFDBFE" w:sz="1"/>
              <w:bottom w:val="single" w:color="BFDBFE" w:sz="1"/>
              <w:right w:val="single" w:color="BFDBFE" w:sz="1"/>
            </w:tcBorders>
            <w:shd w:fill="E8F4FD" w:val="clear"/>
            <w:tcMar>
              <w:top w:type="dxa" w:w="120"/>
              <w:left w:type="dxa" w:w="160"/>
              <w:bottom w:type="dxa" w:w="120"/>
              <w:right w:type="dxa" w:w="160"/>
            </w:tcMar>
          </w:tcPr>
          <w:p>
            <w:r>
              <w:rPr>
                <w:rFonts w:ascii="Arial" w:cs="Arial" w:eastAsia="Arial" w:hAnsi="Arial"/>
                <w:color w:val="1E293B"/>
                <w:sz w:val="20"/>
                <w:szCs w:val="20"/>
              </w:rPr>
              <w:t xml:space="preserve">Higher parent trust and engagement leads to increased transaction volume, lower churn, and stronger institutional partnerships.</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8FAFC" w:val="clear"/>
            <w:tcMar>
              <w:top w:type="dxa" w:w="120"/>
              <w:left w:type="dxa" w:w="180"/>
              <w:bottom w:type="dxa" w:w="120"/>
              <w:right w:type="dxa" w:w="180"/>
            </w:tcMar>
          </w:tcPr>
          <w:p>
            <w:pPr>
              <w:spacing w:before="0" w:after="60"/>
            </w:pPr>
            <w:r>
              <w:rPr>
                <w:rFonts w:ascii="Arial" w:cs="Arial" w:eastAsia="Arial" w:hAnsi="Arial"/>
                <w:b/>
                <w:bCs/>
                <w:color w:val="1B4F8C"/>
                <w:sz w:val="22"/>
                <w:szCs w:val="22"/>
              </w:rPr>
              <w:t xml:space="preserve">Document Version</w:t>
            </w:r>
          </w:p>
          <w:p>
            <w:pPr>
              <w:spacing w:before="0" w:after="0"/>
            </w:pPr>
            <w:r>
              <w:rPr>
                <w:rFonts w:ascii="Arial" w:cs="Arial" w:eastAsia="Arial" w:hAnsi="Arial"/>
                <w:color w:val="1E293B"/>
                <w:sz w:val="21"/>
                <w:szCs w:val="21"/>
              </w:rPr>
              <w:t xml:space="preserve">Version 1.0  |  March 2026  |  EcoSkiller Platform — Financial Oversight Module Specification  |  Prepared for: Product and Engineering Teams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C" w:sz="6" w:space="6"/>
      </w:pBdr>
      <w:tabs>
        <w:tab w:val="right" w:pos="9026"/>
      </w:tabs>
      <w:spacing w:before="120" w:after="0"/>
    </w:pPr>
    <w:r>
      <w:rPr>
        <w:rFonts w:ascii="Arial" w:cs="Arial" w:eastAsia="Arial" w:hAnsi="Arial"/>
        <w:color w:val="64748B"/>
        <w:sz w:val="18"/>
        <w:szCs w:val="18"/>
      </w:rPr>
      <w:t xml:space="preserve">© 2026 EcoSkiller. All rights reserved.</w:t>
    </w:r>
    <w:r>
      <w:rPr>
        <w:rFonts w:ascii="Arial" w:cs="Arial" w:eastAsia="Arial" w:hAnsi="Arial"/>
        <w:color w:val="64748B"/>
        <w:sz w:val="18"/>
        <w:szCs w:val="18"/>
      </w:rPr>
      <w:t xml:space="preserve">	Version 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C" w:sz="6" w:space="6"/>
      </w:pBdr>
      <w:spacing w:before="0" w:after="120"/>
    </w:pPr>
    <w:r>
      <w:rPr>
        <w:rFonts w:ascii="Arial" w:cs="Arial" w:eastAsia="Arial" w:hAnsi="Arial"/>
        <w:color w:val="64748B"/>
        <w:sz w:val="18"/>
        <w:szCs w:val="18"/>
      </w:rPr>
      <w:t xml:space="preserve">EcoSkiller Platform  |  Financial Oversight Module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8C"/>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0E749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2026-03-09T10:42:16.213Z</dcterms:created>
  <dcterms:modified xsi:type="dcterms:W3CDTF">2026-03-09T10:42:16.214Z</dcterms:modified>
</cp:coreProperties>
</file>

<file path=docProps/custom.xml><?xml version="1.0" encoding="utf-8"?>
<Properties xmlns="http://schemas.openxmlformats.org/officeDocument/2006/custom-properties" xmlns:vt="http://schemas.openxmlformats.org/officeDocument/2006/docPropsVTypes"/>
</file>