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80" w:after="0"/>
        <w:jc w:val="center"/>
      </w:pPr>
      <w:r>
        <w:rPr>
          <w:rFonts w:ascii="Arial" w:cs="Arial" w:eastAsia="Arial" w:hAnsi="Arial"/>
          <w:b/>
          <w:bCs/>
          <w:color w:val="0A1628"/>
          <w:sz w:val="64"/>
          <w:szCs w:val="64"/>
        </w:rPr>
        <w:t xml:space="preserve">ECOSKILLER</w:t>
      </w:r>
    </w:p>
    <w:p>
      <w:pPr>
        <w:spacing w:before="80" w:after="0"/>
        <w:jc w:val="center"/>
      </w:pPr>
      <w:r>
        <w:rPr>
          <w:rFonts w:ascii="Arial" w:cs="Arial" w:eastAsia="Arial" w:hAnsi="Arial"/>
          <w:color w:val="1D4ED8"/>
          <w:sz w:val="26"/>
          <w:szCs w:val="26"/>
        </w:rPr>
        <w:t xml:space="preserve">Talent Operations Platform</w:t>
      </w:r>
    </w:p>
    <w:p>
      <w:pPr>
        <w:spacing w:before="600" w:after="0"/>
        <w:jc w:val="center"/>
      </w:pPr>
      <w:r>
        <w:rPr>
          <w:rFonts w:ascii="Arial" w:cs="Arial" w:eastAsia="Arial" w:hAnsi="Arial"/>
          <w:b/>
          <w:bCs/>
          <w:color w:val="0A1628"/>
          <w:sz w:val="52"/>
          <w:szCs w:val="52"/>
        </w:rPr>
        <w:t xml:space="preserve">AI CAREER SIMULATION</w:t>
      </w:r>
    </w:p>
    <w:p>
      <w:pPr>
        <w:spacing w:before="80" w:after="0"/>
        <w:jc w:val="center"/>
      </w:pPr>
      <w:r>
        <w:rPr>
          <w:rFonts w:ascii="Arial" w:cs="Arial" w:eastAsia="Arial" w:hAnsi="Arial"/>
          <w:b/>
          <w:bCs/>
          <w:color w:val="1D4ED8"/>
          <w:sz w:val="52"/>
          <w:szCs w:val="52"/>
        </w:rPr>
        <w:t xml:space="preserve">ENGINE</w:t>
      </w:r>
    </w:p>
    <w:p>
      <w:pPr>
        <w:spacing w:before="120" w:after="900"/>
        <w:jc w:val="center"/>
      </w:pPr>
      <w:r>
        <w:rPr>
          <w:rFonts w:ascii="Arial" w:cs="Arial" w:eastAsia="Arial" w:hAnsi="Arial"/>
          <w:i/>
          <w:iCs/>
          <w:color w:val="6B7280"/>
          <w:sz w:val="24"/>
          <w:szCs w:val="24"/>
        </w:rPr>
        <w:t xml:space="preserve">Complete Feature Specification Document</w:t>
      </w:r>
    </w:p>
    <w:p>
      <w:pPr>
        <w:spacing w:before="0" w:after="60"/>
        <w:jc w:val="center"/>
      </w:pPr>
      <w:r>
        <w:rPr>
          <w:rFonts w:ascii="Arial" w:cs="Arial" w:eastAsia="Arial" w:hAnsi="Arial"/>
          <w:color w:val="6B7280"/>
          <w:sz w:val="20"/>
          <w:szCs w:val="20"/>
        </w:rPr>
        <w:t xml:space="preserve">Module 4  |  10 Features  |  Version 1.0  |  March 2026</w:t>
      </w:r>
    </w:p>
    <w:p>
      <w:pPr>
        <w:spacing w:before="0"/>
        <w:jc w:val="center"/>
      </w:pPr>
      <w:r>
        <w:rPr>
          <w:rFonts w:ascii="Arial" w:cs="Arial" w:eastAsia="Arial" w:hAnsi="Arial"/>
          <w:b/>
          <w:bCs/>
          <w:color w:val="DC2626"/>
          <w:sz w:val="20"/>
          <w:szCs w:val="20"/>
        </w:rPr>
        <w:t xml:space="preserve">Confidential — EcoSkiller Internal Documentation</w:t>
      </w:r>
    </w:p>
    <w:p>
      <w:r>
        <w:br w:type="page"/>
      </w:r>
    </w:p>
    <w:p>
      <w:pPr>
        <w:pStyle w:val="Heading1"/>
        <w:spacing w:before="360" w:after="140"/>
      </w:pPr>
      <w:r>
        <w:rPr>
          <w:rFonts w:ascii="Arial" w:cs="Arial" w:eastAsia="Arial" w:hAnsi="Arial"/>
          <w:b/>
          <w:bCs/>
          <w:color w:val="0A1628"/>
          <w:sz w:val="32"/>
          <w:szCs w:val="32"/>
        </w:rPr>
        <w:t xml:space="preserve">MODULE OVERVIEW</w:t>
      </w:r>
    </w:p>
    <w:p>
      <w:pPr>
        <w:spacing w:before="0" w:after="150"/>
      </w:pPr>
      <w:r>
        <w:rPr>
          <w:rFonts w:ascii="Arial" w:cs="Arial" w:eastAsia="Arial" w:hAnsi="Arial"/>
          <w:color w:val="374151"/>
          <w:sz w:val="21"/>
          <w:szCs w:val="21"/>
        </w:rPr>
        <w:t xml:space="preserve">The AI Career Simulation Engine is EcoSkiller's most technically sophisticated module and its most strategically differentiated. While most hiring platforms evaluate candidates through static tests, resume screening, or keyword matching, the Simulation Engine places candidates inside a living, AI-driven replica of the role they are being hired for — and measures how they actually perform within it.</w:t>
      </w:r>
    </w:p>
    <w:p>
      <w:pPr>
        <w:spacing w:before="0" w:after="150"/>
      </w:pPr>
      <w:r>
        <w:rPr>
          <w:rFonts w:ascii="Arial" w:cs="Arial" w:eastAsia="Arial" w:hAnsi="Arial"/>
          <w:color w:val="374151"/>
          <w:sz w:val="21"/>
          <w:szCs w:val="21"/>
        </w:rPr>
        <w:t xml:space="preserve">The module is built on a foundational premise: the best predictor of how a candidate will perform in a role is a structured, measured simulation of that role's actual demands. Every feature in this module generates performance data that is directly predictive of real-world job performance — not a proxy signal, not an indirect indicator, but a direct observation of the candidate operating in a controlled replica of the job environment.</w:t>
      </w:r>
    </w:p>
    <w:p>
      <w:pPr>
        <w:spacing w:before="0" w:after="150"/>
      </w:pPr>
      <w:r>
        <w:rPr>
          <w:rFonts w:ascii="Arial" w:cs="Arial" w:eastAsia="Arial" w:hAnsi="Arial"/>
          <w:color w:val="374151"/>
          <w:sz w:val="21"/>
          <w:szCs w:val="21"/>
        </w:rPr>
        <w:t xml:space="preserve">The Engine covers ten distinct evaluation dimensions — from technical challenge performance and task execution quality to workplace scenario judgment, team collaboration dynamics, stress resilience, and career trajectory projection. These dimensions are designed to be complementary: together they produce a full-spectrum profile of candidate capability that no single assessment type can replicate.</w:t>
      </w:r>
    </w:p>
    <w:p>
      <w:pPr>
        <w:spacing w:before="80" w:after="0"/>
      </w:pPr>
      <w:r>
        <w:t xml:space="preserve"/>
      </w:r>
    </w:p>
    <w:p>
      <w:pPr>
        <w:pBdr>
          <w:bottom w:val="single" w:color="1D4ED8" w:sz="3" w:space="1"/>
        </w:pBdr>
        <w:spacing w:before="80" w:after="80"/>
      </w:pPr>
      <w:r>
        <w:t xml:space="preserve"/>
      </w:r>
    </w:p>
    <w:p>
      <w:pPr>
        <w:pStyle w:val="Heading1"/>
        <w:spacing w:before="360" w:after="140"/>
      </w:pPr>
      <w:r>
        <w:rPr>
          <w:rFonts w:ascii="Arial" w:cs="Arial" w:eastAsia="Arial" w:hAnsi="Arial"/>
          <w:b/>
          <w:bCs/>
          <w:color w:val="0A1628"/>
          <w:sz w:val="32"/>
          <w:szCs w:val="32"/>
        </w:rPr>
        <w:t xml:space="preserve">FEATURE INDEX — ALL 10 FEATURES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960"/>
        <w:gridCol w:w="2040"/>
        <w:gridCol w:w="3640"/>
      </w:tblGrid>
      <w:tr>
        <w:trPr>
          <w:tblHeader/>
        </w:trPr>
        <w:tc>
          <w:tcPr>
            <w:tcW w:type="dxa" w:w="72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t>
            </w:r>
          </w:p>
        </w:tc>
        <w:tc>
          <w:tcPr>
            <w:tcW w:type="dxa" w:w="29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Feature</w:t>
            </w:r>
          </w:p>
        </w:tc>
        <w:tc>
          <w:tcPr>
            <w:tcW w:type="dxa" w:w="204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Category</w:t>
            </w:r>
          </w:p>
        </w:tc>
        <w:tc>
          <w:tcPr>
            <w:tcW w:type="dxa" w:w="364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Purpose</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4.1</w:t>
            </w:r>
          </w:p>
        </w:tc>
        <w:tc>
          <w:tcPr>
            <w:tcW w:type="dxa" w:w="29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A1628"/>
                <w:sz w:val="20"/>
                <w:szCs w:val="20"/>
              </w:rPr>
              <w:t xml:space="preserve">Virtual Job Role Simulation</w:t>
            </w:r>
          </w:p>
        </w:tc>
        <w:tc>
          <w:tcPr>
            <w:tcW w:type="dxa" w:w="204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5B21B6"/>
                <w:sz w:val="20"/>
                <w:szCs w:val="20"/>
              </w:rPr>
              <w:t xml:space="preserve">Role Immersion</w:t>
            </w:r>
          </w:p>
        </w:tc>
        <w:tc>
          <w:tcPr>
            <w:tcW w:type="dxa" w:w="364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Immerse candidates in an accurate digital replica of the target job role before hiring.</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4.2</w:t>
            </w:r>
          </w:p>
        </w:tc>
        <w:tc>
          <w:tcPr>
            <w:tcW w:type="dxa" w:w="29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A1628"/>
                <w:sz w:val="20"/>
                <w:szCs w:val="20"/>
              </w:rPr>
              <w:t xml:space="preserve">Task-Based Performance Simulation</w:t>
            </w:r>
          </w:p>
        </w:tc>
        <w:tc>
          <w:tcPr>
            <w:tcW w:type="dxa" w:w="204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5B21B6"/>
                <w:sz w:val="20"/>
                <w:szCs w:val="20"/>
              </w:rPr>
              <w:t xml:space="preserve">Performance Evaluation</w:t>
            </w:r>
          </w:p>
        </w:tc>
        <w:tc>
          <w:tcPr>
            <w:tcW w:type="dxa" w:w="364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Evaluate how candidates actually execute job-relevant tasks under realistic working conditions.</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4.3</w:t>
            </w:r>
          </w:p>
        </w:tc>
        <w:tc>
          <w:tcPr>
            <w:tcW w:type="dxa" w:w="29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A1628"/>
                <w:sz w:val="20"/>
                <w:szCs w:val="20"/>
              </w:rPr>
              <w:t xml:space="preserve">Real-World Technical Challenge Simulation</w:t>
            </w:r>
          </w:p>
        </w:tc>
        <w:tc>
          <w:tcPr>
            <w:tcW w:type="dxa" w:w="204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5B21B6"/>
                <w:sz w:val="20"/>
                <w:szCs w:val="20"/>
              </w:rPr>
              <w:t xml:space="preserve">Technical Assessment</w:t>
            </w:r>
          </w:p>
        </w:tc>
        <w:tc>
          <w:tcPr>
            <w:tcW w:type="dxa" w:w="364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Test candidates on the actual technical problems they will solve in the role, not abstract textbook exercises.</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4.4</w:t>
            </w:r>
          </w:p>
        </w:tc>
        <w:tc>
          <w:tcPr>
            <w:tcW w:type="dxa" w:w="29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A1628"/>
                <w:sz w:val="20"/>
                <w:szCs w:val="20"/>
              </w:rPr>
              <w:t xml:space="preserve">Workplace Scenario Simulation</w:t>
            </w:r>
          </w:p>
        </w:tc>
        <w:tc>
          <w:tcPr>
            <w:tcW w:type="dxa" w:w="204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5B21B6"/>
                <w:sz w:val="20"/>
                <w:szCs w:val="20"/>
              </w:rPr>
              <w:t xml:space="preserve">Situational Judgment</w:t>
            </w:r>
          </w:p>
        </w:tc>
        <w:tc>
          <w:tcPr>
            <w:tcW w:type="dxa" w:w="364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Evaluate how candidates navigate real workplace situations, conflicts, and professional decisions.</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4.5</w:t>
            </w:r>
          </w:p>
        </w:tc>
        <w:tc>
          <w:tcPr>
            <w:tcW w:type="dxa" w:w="29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A1628"/>
                <w:sz w:val="20"/>
                <w:szCs w:val="20"/>
              </w:rPr>
              <w:t xml:space="preserve">Team Collaboration Simulation</w:t>
            </w:r>
          </w:p>
        </w:tc>
        <w:tc>
          <w:tcPr>
            <w:tcW w:type="dxa" w:w="204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5B21B6"/>
                <w:sz w:val="20"/>
                <w:szCs w:val="20"/>
              </w:rPr>
              <w:t xml:space="preserve">Interpersonal Dynamics</w:t>
            </w:r>
          </w:p>
        </w:tc>
        <w:tc>
          <w:tcPr>
            <w:tcW w:type="dxa" w:w="364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Assess how candidates function as team members within a structured collaborative simulation.</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4.6</w:t>
            </w:r>
          </w:p>
        </w:tc>
        <w:tc>
          <w:tcPr>
            <w:tcW w:type="dxa" w:w="29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A1628"/>
                <w:sz w:val="20"/>
                <w:szCs w:val="20"/>
              </w:rPr>
              <w:t xml:space="preserve">Stress Handling Evaluation</w:t>
            </w:r>
          </w:p>
        </w:tc>
        <w:tc>
          <w:tcPr>
            <w:tcW w:type="dxa" w:w="204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5B21B6"/>
                <w:sz w:val="20"/>
                <w:szCs w:val="20"/>
              </w:rPr>
              <w:t xml:space="preserve">Resilience &amp; Pressure Response</w:t>
            </w:r>
          </w:p>
        </w:tc>
        <w:tc>
          <w:tcPr>
            <w:tcW w:type="dxa" w:w="364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Measure how candidates perform and maintain decision quality when operating under deliberate pressure.</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4.7</w:t>
            </w:r>
          </w:p>
        </w:tc>
        <w:tc>
          <w:tcPr>
            <w:tcW w:type="dxa" w:w="29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A1628"/>
                <w:sz w:val="20"/>
                <w:szCs w:val="20"/>
              </w:rPr>
              <w:t xml:space="preserve">Time Management Simulation</w:t>
            </w:r>
          </w:p>
        </w:tc>
        <w:tc>
          <w:tcPr>
            <w:tcW w:type="dxa" w:w="204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5B21B6"/>
                <w:sz w:val="20"/>
                <w:szCs w:val="20"/>
              </w:rPr>
              <w:t xml:space="preserve">Execution &amp; Organisation</w:t>
            </w:r>
          </w:p>
        </w:tc>
        <w:tc>
          <w:tcPr>
            <w:tcW w:type="dxa" w:w="364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Evaluate how candidates plan, prioritise, and allocate time across a realistic work day.</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4.8</w:t>
            </w:r>
          </w:p>
        </w:tc>
        <w:tc>
          <w:tcPr>
            <w:tcW w:type="dxa" w:w="29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A1628"/>
                <w:sz w:val="20"/>
                <w:szCs w:val="20"/>
              </w:rPr>
              <w:t xml:space="preserve">Role Readiness Scoring</w:t>
            </w:r>
          </w:p>
        </w:tc>
        <w:tc>
          <w:tcPr>
            <w:tcW w:type="dxa" w:w="204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5B21B6"/>
                <w:sz w:val="20"/>
                <w:szCs w:val="20"/>
              </w:rPr>
              <w:t xml:space="preserve">Composite Evaluation</w:t>
            </w:r>
          </w:p>
        </w:tc>
        <w:tc>
          <w:tcPr>
            <w:tcW w:type="dxa" w:w="364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Produce a single, comprehensive, explainable readiness score for the candidate-role fit.</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4.9</w:t>
            </w:r>
          </w:p>
        </w:tc>
        <w:tc>
          <w:tcPr>
            <w:tcW w:type="dxa" w:w="29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A1628"/>
                <w:sz w:val="20"/>
                <w:szCs w:val="20"/>
              </w:rPr>
              <w:t xml:space="preserve">Career Path Projection</w:t>
            </w:r>
          </w:p>
        </w:tc>
        <w:tc>
          <w:tcPr>
            <w:tcW w:type="dxa" w:w="204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5B21B6"/>
                <w:sz w:val="20"/>
                <w:szCs w:val="20"/>
              </w:rPr>
              <w:t xml:space="preserve">Predictive Analytics</w:t>
            </w:r>
          </w:p>
        </w:tc>
        <w:tc>
          <w:tcPr>
            <w:tcW w:type="dxa" w:w="364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Model the likely trajectory of a candidate's career within the company based on simulation performance.</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4.10</w:t>
            </w:r>
          </w:p>
        </w:tc>
        <w:tc>
          <w:tcPr>
            <w:tcW w:type="dxa" w:w="29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A1628"/>
                <w:sz w:val="20"/>
                <w:szCs w:val="20"/>
              </w:rPr>
              <w:t xml:space="preserve">Industry Role Comparison</w:t>
            </w:r>
          </w:p>
        </w:tc>
        <w:tc>
          <w:tcPr>
            <w:tcW w:type="dxa" w:w="204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5B21B6"/>
                <w:sz w:val="20"/>
                <w:szCs w:val="20"/>
              </w:rPr>
              <w:t xml:space="preserve">Benchmarking Intelligence</w:t>
            </w:r>
          </w:p>
        </w:tc>
        <w:tc>
          <w:tcPr>
            <w:tcW w:type="dxa" w:w="364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Contextualise a candidate's simulation performance against role-equivalent professionals across the industry.</w:t>
            </w:r>
          </w:p>
        </w:tc>
      </w:tr>
    </w:tbl>
    <w:p>
      <w:r>
        <w:br w:type="page"/>
      </w:r>
    </w:p>
    <w:p>
      <w:pPr>
        <w:spacing w:before="100" w:after="80"/>
      </w:pPr>
      <w:r>
        <w:rPr>
          <w:rFonts w:ascii="Arial" w:cs="Arial" w:eastAsia="Arial" w:hAnsi="Arial"/>
          <w:b/>
          <w:bCs/>
          <w:color w:val="6B7280"/>
          <w:sz w:val="30"/>
          <w:szCs w:val="30"/>
        </w:rPr>
        <w:t xml:space="preserve">Feature 4.1  </w:t>
      </w:r>
      <w:r>
        <w:rPr>
          <w:rFonts w:ascii="Arial" w:cs="Arial" w:eastAsia="Arial" w:hAnsi="Arial"/>
          <w:b/>
          <w:bCs/>
          <w:color w:val="0A1628"/>
          <w:sz w:val="30"/>
          <w:szCs w:val="30"/>
        </w:rPr>
        <w:t xml:space="preserve">Virtual Job Role Simulation</w:t>
      </w:r>
    </w:p>
    <w:p>
      <w:pPr>
        <w:spacing w:before="0" w:after="60"/>
      </w:pPr>
      <w:r>
        <w:rPr>
          <w:rFonts w:ascii="Arial" w:cs="Arial" w:eastAsia="Arial" w:hAnsi="Arial"/>
          <w:b/>
          <w:bCs/>
          <w:color w:val="5B21B6"/>
          <w:sz w:val="21"/>
          <w:szCs w:val="21"/>
        </w:rPr>
        <w:t xml:space="preserve">Category:  </w:t>
      </w:r>
      <w:r>
        <w:rPr>
          <w:rFonts w:ascii="Arial" w:cs="Arial" w:eastAsia="Arial" w:hAnsi="Arial"/>
          <w:color w:val="374151"/>
          <w:sz w:val="21"/>
          <w:szCs w:val="21"/>
        </w:rPr>
        <w:t xml:space="preserve">Role Immersion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0"/>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D4ED8"/>
                <w:sz w:val="20"/>
                <w:szCs w:val="20"/>
              </w:rPr>
              <w:t xml:space="preserve">Purpose:  </w:t>
            </w:r>
            <w:r>
              <w:rPr>
                <w:rFonts w:ascii="Arial" w:cs="Arial" w:eastAsia="Arial" w:hAnsi="Arial"/>
                <w:color w:val="374151"/>
                <w:sz w:val="20"/>
                <w:szCs w:val="20"/>
              </w:rPr>
              <w:t xml:space="preserve">Immerse candidates in an accurate digital replica of the target job role before hiring.</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10"/>
              <w:bottom w:val="single" w:color="BFDBFE" w:sz="1"/>
              <w:right w:val="single" w:color="BFDBFE" w:sz="1"/>
            </w:tcBorders>
            <w:shd w:fill="EDE9FE" w:val="clear"/>
            <w:tcMar>
              <w:top w:type="dxa" w:w="120"/>
              <w:left w:type="dxa" w:w="200"/>
              <w:bottom w:type="dxa" w:w="120"/>
              <w:right w:type="dxa" w:w="160"/>
            </w:tcMar>
          </w:tcPr>
          <w:p>
            <w:r>
              <w:rPr>
                <w:rFonts w:ascii="Arial" w:cs="Arial" w:eastAsia="Arial" w:hAnsi="Arial"/>
                <w:b/>
                <w:bCs/>
                <w:color w:val="5B21B6"/>
                <w:sz w:val="20"/>
                <w:szCs w:val="20"/>
              </w:rPr>
              <w:t xml:space="preserve">Design Principle:  </w:t>
            </w:r>
            <w:r>
              <w:rPr>
                <w:rFonts w:ascii="Arial" w:cs="Arial" w:eastAsia="Arial" w:hAnsi="Arial"/>
                <w:color w:val="374151"/>
                <w:sz w:val="20"/>
                <w:szCs w:val="20"/>
              </w:rPr>
              <w:t xml:space="preserve">Let candidates experience the role before accepting the offer — and recruiters observe before committing.</w:t>
            </w:r>
          </w:p>
        </w:tc>
      </w:tr>
    </w:tbl>
    <w:p>
      <w:pPr>
        <w:spacing w:before="120" w:after="0"/>
      </w:pPr>
      <w:r>
        <w:t xml:space="preserve"/>
      </w:r>
    </w:p>
    <w:p>
      <w:pPr>
        <w:pStyle w:val="Heading2"/>
        <w:spacing w:before="240" w:after="80"/>
      </w:pPr>
      <w:r>
        <w:rPr>
          <w:rFonts w:ascii="Arial" w:cs="Arial" w:eastAsia="Arial" w:hAnsi="Arial"/>
          <w:b/>
          <w:bCs/>
          <w:color w:val="0F2D6B"/>
          <w:sz w:val="25"/>
          <w:szCs w:val="25"/>
        </w:rPr>
        <w:t xml:space="preserve">Overview</w:t>
      </w:r>
    </w:p>
    <w:p>
      <w:pPr>
        <w:spacing w:before="0" w:after="150"/>
      </w:pPr>
      <w:r>
        <w:rPr>
          <w:rFonts w:ascii="Arial" w:cs="Arial" w:eastAsia="Arial" w:hAnsi="Arial"/>
          <w:color w:val="374151"/>
          <w:sz w:val="21"/>
          <w:szCs w:val="21"/>
        </w:rPr>
        <w:t xml:space="preserve">Virtual Job Role Simulation is the foundational feature of the AI Career Simulation Engine. It constructs a fully contextualised, AI-driven digital environment that replicates the day-to-day reality of a specific job role — the tools used, the workflows followed, the stakeholders interacted with, and the decisions made. The simulation is not a test or an assessment in the traditional sense; it is an immersive role preview that simultaneously evaluates the candidate's natural fit with the role's operating demands.</w:t>
      </w:r>
    </w:p>
    <w:p>
      <w:pPr>
        <w:pStyle w:val="Heading2"/>
        <w:spacing w:before="240" w:after="80"/>
      </w:pPr>
      <w:r>
        <w:rPr>
          <w:rFonts w:ascii="Arial" w:cs="Arial" w:eastAsia="Arial" w:hAnsi="Arial"/>
          <w:b/>
          <w:bCs/>
          <w:color w:val="0F2D6B"/>
          <w:sz w:val="25"/>
          <w:szCs w:val="25"/>
        </w:rPr>
        <w:t xml:space="preserve">Detailed Description</w:t>
      </w:r>
    </w:p>
    <w:p>
      <w:pPr>
        <w:spacing w:before="0" w:after="150"/>
      </w:pPr>
      <w:r>
        <w:rPr>
          <w:rFonts w:ascii="Arial" w:cs="Arial" w:eastAsia="Arial" w:hAnsi="Arial"/>
          <w:color w:val="374151"/>
          <w:sz w:val="21"/>
          <w:szCs w:val="21"/>
        </w:rPr>
        <w:t xml:space="preserve">Each simulation is built on a Role Blueprint — a structured definition of the job role compiled from three sources. The first source is the hiring company's own job description and internal role specification, uploaded by the recruiter. The second source is EcoSkiller's Role Intelligence Database, which aggregates anonymised performance and workflow data from thousands of professionals currently working in the same or similar roles. The third source is industry research data on role expectations, productivity patterns, and common challenges for the position. The Role Blueprint is synthesised by the platform's AI model and presented to the recruiter for review and customisation before the simulation is activated.</w:t>
      </w:r>
    </w:p>
    <w:p>
      <w:pPr>
        <w:spacing w:before="0" w:after="150"/>
      </w:pPr>
      <w:r>
        <w:rPr>
          <w:rFonts w:ascii="Arial" w:cs="Arial" w:eastAsia="Arial" w:hAnsi="Arial"/>
          <w:color w:val="374151"/>
          <w:sz w:val="21"/>
          <w:szCs w:val="21"/>
        </w:rPr>
        <w:t xml:space="preserve">The simulation environment is delivered through an interactive web-based interface that presents the candidate with a simulated work context — a virtual inbox, a project dashboard, a simulated communication channel, and a task queue. The candidate navigates this environment for a defined duration (typically 45–90 minutes) and makes decisions, completes tasks, responds to communications, and manages priorities exactly as they would in the actual role. The environment is adaptive: the AI adjusts the complexity and type of challenges based on the candidate's responses as the simulation progresses.</w:t>
      </w:r>
    </w:p>
    <w:p>
      <w:pPr>
        <w:spacing w:before="0" w:after="150"/>
      </w:pPr>
      <w:r>
        <w:rPr>
          <w:rFonts w:ascii="Arial" w:cs="Arial" w:eastAsia="Arial" w:hAnsi="Arial"/>
          <w:color w:val="374151"/>
          <w:sz w:val="21"/>
          <w:szCs w:val="21"/>
        </w:rPr>
        <w:t xml:space="preserve">Role simulations are available for 120+ job roles across 15 industry verticals, with new roles added monthly. For roles not yet in the library, recruiters can use the Custom Role Builder to define simulation parameters, task categories, and evaluation criteria from scratch. Each simulation session is fully recorded and translated into a structured Simulation Report, which the recruiter can review after the session — watching a timestamped replay of every decision the candidate made.</w:t>
      </w:r>
    </w:p>
    <w:p>
      <w:pPr>
        <w:pStyle w:val="Heading2"/>
        <w:spacing w:before="240" w:after="80"/>
      </w:pPr>
      <w:r>
        <w:rPr>
          <w:rFonts w:ascii="Arial" w:cs="Arial" w:eastAsia="Arial" w:hAnsi="Arial"/>
          <w:b/>
          <w:bCs/>
          <w:color w:val="0F2D6B"/>
          <w:sz w:val="25"/>
          <w:szCs w:val="25"/>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Parameter</w:t>
            </w:r>
          </w:p>
        </w:tc>
        <w:tc>
          <w:tcPr>
            <w:tcW w:type="dxa" w:w="65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Specification</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Role Library</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120+ pre-built roles across 15 industry verticals</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Custom Role Builder</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Recruiter-configurable simulation for non-library roles</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Session Duration</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45 / 60 / 90 minute configurable simulation windows</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Environment</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Browser-native — no installation; virtual inbox, dashboard, task queue</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AI Adaptivity</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Simulation difficulty adjusts in real-time based on candidate responses</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Session Recording</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Full timestamped replay available for recruiter post-session review</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Role Blueprint</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Synthesised from job description, industry data, and EcoSkiller role database</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Candidate Briefing</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Pre-simulation role context document provided to candidate</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Use Case Examples</w:t>
      </w:r>
    </w:p>
    <w:p>
      <w:pPr>
        <w:pStyle w:val="ListParagraph"/>
        <w:numPr>
          <w:ilvl w:val="0"/>
          <w:numId w:val="2"/>
        </w:numPr>
        <w:spacing w:before="44" w:after="44"/>
      </w:pPr>
      <w:r>
        <w:rPr>
          <w:rFonts w:ascii="Arial" w:cs="Arial" w:eastAsia="Arial" w:hAnsi="Arial"/>
          <w:color w:val="374151"/>
          <w:sz w:val="21"/>
          <w:szCs w:val="21"/>
        </w:rPr>
        <w:t xml:space="preserve">A fintech company activates the 'Junior Backend Engineer — FinTech' simulation for 40 candidates. Each candidate spends 60 minutes in a virtual sprint environment, prioritising tasks from a simulated Jira board and responding to a product manager's Slack messages. The recruiter shortlists the top 12 based on Simulation Reports without a single screening call.</w:t>
      </w:r>
    </w:p>
    <w:p>
      <w:pPr>
        <w:pStyle w:val="ListParagraph"/>
        <w:numPr>
          <w:ilvl w:val="0"/>
          <w:numId w:val="2"/>
        </w:numPr>
        <w:spacing w:before="44" w:after="44"/>
      </w:pPr>
      <w:r>
        <w:rPr>
          <w:rFonts w:ascii="Arial" w:cs="Arial" w:eastAsia="Arial" w:hAnsi="Arial"/>
          <w:color w:val="374151"/>
          <w:sz w:val="21"/>
          <w:szCs w:val="21"/>
        </w:rPr>
        <w:t xml:space="preserve">A management consulting firm uses the Custom Role Builder to construct a simulation for a 'Strategy Analyst' role that mirrors their specific internal project workflow — client communication, data synthesis, and slide preparation — rather than using a generic consulting template.</w:t>
      </w:r>
    </w:p>
    <w:p>
      <w:pPr>
        <w:pStyle w:val="ListParagraph"/>
        <w:numPr>
          <w:ilvl w:val="0"/>
          <w:numId w:val="2"/>
        </w:numPr>
        <w:spacing w:before="44" w:after="44"/>
      </w:pPr>
      <w:r>
        <w:rPr>
          <w:rFonts w:ascii="Arial" w:cs="Arial" w:eastAsia="Arial" w:hAnsi="Arial"/>
          <w:color w:val="374151"/>
          <w:sz w:val="21"/>
          <w:szCs w:val="21"/>
        </w:rPr>
        <w:t xml:space="preserve">A candidate uses the simulation as a role preview before accepting an offer — the experience confirms that the day-to-day work aligns with their expectations, reducing post-hire regret and early attrition.</w:t>
      </w:r>
    </w:p>
    <w:p>
      <w:pPr>
        <w:spacing w:before="80" w:after="0"/>
      </w:pPr>
      <w:r>
        <w:t xml:space="preserve"/>
      </w:r>
    </w:p>
    <w:p>
      <w:pPr>
        <w:pBdr>
          <w:bottom w:val="single" w:color="1D4ED8" w:sz="3" w:space="1"/>
        </w:pBdr>
        <w:spacing w:before="80" w:after="80"/>
      </w:pPr>
      <w:r>
        <w:t xml:space="preserve"/>
      </w:r>
    </w:p>
    <w:p>
      <w:pPr>
        <w:spacing w:before="40" w:after="0"/>
      </w:pPr>
      <w:r>
        <w:t xml:space="preserve"/>
      </w:r>
    </w:p>
    <w:p>
      <w:pPr>
        <w:spacing w:before="100" w:after="80"/>
      </w:pPr>
      <w:r>
        <w:rPr>
          <w:rFonts w:ascii="Arial" w:cs="Arial" w:eastAsia="Arial" w:hAnsi="Arial"/>
          <w:b/>
          <w:bCs/>
          <w:color w:val="6B7280"/>
          <w:sz w:val="30"/>
          <w:szCs w:val="30"/>
        </w:rPr>
        <w:t xml:space="preserve">Feature 4.2  </w:t>
      </w:r>
      <w:r>
        <w:rPr>
          <w:rFonts w:ascii="Arial" w:cs="Arial" w:eastAsia="Arial" w:hAnsi="Arial"/>
          <w:b/>
          <w:bCs/>
          <w:color w:val="0A1628"/>
          <w:sz w:val="30"/>
          <w:szCs w:val="30"/>
        </w:rPr>
        <w:t xml:space="preserve">Task-Based Performance Simulation</w:t>
      </w:r>
    </w:p>
    <w:p>
      <w:pPr>
        <w:spacing w:before="0" w:after="60"/>
      </w:pPr>
      <w:r>
        <w:rPr>
          <w:rFonts w:ascii="Arial" w:cs="Arial" w:eastAsia="Arial" w:hAnsi="Arial"/>
          <w:b/>
          <w:bCs/>
          <w:color w:val="5B21B6"/>
          <w:sz w:val="21"/>
          <w:szCs w:val="21"/>
        </w:rPr>
        <w:t xml:space="preserve">Category:  </w:t>
      </w:r>
      <w:r>
        <w:rPr>
          <w:rFonts w:ascii="Arial" w:cs="Arial" w:eastAsia="Arial" w:hAnsi="Arial"/>
          <w:color w:val="374151"/>
          <w:sz w:val="21"/>
          <w:szCs w:val="21"/>
        </w:rPr>
        <w:t xml:space="preserve">Performance Evaluation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0"/>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D4ED8"/>
                <w:sz w:val="20"/>
                <w:szCs w:val="20"/>
              </w:rPr>
              <w:t xml:space="preserve">Purpose:  </w:t>
            </w:r>
            <w:r>
              <w:rPr>
                <w:rFonts w:ascii="Arial" w:cs="Arial" w:eastAsia="Arial" w:hAnsi="Arial"/>
                <w:color w:val="374151"/>
                <w:sz w:val="20"/>
                <w:szCs w:val="20"/>
              </w:rPr>
              <w:t xml:space="preserve">Evaluate how candidates actually execute job-relevant tasks under realistic working conditions.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10"/>
              <w:bottom w:val="single" w:color="BFDBFE" w:sz="1"/>
              <w:right w:val="single" w:color="BFDBFE" w:sz="1"/>
            </w:tcBorders>
            <w:shd w:fill="EDE9FE" w:val="clear"/>
            <w:tcMar>
              <w:top w:type="dxa" w:w="120"/>
              <w:left w:type="dxa" w:w="200"/>
              <w:bottom w:type="dxa" w:w="120"/>
              <w:right w:type="dxa" w:w="160"/>
            </w:tcMar>
          </w:tcPr>
          <w:p>
            <w:r>
              <w:rPr>
                <w:rFonts w:ascii="Arial" w:cs="Arial" w:eastAsia="Arial" w:hAnsi="Arial"/>
                <w:b/>
                <w:bCs/>
                <w:color w:val="5B21B6"/>
                <w:sz w:val="20"/>
                <w:szCs w:val="20"/>
              </w:rPr>
              <w:t xml:space="preserve">Design Principle:  </w:t>
            </w:r>
            <w:r>
              <w:rPr>
                <w:rFonts w:ascii="Arial" w:cs="Arial" w:eastAsia="Arial" w:hAnsi="Arial"/>
                <w:color w:val="374151"/>
                <w:sz w:val="20"/>
                <w:szCs w:val="20"/>
              </w:rPr>
              <w:t xml:space="preserve">Performance under authentic task conditions is the most direct predictor of on-the-job output quality.</w:t>
            </w:r>
          </w:p>
        </w:tc>
      </w:tr>
    </w:tbl>
    <w:p>
      <w:pPr>
        <w:spacing w:before="120" w:after="0"/>
      </w:pPr>
      <w:r>
        <w:t xml:space="preserve"/>
      </w:r>
    </w:p>
    <w:p>
      <w:pPr>
        <w:pStyle w:val="Heading2"/>
        <w:spacing w:before="240" w:after="80"/>
      </w:pPr>
      <w:r>
        <w:rPr>
          <w:rFonts w:ascii="Arial" w:cs="Arial" w:eastAsia="Arial" w:hAnsi="Arial"/>
          <w:b/>
          <w:bCs/>
          <w:color w:val="0F2D6B"/>
          <w:sz w:val="25"/>
          <w:szCs w:val="25"/>
        </w:rPr>
        <w:t xml:space="preserve">Overview</w:t>
      </w:r>
    </w:p>
    <w:p>
      <w:pPr>
        <w:spacing w:before="0" w:after="150"/>
      </w:pPr>
      <w:r>
        <w:rPr>
          <w:rFonts w:ascii="Arial" w:cs="Arial" w:eastAsia="Arial" w:hAnsi="Arial"/>
          <w:color w:val="374151"/>
          <w:sz w:val="21"/>
          <w:szCs w:val="21"/>
        </w:rPr>
        <w:t xml:space="preserve">Task-Based Performance Simulation moves beyond the broad role immersion of Feature 4.1 to deliver a granular, task-level evaluation of candidate execution quality. It presents candidates with specific, representative tasks drawn from the target role and evaluates not just whether the task was completed, but how it was approached, how long it took, how many iterations were required, and how accurately the output meets professional standards.</w:t>
      </w:r>
    </w:p>
    <w:p>
      <w:pPr>
        <w:pStyle w:val="Heading2"/>
        <w:spacing w:before="240" w:after="80"/>
      </w:pPr>
      <w:r>
        <w:rPr>
          <w:rFonts w:ascii="Arial" w:cs="Arial" w:eastAsia="Arial" w:hAnsi="Arial"/>
          <w:b/>
          <w:bCs/>
          <w:color w:val="0F2D6B"/>
          <w:sz w:val="25"/>
          <w:szCs w:val="25"/>
        </w:rPr>
        <w:t xml:space="preserve">Detailed Description</w:t>
      </w:r>
    </w:p>
    <w:p>
      <w:pPr>
        <w:spacing w:before="0" w:after="150"/>
      </w:pPr>
      <w:r>
        <w:rPr>
          <w:rFonts w:ascii="Arial" w:cs="Arial" w:eastAsia="Arial" w:hAnsi="Arial"/>
          <w:color w:val="374151"/>
          <w:sz w:val="21"/>
          <w:szCs w:val="21"/>
        </w:rPr>
        <w:t xml:space="preserve">The Task Library contains 2,000+ job-specific tasks spanning 15 role categories. Tasks are classified on two axes: Role Specificity (how closely the task maps to a specific job function) and Complexity Tier (from routine execution tasks to complex multi-step problem-solving tasks requiring synthesis and judgment). For each simulation, the AI selects a task sequence that covers the role's key performance dimensions — typically 4–8 tasks per session depending on complexity.</w:t>
      </w:r>
    </w:p>
    <w:p>
      <w:pPr>
        <w:spacing w:before="0" w:after="150"/>
      </w:pPr>
      <w:r>
        <w:rPr>
          <w:rFonts w:ascii="Arial" w:cs="Arial" w:eastAsia="Arial" w:hAnsi="Arial"/>
          <w:color w:val="374151"/>
          <w:sz w:val="21"/>
          <w:szCs w:val="21"/>
        </w:rPr>
        <w:t xml:space="preserve">Tasks are authentic reproductions of real work output expectations. A copywriter candidate is given a brief and produces a draft. A data analyst candidate is given a dataset and a business question and produces an analysis. A backend developer candidate is given a feature specification and implements it in a sandboxed code environment. Each task is evaluated by the AI engine against a Task Evaluation Rubric — a structured set of quality dimensions specific to that task type, calibrated against the outputs of verified high-performers in the same role.</w:t>
      </w:r>
    </w:p>
    <w:p>
      <w:pPr>
        <w:spacing w:before="0" w:after="150"/>
      </w:pPr>
      <w:r>
        <w:rPr>
          <w:rFonts w:ascii="Arial" w:cs="Arial" w:eastAsia="Arial" w:hAnsi="Arial"/>
          <w:color w:val="374151"/>
          <w:sz w:val="21"/>
          <w:szCs w:val="21"/>
        </w:rPr>
        <w:t xml:space="preserve">Performance is measured across four dimensions for every task: Output Quality (does the product of the task meet professional standards?), Process Efficiency (how many steps, revisions, and time units did the candidate require?), Decision Quality (were the micro-decisions made during execution sound and aligned with role best practices?), and Error Handling (when errors or blockers occurred, how did the candidate identify and resolve them?). The aggregate across all tasks produces the Task-Based Performance Score.</w:t>
      </w:r>
    </w:p>
    <w:p>
      <w:pPr>
        <w:pStyle w:val="Heading2"/>
        <w:spacing w:before="240" w:after="80"/>
      </w:pPr>
      <w:r>
        <w:rPr>
          <w:rFonts w:ascii="Arial" w:cs="Arial" w:eastAsia="Arial" w:hAnsi="Arial"/>
          <w:b/>
          <w:bCs/>
          <w:color w:val="0F2D6B"/>
          <w:sz w:val="25"/>
          <w:szCs w:val="25"/>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Parameter</w:t>
            </w:r>
          </w:p>
        </w:tc>
        <w:tc>
          <w:tcPr>
            <w:tcW w:type="dxa" w:w="65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Specification</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Task Library</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2,000+ tasks across 15 role categories, 4 complexity tiers</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Session Task Count</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4–8 tasks per simulation session (AI-selected based on role)</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Evaluation Rubric</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Task-specific rubric calibrated to high-performer output benchmarks</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Task Environment</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Code sandbox / document editor / data workbench / communication simulator</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Output Dimensions</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Quality, Process Efficiency, Decision Quality, Error Handling</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Revision Tracking</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All edits, revisions, and changes logged with timestamps</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AI Feedback</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Post-task AI-generated performance feedback visible to candidate</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Benchmark Comparison</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Candidate output compared to high-performer benchmark for same task</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Performance Score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Signal / Dimension</w:t>
            </w:r>
          </w:p>
        </w:tc>
        <w:tc>
          <w:tcPr>
            <w:tcW w:type="dxa" w:w="14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Weight</w:t>
            </w:r>
          </w:p>
        </w:tc>
        <w:tc>
          <w:tcPr>
            <w:tcW w:type="dxa" w:w="476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What It Measures</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Output Quality</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30%</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Accuracy, completeness, and professional standard of task output</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Process Efficiency</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25%</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Time taken, steps required, and revision count relative to benchmark</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Decision Quality</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25%</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Soundness of micro-decisions made during task execution</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Error Handling</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20%</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Speed and quality of identifying and resolving errors or blockers</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Use Case Examples</w:t>
      </w:r>
    </w:p>
    <w:p>
      <w:pPr>
        <w:pStyle w:val="ListParagraph"/>
        <w:numPr>
          <w:ilvl w:val="0"/>
          <w:numId w:val="2"/>
        </w:numPr>
        <w:spacing w:before="44" w:after="44"/>
      </w:pPr>
      <w:r>
        <w:rPr>
          <w:rFonts w:ascii="Arial" w:cs="Arial" w:eastAsia="Arial" w:hAnsi="Arial"/>
          <w:color w:val="374151"/>
          <w:sz w:val="21"/>
          <w:szCs w:val="21"/>
        </w:rPr>
        <w:t xml:space="preserve">A recruiter for a data analyst role assigns a 5-task simulation including SQL query writing, chart interpretation, and a business recommendation memo. The platform evaluates each output against high-performer benchmarks and produces a ranked shortlist automatically.</w:t>
      </w:r>
    </w:p>
    <w:p>
      <w:pPr>
        <w:pStyle w:val="ListParagraph"/>
        <w:numPr>
          <w:ilvl w:val="0"/>
          <w:numId w:val="2"/>
        </w:numPr>
        <w:spacing w:before="44" w:after="44"/>
      </w:pPr>
      <w:r>
        <w:rPr>
          <w:rFonts w:ascii="Arial" w:cs="Arial" w:eastAsia="Arial" w:hAnsi="Arial"/>
          <w:color w:val="374151"/>
          <w:sz w:val="21"/>
          <w:szCs w:val="21"/>
        </w:rPr>
        <w:t xml:space="preserve">A candidate who completes a backend coding task receives post-task AI feedback noting that their solution was functionally correct but used a non-optimal data structure — the feedback is both a performance signal for the recruiter and a learning moment for the candidate.</w:t>
      </w:r>
    </w:p>
    <w:p>
      <w:pPr>
        <w:pStyle w:val="ListParagraph"/>
        <w:numPr>
          <w:ilvl w:val="0"/>
          <w:numId w:val="2"/>
        </w:numPr>
        <w:spacing w:before="44" w:after="44"/>
      </w:pPr>
      <w:r>
        <w:rPr>
          <w:rFonts w:ascii="Arial" w:cs="Arial" w:eastAsia="Arial" w:hAnsi="Arial"/>
          <w:color w:val="374151"/>
          <w:sz w:val="21"/>
          <w:szCs w:val="21"/>
        </w:rPr>
        <w:t xml:space="preserve">A legal team uses Task-Based Simulation to evaluate contract review speed and accuracy — tasks include identifying errors in draft contracts and flagging non-standard clauses. The AI rubric is calibrated against the firm's senior associates' performance.</w:t>
      </w:r>
    </w:p>
    <w:p>
      <w:pPr>
        <w:spacing w:before="80" w:after="0"/>
      </w:pPr>
      <w:r>
        <w:t xml:space="preserve"/>
      </w:r>
    </w:p>
    <w:p>
      <w:pPr>
        <w:pBdr>
          <w:bottom w:val="single" w:color="1D4ED8" w:sz="3" w:space="1"/>
        </w:pBdr>
        <w:spacing w:before="80" w:after="80"/>
      </w:pPr>
      <w:r>
        <w:t xml:space="preserve"/>
      </w:r>
    </w:p>
    <w:p>
      <w:pPr>
        <w:spacing w:before="40" w:after="0"/>
      </w:pPr>
      <w:r>
        <w:t xml:space="preserve"/>
      </w:r>
    </w:p>
    <w:p>
      <w:pPr>
        <w:spacing w:before="100" w:after="80"/>
      </w:pPr>
      <w:r>
        <w:rPr>
          <w:rFonts w:ascii="Arial" w:cs="Arial" w:eastAsia="Arial" w:hAnsi="Arial"/>
          <w:b/>
          <w:bCs/>
          <w:color w:val="6B7280"/>
          <w:sz w:val="30"/>
          <w:szCs w:val="30"/>
        </w:rPr>
        <w:t xml:space="preserve">Feature 4.3  </w:t>
      </w:r>
      <w:r>
        <w:rPr>
          <w:rFonts w:ascii="Arial" w:cs="Arial" w:eastAsia="Arial" w:hAnsi="Arial"/>
          <w:b/>
          <w:bCs/>
          <w:color w:val="0A1628"/>
          <w:sz w:val="30"/>
          <w:szCs w:val="30"/>
        </w:rPr>
        <w:t xml:space="preserve">Real-World Technical Challenge Simulation</w:t>
      </w:r>
    </w:p>
    <w:p>
      <w:pPr>
        <w:spacing w:before="0" w:after="60"/>
      </w:pPr>
      <w:r>
        <w:rPr>
          <w:rFonts w:ascii="Arial" w:cs="Arial" w:eastAsia="Arial" w:hAnsi="Arial"/>
          <w:b/>
          <w:bCs/>
          <w:color w:val="5B21B6"/>
          <w:sz w:val="21"/>
          <w:szCs w:val="21"/>
        </w:rPr>
        <w:t xml:space="preserve">Category:  </w:t>
      </w:r>
      <w:r>
        <w:rPr>
          <w:rFonts w:ascii="Arial" w:cs="Arial" w:eastAsia="Arial" w:hAnsi="Arial"/>
          <w:color w:val="374151"/>
          <w:sz w:val="21"/>
          <w:szCs w:val="21"/>
        </w:rPr>
        <w:t xml:space="preserve">Technical Assessment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0"/>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D4ED8"/>
                <w:sz w:val="20"/>
                <w:szCs w:val="20"/>
              </w:rPr>
              <w:t xml:space="preserve">Purpose:  </w:t>
            </w:r>
            <w:r>
              <w:rPr>
                <w:rFonts w:ascii="Arial" w:cs="Arial" w:eastAsia="Arial" w:hAnsi="Arial"/>
                <w:color w:val="374151"/>
                <w:sz w:val="20"/>
                <w:szCs w:val="20"/>
              </w:rPr>
              <w:t xml:space="preserve">Test candidates on the actual technical problems they will solve in the role, not abstract textbook exercises.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10"/>
              <w:bottom w:val="single" w:color="BFDBFE" w:sz="1"/>
              <w:right w:val="single" w:color="BFDBFE" w:sz="1"/>
            </w:tcBorders>
            <w:shd w:fill="EDE9FE" w:val="clear"/>
            <w:tcMar>
              <w:top w:type="dxa" w:w="120"/>
              <w:left w:type="dxa" w:w="200"/>
              <w:bottom w:type="dxa" w:w="120"/>
              <w:right w:type="dxa" w:w="160"/>
            </w:tcMar>
          </w:tcPr>
          <w:p>
            <w:r>
              <w:rPr>
                <w:rFonts w:ascii="Arial" w:cs="Arial" w:eastAsia="Arial" w:hAnsi="Arial"/>
                <w:b/>
                <w:bCs/>
                <w:color w:val="5B21B6"/>
                <w:sz w:val="20"/>
                <w:szCs w:val="20"/>
              </w:rPr>
              <w:t xml:space="preserve">Design Principle:  </w:t>
            </w:r>
            <w:r>
              <w:rPr>
                <w:rFonts w:ascii="Arial" w:cs="Arial" w:eastAsia="Arial" w:hAnsi="Arial"/>
                <w:color w:val="374151"/>
                <w:sz w:val="20"/>
                <w:szCs w:val="20"/>
              </w:rPr>
              <w:t xml:space="preserve">Replacing algorithm puzzles with the real technical challenges the role demands.</w:t>
            </w:r>
          </w:p>
        </w:tc>
      </w:tr>
    </w:tbl>
    <w:p>
      <w:pPr>
        <w:spacing w:before="120" w:after="0"/>
      </w:pPr>
      <w:r>
        <w:t xml:space="preserve"/>
      </w:r>
    </w:p>
    <w:p>
      <w:pPr>
        <w:pStyle w:val="Heading2"/>
        <w:spacing w:before="240" w:after="80"/>
      </w:pPr>
      <w:r>
        <w:rPr>
          <w:rFonts w:ascii="Arial" w:cs="Arial" w:eastAsia="Arial" w:hAnsi="Arial"/>
          <w:b/>
          <w:bCs/>
          <w:color w:val="0F2D6B"/>
          <w:sz w:val="25"/>
          <w:szCs w:val="25"/>
        </w:rPr>
        <w:t xml:space="preserve">Overview</w:t>
      </w:r>
    </w:p>
    <w:p>
      <w:pPr>
        <w:spacing w:before="0" w:after="150"/>
      </w:pPr>
      <w:r>
        <w:rPr>
          <w:rFonts w:ascii="Arial" w:cs="Arial" w:eastAsia="Arial" w:hAnsi="Arial"/>
          <w:color w:val="374151"/>
          <w:sz w:val="21"/>
          <w:szCs w:val="21"/>
        </w:rPr>
        <w:t xml:space="preserve">Real-World Technical Challenge Simulation replaces traditional algorithmic coding assessments with contextualised technical challenges sourced directly from the types of engineering and technical problems that the role actually requires solving. The premise is that a candidate who excels at abstract data structure puzzles may still struggle with production-grade system design, codebase navigation, debugging unfamiliar code, or writing maintainable, tested software — all of which are real job requirements.</w:t>
      </w:r>
    </w:p>
    <w:p>
      <w:pPr>
        <w:pStyle w:val="Heading2"/>
        <w:spacing w:before="240" w:after="80"/>
      </w:pPr>
      <w:r>
        <w:rPr>
          <w:rFonts w:ascii="Arial" w:cs="Arial" w:eastAsia="Arial" w:hAnsi="Arial"/>
          <w:b/>
          <w:bCs/>
          <w:color w:val="0F2D6B"/>
          <w:sz w:val="25"/>
          <w:szCs w:val="25"/>
        </w:rPr>
        <w:t xml:space="preserve">Detailed Description</w:t>
      </w:r>
    </w:p>
    <w:p>
      <w:pPr>
        <w:spacing w:before="0" w:after="150"/>
      </w:pPr>
      <w:r>
        <w:rPr>
          <w:rFonts w:ascii="Arial" w:cs="Arial" w:eastAsia="Arial" w:hAnsi="Arial"/>
          <w:color w:val="374151"/>
          <w:sz w:val="21"/>
          <w:szCs w:val="21"/>
        </w:rPr>
        <w:t xml:space="preserve">Technical challenges in this simulation are structured in four real-world categories. Production Debugging: candidates are presented with a codebase containing a realistic bug — the kind that surfaces in production rather than a contrived textbook error. They must navigate the code, identify the root cause, and implement a fix within a time window. System Design: candidates receive a product requirement and must design a scalable, maintainable system architecture — evaluated on design decisions, trade-offs articulated, and documentation quality. Feature Implementation: candidates receive an existing codebase and a feature ticket and must implement the feature using appropriate patterns, with full test coverage. Code Review: candidates review a pull request and must identify issues with correctness, performance, security, and maintainability.</w:t>
      </w:r>
    </w:p>
    <w:p>
      <w:pPr>
        <w:spacing w:before="0" w:after="150"/>
      </w:pPr>
      <w:r>
        <w:rPr>
          <w:rFonts w:ascii="Arial" w:cs="Arial" w:eastAsia="Arial" w:hAnsi="Arial"/>
          <w:color w:val="374151"/>
          <w:sz w:val="21"/>
          <w:szCs w:val="21"/>
        </w:rPr>
        <w:t xml:space="preserve">The sandboxed code environment mirrors a real development workspace: it includes a file tree, a code editor with syntax highlighting, terminal access for running tests, and documentation access. Candidates can use their preferred tools within the sandbox — searching documentation, running test suites, checking outputs. This is a deliberate design choice: the ability to effectively use tools and documentation is itself a professional skill being evaluated.</w:t>
      </w:r>
    </w:p>
    <w:p>
      <w:pPr>
        <w:spacing w:before="0" w:after="150"/>
      </w:pPr>
      <w:r>
        <w:rPr>
          <w:rFonts w:ascii="Arial" w:cs="Arial" w:eastAsia="Arial" w:hAnsi="Arial"/>
          <w:color w:val="374151"/>
          <w:sz w:val="21"/>
          <w:szCs w:val="21"/>
        </w:rPr>
        <w:t xml:space="preserve">Technical challenges are indexed to specific technology stacks. A recruiter hiring for a Node.js + AWS + PostgreSQL backend role will only see challenges relevant to that stack. The AI matches challenge selection to the exact tech stack specified in the job's filter configuration, ensuring that the simulation tests the candidate on the technology ecosystem they will actually work in — not a generic substitute.</w:t>
      </w:r>
    </w:p>
    <w:p>
      <w:pPr>
        <w:pStyle w:val="Heading2"/>
        <w:spacing w:before="240" w:after="80"/>
      </w:pPr>
      <w:r>
        <w:rPr>
          <w:rFonts w:ascii="Arial" w:cs="Arial" w:eastAsia="Arial" w:hAnsi="Arial"/>
          <w:b/>
          <w:bCs/>
          <w:color w:val="0F2D6B"/>
          <w:sz w:val="25"/>
          <w:szCs w:val="25"/>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Parameter</w:t>
            </w:r>
          </w:p>
        </w:tc>
        <w:tc>
          <w:tcPr>
            <w:tcW w:type="dxa" w:w="65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Specification</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Challenge Categories</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Production Debug / System Design / Feature Implementation / Code Review</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Sandbox Environment</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Full code editor, terminal, test runner, documentation access</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Stack Matching</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Challenges indexed to specific technology stack of the role</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Difficulty Tiers</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Junior / Mid-Level / Senior / Staff — calibrated to role seniority</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Time Allocation</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Per-challenge time limits configurable by recruiter (30–180 min)</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Tool Usage Logging</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All tool usage, searches, and commands within sandbox are logged</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Test Coverage Eval</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Automated evaluation of test coverage and test quality for code tasks</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Documentation Quality</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System design outputs evaluated for clarity and completeness</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Use Case Examples</w:t>
      </w:r>
    </w:p>
    <w:p>
      <w:pPr>
        <w:pStyle w:val="ListParagraph"/>
        <w:numPr>
          <w:ilvl w:val="0"/>
          <w:numId w:val="2"/>
        </w:numPr>
        <w:spacing w:before="44" w:after="44"/>
      </w:pPr>
      <w:r>
        <w:rPr>
          <w:rFonts w:ascii="Arial" w:cs="Arial" w:eastAsia="Arial" w:hAnsi="Arial"/>
          <w:color w:val="374151"/>
          <w:sz w:val="21"/>
          <w:szCs w:val="21"/>
        </w:rPr>
        <w:t xml:space="preserve">A backend engineering role simulation presents candidates with a Node.js Express application containing a memory leak in a production-representative codebase. Candidates have 45 minutes to identify and resolve the issue — results are far more predictive of real performance than any LeetCode problem.</w:t>
      </w:r>
    </w:p>
    <w:p>
      <w:pPr>
        <w:pStyle w:val="ListParagraph"/>
        <w:numPr>
          <w:ilvl w:val="0"/>
          <w:numId w:val="2"/>
        </w:numPr>
        <w:spacing w:before="44" w:after="44"/>
      </w:pPr>
      <w:r>
        <w:rPr>
          <w:rFonts w:ascii="Arial" w:cs="Arial" w:eastAsia="Arial" w:hAnsi="Arial"/>
          <w:color w:val="374151"/>
          <w:sz w:val="21"/>
          <w:szCs w:val="21"/>
        </w:rPr>
        <w:t xml:space="preserve">A senior architect candidate receives a system design challenge: design a notification delivery system for 10 million daily active users. Their architecture diagram, trade-off documentation, and technology choices are evaluated by the AI against a senior-engineer benchmark rubric.</w:t>
      </w:r>
    </w:p>
    <w:p>
      <w:pPr>
        <w:pStyle w:val="ListParagraph"/>
        <w:numPr>
          <w:ilvl w:val="0"/>
          <w:numId w:val="2"/>
        </w:numPr>
        <w:spacing w:before="44" w:after="44"/>
      </w:pPr>
      <w:r>
        <w:rPr>
          <w:rFonts w:ascii="Arial" w:cs="Arial" w:eastAsia="Arial" w:hAnsi="Arial"/>
          <w:color w:val="374151"/>
          <w:sz w:val="21"/>
          <w:szCs w:val="21"/>
        </w:rPr>
        <w:t xml:space="preserve">A frontend developer candidate receives a React codebase pull request with 12 identified issues — they must review the PR and leave structured comments identifying correctness, accessibility, and performance concerns. The review quality is evaluated against senior developer standards.</w:t>
      </w:r>
    </w:p>
    <w:p>
      <w:pPr>
        <w:spacing w:before="80" w:after="0"/>
      </w:pPr>
      <w:r>
        <w:t xml:space="preserve"/>
      </w:r>
    </w:p>
    <w:p>
      <w:pPr>
        <w:pBdr>
          <w:bottom w:val="single" w:color="1D4ED8" w:sz="3" w:space="1"/>
        </w:pBdr>
        <w:spacing w:before="80" w:after="80"/>
      </w:pPr>
      <w:r>
        <w:t xml:space="preserve"/>
      </w:r>
    </w:p>
    <w:p>
      <w:pPr>
        <w:spacing w:before="40" w:after="0"/>
      </w:pPr>
      <w:r>
        <w:t xml:space="preserve"/>
      </w:r>
    </w:p>
    <w:p>
      <w:pPr>
        <w:spacing w:before="100" w:after="80"/>
      </w:pPr>
      <w:r>
        <w:rPr>
          <w:rFonts w:ascii="Arial" w:cs="Arial" w:eastAsia="Arial" w:hAnsi="Arial"/>
          <w:b/>
          <w:bCs/>
          <w:color w:val="6B7280"/>
          <w:sz w:val="30"/>
          <w:szCs w:val="30"/>
        </w:rPr>
        <w:t xml:space="preserve">Feature 4.4  </w:t>
      </w:r>
      <w:r>
        <w:rPr>
          <w:rFonts w:ascii="Arial" w:cs="Arial" w:eastAsia="Arial" w:hAnsi="Arial"/>
          <w:b/>
          <w:bCs/>
          <w:color w:val="0A1628"/>
          <w:sz w:val="30"/>
          <w:szCs w:val="30"/>
        </w:rPr>
        <w:t xml:space="preserve">Workplace Scenario Simulation</w:t>
      </w:r>
    </w:p>
    <w:p>
      <w:pPr>
        <w:spacing w:before="0" w:after="60"/>
      </w:pPr>
      <w:r>
        <w:rPr>
          <w:rFonts w:ascii="Arial" w:cs="Arial" w:eastAsia="Arial" w:hAnsi="Arial"/>
          <w:b/>
          <w:bCs/>
          <w:color w:val="5B21B6"/>
          <w:sz w:val="21"/>
          <w:szCs w:val="21"/>
        </w:rPr>
        <w:t xml:space="preserve">Category:  </w:t>
      </w:r>
      <w:r>
        <w:rPr>
          <w:rFonts w:ascii="Arial" w:cs="Arial" w:eastAsia="Arial" w:hAnsi="Arial"/>
          <w:color w:val="374151"/>
          <w:sz w:val="21"/>
          <w:szCs w:val="21"/>
        </w:rPr>
        <w:t xml:space="preserve">Situational Judgment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0"/>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D4ED8"/>
                <w:sz w:val="20"/>
                <w:szCs w:val="20"/>
              </w:rPr>
              <w:t xml:space="preserve">Purpose:  </w:t>
            </w:r>
            <w:r>
              <w:rPr>
                <w:rFonts w:ascii="Arial" w:cs="Arial" w:eastAsia="Arial" w:hAnsi="Arial"/>
                <w:color w:val="374151"/>
                <w:sz w:val="20"/>
                <w:szCs w:val="20"/>
              </w:rPr>
              <w:t xml:space="preserve">Evaluate how candidates navigate real workplace situations, conflicts, and professional decisions.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10"/>
              <w:bottom w:val="single" w:color="BFDBFE" w:sz="1"/>
              <w:right w:val="single" w:color="BFDBFE" w:sz="1"/>
            </w:tcBorders>
            <w:shd w:fill="EDE9FE" w:val="clear"/>
            <w:tcMar>
              <w:top w:type="dxa" w:w="120"/>
              <w:left w:type="dxa" w:w="200"/>
              <w:bottom w:type="dxa" w:w="120"/>
              <w:right w:type="dxa" w:w="160"/>
            </w:tcMar>
          </w:tcPr>
          <w:p>
            <w:r>
              <w:rPr>
                <w:rFonts w:ascii="Arial" w:cs="Arial" w:eastAsia="Arial" w:hAnsi="Arial"/>
                <w:b/>
                <w:bCs/>
                <w:color w:val="5B21B6"/>
                <w:sz w:val="20"/>
                <w:szCs w:val="20"/>
              </w:rPr>
              <w:t xml:space="preserve">Design Principle:  </w:t>
            </w:r>
            <w:r>
              <w:rPr>
                <w:rFonts w:ascii="Arial" w:cs="Arial" w:eastAsia="Arial" w:hAnsi="Arial"/>
                <w:color w:val="374151"/>
                <w:sz w:val="20"/>
                <w:szCs w:val="20"/>
              </w:rPr>
              <w:t xml:space="preserve">How a person handles ambiguity, pressure, and interpersonal complexity defines their professional effectiveness.</w:t>
            </w:r>
          </w:p>
        </w:tc>
      </w:tr>
    </w:tbl>
    <w:p>
      <w:pPr>
        <w:spacing w:before="120" w:after="0"/>
      </w:pPr>
      <w:r>
        <w:t xml:space="preserve"/>
      </w:r>
    </w:p>
    <w:p>
      <w:pPr>
        <w:pStyle w:val="Heading2"/>
        <w:spacing w:before="240" w:after="80"/>
      </w:pPr>
      <w:r>
        <w:rPr>
          <w:rFonts w:ascii="Arial" w:cs="Arial" w:eastAsia="Arial" w:hAnsi="Arial"/>
          <w:b/>
          <w:bCs/>
          <w:color w:val="0F2D6B"/>
          <w:sz w:val="25"/>
          <w:szCs w:val="25"/>
        </w:rPr>
        <w:t xml:space="preserve">Overview</w:t>
      </w:r>
    </w:p>
    <w:p>
      <w:pPr>
        <w:spacing w:before="0" w:after="150"/>
      </w:pPr>
      <w:r>
        <w:rPr>
          <w:rFonts w:ascii="Arial" w:cs="Arial" w:eastAsia="Arial" w:hAnsi="Arial"/>
          <w:color w:val="374151"/>
          <w:sz w:val="21"/>
          <w:szCs w:val="21"/>
        </w:rPr>
        <w:t xml:space="preserve">Workplace Scenario Simulation evaluates candidates on their professional judgment, communication decisions, and situational awareness in realistic workplace contexts. It addresses the critical gap between technical competence and professional effectiveness — a candidate can be technically excellent but make poor decisions when navigating stakeholder conflicts, ambiguous instructions, ethical dilemmas, or organisational politics.</w:t>
      </w:r>
    </w:p>
    <w:p>
      <w:pPr>
        <w:pStyle w:val="Heading2"/>
        <w:spacing w:before="240" w:after="80"/>
      </w:pPr>
      <w:r>
        <w:rPr>
          <w:rFonts w:ascii="Arial" w:cs="Arial" w:eastAsia="Arial" w:hAnsi="Arial"/>
          <w:b/>
          <w:bCs/>
          <w:color w:val="0F2D6B"/>
          <w:sz w:val="25"/>
          <w:szCs w:val="25"/>
        </w:rPr>
        <w:t xml:space="preserve">Detailed Description</w:t>
      </w:r>
    </w:p>
    <w:p>
      <w:pPr>
        <w:spacing w:before="0" w:after="150"/>
      </w:pPr>
      <w:r>
        <w:rPr>
          <w:rFonts w:ascii="Arial" w:cs="Arial" w:eastAsia="Arial" w:hAnsi="Arial"/>
          <w:color w:val="374151"/>
          <w:sz w:val="21"/>
          <w:szCs w:val="21"/>
        </w:rPr>
        <w:t xml:space="preserve">Scenarios are presented as immersive narrative situations — richly described workplace situations that unfold as the candidate engages with them. A scenario might begin: 'You are a project manager and your lead developer has just told you that the feature you committed to the client will not be ready in three days. The client is expecting a demo. Your manager is in back-to-back meetings. What do you do?' The candidate selects from structured response options or provides a free-text response, and the scenario branches based on their choice — creating a decision tree that reveals how they navigate cascading consequences.</w:t>
      </w:r>
    </w:p>
    <w:p>
      <w:pPr>
        <w:spacing w:before="0" w:after="150"/>
      </w:pPr>
      <w:r>
        <w:rPr>
          <w:rFonts w:ascii="Arial" w:cs="Arial" w:eastAsia="Arial" w:hAnsi="Arial"/>
          <w:color w:val="374151"/>
          <w:sz w:val="21"/>
          <w:szCs w:val="21"/>
        </w:rPr>
        <w:t xml:space="preserve">Scenarios are built around eight professional competency domains: Stakeholder Communication (managing expectations with clients, users, or leadership), Conflict Resolution (handling disagreements with colleagues or across teams), Ethical Decision Making (navigating situations with competing interests or grey-area choices), Ambiguity Management (making decisions when information is incomplete), Leadership Under Pressure (maintaining team direction during crises), Feedback Reception (responding to critical or difficult feedback), Resource Constraint Navigation (delivering results under time or budget constraints), and Cross-functional Collaboration (working effectively with teams outside one's own expertise).</w:t>
      </w:r>
    </w:p>
    <w:p>
      <w:pPr>
        <w:spacing w:before="0" w:after="150"/>
      </w:pPr>
      <w:r>
        <w:rPr>
          <w:rFonts w:ascii="Arial" w:cs="Arial" w:eastAsia="Arial" w:hAnsi="Arial"/>
          <w:color w:val="374151"/>
          <w:sz w:val="21"/>
          <w:szCs w:val="21"/>
        </w:rPr>
        <w:t xml:space="preserve">Each scenario is multi-step and non-linear. The candidate's choices at step one affect the situation at step two — a decision to escalate a conflict will generate a different follow-up scenario than a decision to resolve it directly. This branching structure prevents candidates from gaming the assessment by pattern-matching to expected answers: the full sequence of decisions across a multi-step scenario reveals professional judgment far more reliably than any single-question situational assessment.</w:t>
      </w:r>
    </w:p>
    <w:p>
      <w:pPr>
        <w:pStyle w:val="Heading2"/>
        <w:spacing w:before="240" w:after="80"/>
      </w:pPr>
      <w:r>
        <w:rPr>
          <w:rFonts w:ascii="Arial" w:cs="Arial" w:eastAsia="Arial" w:hAnsi="Arial"/>
          <w:b/>
          <w:bCs/>
          <w:color w:val="0F2D6B"/>
          <w:sz w:val="25"/>
          <w:szCs w:val="25"/>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Parameter</w:t>
            </w:r>
          </w:p>
        </w:tc>
        <w:tc>
          <w:tcPr>
            <w:tcW w:type="dxa" w:w="65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Specification</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Competency Domains</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8 domains: Stakeholder, Conflict, Ethics, Ambiguity, Leadership, Feedback, Resources, Cross-functional</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Scenario Format</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Branching multi-step narrative with structured + free-text response modes</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Branch Depth</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Scenarios branch up to 4 levels deep based on candidate decisions</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Scenario Library</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500+ scenarios across 8 competency domains and 15 industries</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Industry Contextualisation</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Scenarios adapted to specific industry and role context</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Free-Text Analysis</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AI analysis of free-text responses for communication quality and judgment signals</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Bias Controls</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Scenarios reviewed for cultural and demographic bias; multiple culturally-adapted variants</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Session Structure</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4–6 scenarios per session covering all 8 domains proportionally</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Performance Score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Signal / Dimension</w:t>
            </w:r>
          </w:p>
        </w:tc>
        <w:tc>
          <w:tcPr>
            <w:tcW w:type="dxa" w:w="14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Weight</w:t>
            </w:r>
          </w:p>
        </w:tc>
        <w:tc>
          <w:tcPr>
            <w:tcW w:type="dxa" w:w="476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What It Measures</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Stakeholder Communication</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15%</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Clarity, appropriateness, and effectiveness of external communications</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Conflict Resolution</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15%</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Method and outcome of conflict management decisions</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Ethical Decision Making</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15%</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Integrity and consistency of ethical choices across scenarios</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Ambiguity Management</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15%</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Decision quality when operating with incomplete information</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Leadership Under Pressure</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10%</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Ability to maintain direction and calm during crisis scenarios</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Feedback Reception</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10%</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Response quality and growth orientation when receiving criticism</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Resource Navigation</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10%</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Efficiency and creativity of decisions under constraints</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Cross-functional Collab.</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10%</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Effectiveness of interactions with stakeholders outside own domain</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Use Case Examples</w:t>
      </w:r>
    </w:p>
    <w:p>
      <w:pPr>
        <w:pStyle w:val="ListParagraph"/>
        <w:numPr>
          <w:ilvl w:val="0"/>
          <w:numId w:val="2"/>
        </w:numPr>
        <w:spacing w:before="44" w:after="44"/>
      </w:pPr>
      <w:r>
        <w:rPr>
          <w:rFonts w:ascii="Arial" w:cs="Arial" w:eastAsia="Arial" w:hAnsi="Arial"/>
          <w:color w:val="374151"/>
          <w:sz w:val="21"/>
          <w:szCs w:val="21"/>
        </w:rPr>
        <w:t xml:space="preserve">A candidate for a client-facing account manager role navigates a scenario where a key client threatens to escalate a complaint to the CEO. The branching simulation reveals whether they de-escalate effectively, communicate transparently, or attempt to suppress the issue — each path producing a different competency signal.</w:t>
      </w:r>
    </w:p>
    <w:p>
      <w:pPr>
        <w:pStyle w:val="ListParagraph"/>
        <w:numPr>
          <w:ilvl w:val="0"/>
          <w:numId w:val="2"/>
        </w:numPr>
        <w:spacing w:before="44" w:after="44"/>
      </w:pPr>
      <w:r>
        <w:rPr>
          <w:rFonts w:ascii="Arial" w:cs="Arial" w:eastAsia="Arial" w:hAnsi="Arial"/>
          <w:color w:val="374151"/>
          <w:sz w:val="21"/>
          <w:szCs w:val="21"/>
        </w:rPr>
        <w:t xml:space="preserve">A recruiter at a high-pressure trading firm specifically configures the simulation to emphasise Ambiguity Management and Resource Constraint scenarios — the two competency dimensions most critical for their fast-paced trading floor environment.</w:t>
      </w:r>
    </w:p>
    <w:p>
      <w:pPr>
        <w:pStyle w:val="ListParagraph"/>
        <w:numPr>
          <w:ilvl w:val="0"/>
          <w:numId w:val="2"/>
        </w:numPr>
        <w:spacing w:before="44" w:after="44"/>
      </w:pPr>
      <w:r>
        <w:rPr>
          <w:rFonts w:ascii="Arial" w:cs="Arial" w:eastAsia="Arial" w:hAnsi="Arial"/>
          <w:color w:val="374151"/>
          <w:sz w:val="21"/>
          <w:szCs w:val="21"/>
        </w:rPr>
        <w:t xml:space="preserve">A candidate from a different cultural background completes a culturally-adapted scenario variant that presents the same professional situation with contextually adjusted communication norms — ensuring the evaluation measures professional judgment, not cultural familiarity with a specific workplace style.</w:t>
      </w:r>
    </w:p>
    <w:p>
      <w:pPr>
        <w:spacing w:before="80" w:after="0"/>
      </w:pPr>
      <w:r>
        <w:t xml:space="preserve"/>
      </w:r>
    </w:p>
    <w:p>
      <w:pPr>
        <w:pBdr>
          <w:bottom w:val="single" w:color="1D4ED8" w:sz="3" w:space="1"/>
        </w:pBdr>
        <w:spacing w:before="80" w:after="80"/>
      </w:pPr>
      <w:r>
        <w:t xml:space="preserve"/>
      </w:r>
    </w:p>
    <w:p>
      <w:pPr>
        <w:spacing w:before="40" w:after="0"/>
      </w:pPr>
      <w:r>
        <w:t xml:space="preserve"/>
      </w:r>
    </w:p>
    <w:p>
      <w:pPr>
        <w:spacing w:before="100" w:after="80"/>
      </w:pPr>
      <w:r>
        <w:rPr>
          <w:rFonts w:ascii="Arial" w:cs="Arial" w:eastAsia="Arial" w:hAnsi="Arial"/>
          <w:b/>
          <w:bCs/>
          <w:color w:val="6B7280"/>
          <w:sz w:val="30"/>
          <w:szCs w:val="30"/>
        </w:rPr>
        <w:t xml:space="preserve">Feature 4.5  </w:t>
      </w:r>
      <w:r>
        <w:rPr>
          <w:rFonts w:ascii="Arial" w:cs="Arial" w:eastAsia="Arial" w:hAnsi="Arial"/>
          <w:b/>
          <w:bCs/>
          <w:color w:val="0A1628"/>
          <w:sz w:val="30"/>
          <w:szCs w:val="30"/>
        </w:rPr>
        <w:t xml:space="preserve">Team Collaboration Simulation</w:t>
      </w:r>
    </w:p>
    <w:p>
      <w:pPr>
        <w:spacing w:before="0" w:after="60"/>
      </w:pPr>
      <w:r>
        <w:rPr>
          <w:rFonts w:ascii="Arial" w:cs="Arial" w:eastAsia="Arial" w:hAnsi="Arial"/>
          <w:b/>
          <w:bCs/>
          <w:color w:val="5B21B6"/>
          <w:sz w:val="21"/>
          <w:szCs w:val="21"/>
        </w:rPr>
        <w:t xml:space="preserve">Category:  </w:t>
      </w:r>
      <w:r>
        <w:rPr>
          <w:rFonts w:ascii="Arial" w:cs="Arial" w:eastAsia="Arial" w:hAnsi="Arial"/>
          <w:color w:val="374151"/>
          <w:sz w:val="21"/>
          <w:szCs w:val="21"/>
        </w:rPr>
        <w:t xml:space="preserve">Interpersonal Dynamics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0"/>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D4ED8"/>
                <w:sz w:val="20"/>
                <w:szCs w:val="20"/>
              </w:rPr>
              <w:t xml:space="preserve">Purpose:  </w:t>
            </w:r>
            <w:r>
              <w:rPr>
                <w:rFonts w:ascii="Arial" w:cs="Arial" w:eastAsia="Arial" w:hAnsi="Arial"/>
                <w:color w:val="374151"/>
                <w:sz w:val="20"/>
                <w:szCs w:val="20"/>
              </w:rPr>
              <w:t xml:space="preserve">Assess how candidates function as team members within a structured collaborative simulation.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10"/>
              <w:bottom w:val="single" w:color="BFDBFE" w:sz="1"/>
              <w:right w:val="single" w:color="BFDBFE" w:sz="1"/>
            </w:tcBorders>
            <w:shd w:fill="EDE9FE" w:val="clear"/>
            <w:tcMar>
              <w:top w:type="dxa" w:w="120"/>
              <w:left w:type="dxa" w:w="200"/>
              <w:bottom w:type="dxa" w:w="120"/>
              <w:right w:type="dxa" w:w="160"/>
            </w:tcMar>
          </w:tcPr>
          <w:p>
            <w:r>
              <w:rPr>
                <w:rFonts w:ascii="Arial" w:cs="Arial" w:eastAsia="Arial" w:hAnsi="Arial"/>
                <w:b/>
                <w:bCs/>
                <w:color w:val="5B21B6"/>
                <w:sz w:val="20"/>
                <w:szCs w:val="20"/>
              </w:rPr>
              <w:t xml:space="preserve">Design Principle:  </w:t>
            </w:r>
            <w:r>
              <w:rPr>
                <w:rFonts w:ascii="Arial" w:cs="Arial" w:eastAsia="Arial" w:hAnsi="Arial"/>
                <w:color w:val="374151"/>
                <w:sz w:val="20"/>
                <w:szCs w:val="20"/>
              </w:rPr>
              <w:t xml:space="preserve">Individual brilliance that cannot operate within a team structure is a hiring risk, not an asset.</w:t>
            </w:r>
          </w:p>
        </w:tc>
      </w:tr>
    </w:tbl>
    <w:p>
      <w:pPr>
        <w:spacing w:before="120" w:after="0"/>
      </w:pPr>
      <w:r>
        <w:t xml:space="preserve"/>
      </w:r>
    </w:p>
    <w:p>
      <w:pPr>
        <w:pStyle w:val="Heading2"/>
        <w:spacing w:before="240" w:after="80"/>
      </w:pPr>
      <w:r>
        <w:rPr>
          <w:rFonts w:ascii="Arial" w:cs="Arial" w:eastAsia="Arial" w:hAnsi="Arial"/>
          <w:b/>
          <w:bCs/>
          <w:color w:val="0F2D6B"/>
          <w:sz w:val="25"/>
          <w:szCs w:val="25"/>
        </w:rPr>
        <w:t xml:space="preserve">Overview</w:t>
      </w:r>
    </w:p>
    <w:p>
      <w:pPr>
        <w:spacing w:before="0" w:after="150"/>
      </w:pPr>
      <w:r>
        <w:rPr>
          <w:rFonts w:ascii="Arial" w:cs="Arial" w:eastAsia="Arial" w:hAnsi="Arial"/>
          <w:color w:val="374151"/>
          <w:sz w:val="21"/>
          <w:szCs w:val="21"/>
        </w:rPr>
        <w:t xml:space="preserve">Team Collaboration Simulation evaluates a candidate's collaborative effectiveness by placing them in a structured simulated group exercise alongside AI-driven virtual teammates. Unlike individual simulations, this feature specifically tests how candidates adapt their communication and contribution style when operating within team constraints — dividing work, handling disagreement, contributing ideas, and supporting others toward a shared outcome.</w:t>
      </w:r>
    </w:p>
    <w:p>
      <w:pPr>
        <w:pStyle w:val="Heading2"/>
        <w:spacing w:before="240" w:after="80"/>
      </w:pPr>
      <w:r>
        <w:rPr>
          <w:rFonts w:ascii="Arial" w:cs="Arial" w:eastAsia="Arial" w:hAnsi="Arial"/>
          <w:b/>
          <w:bCs/>
          <w:color w:val="0F2D6B"/>
          <w:sz w:val="25"/>
          <w:szCs w:val="25"/>
        </w:rPr>
        <w:t xml:space="preserve">Detailed Description</w:t>
      </w:r>
    </w:p>
    <w:p>
      <w:pPr>
        <w:spacing w:before="0" w:after="150"/>
      </w:pPr>
      <w:r>
        <w:rPr>
          <w:rFonts w:ascii="Arial" w:cs="Arial" w:eastAsia="Arial" w:hAnsi="Arial"/>
          <w:color w:val="374151"/>
          <w:sz w:val="21"/>
          <w:szCs w:val="21"/>
        </w:rPr>
        <w:t xml:space="preserve">The simulation places the candidate in a virtual team of 3–5 members (2–4 AI agents and the candidate). Each AI teammate is programmed with a distinct personality and working style profile — one is collaborative and deferential, one is assertive and opinionated, one is technically strong but poor at communication, and one is high on energy but low on follow-through. These profiles are deliberately varied to generate the interpersonal dynamics that emerge in real teams. The candidate interacts with the AI teammates via a structured communication interface and must contribute to completing a shared deliverable.</w:t>
      </w:r>
    </w:p>
    <w:p>
      <w:pPr>
        <w:spacing w:before="0" w:after="150"/>
      </w:pPr>
      <w:r>
        <w:rPr>
          <w:rFonts w:ascii="Arial" w:cs="Arial" w:eastAsia="Arial" w:hAnsi="Arial"/>
          <w:color w:val="374151"/>
          <w:sz w:val="21"/>
          <w:szCs w:val="21"/>
        </w:rPr>
        <w:t xml:space="preserve">The team task is role-relevant. A software engineering team builds a product feature together, dividing responsibilities across design, implementation, and testing sub-tasks. A management consulting team analyses a case and produces a strategic recommendation. A product team aligns on a roadmap priority decision. In each case, the shared output is evaluated both for quality (team performance) and for the candidate's individual contribution and collaborative behaviour within the team context.</w:t>
      </w:r>
    </w:p>
    <w:p>
      <w:pPr>
        <w:spacing w:before="0" w:after="150"/>
      </w:pPr>
      <w:r>
        <w:rPr>
          <w:rFonts w:ascii="Arial" w:cs="Arial" w:eastAsia="Arial" w:hAnsi="Arial"/>
          <w:color w:val="374151"/>
          <w:sz w:val="21"/>
          <w:szCs w:val="21"/>
        </w:rPr>
        <w:t xml:space="preserve">Collaboration signals are measured at three levels. Communication Quality: the clarity, frequency, and appropriateness of the candidate's team communications. Contribution Behaviour: did the candidate take on their fair share, over-claim, or under-contribute? Did they seek help when needed? Interpersonal Adaptation: how did the candidate adjust their style in response to the different AI teammate personalities — did they escalate conflict or find productive working modes? A Collaboration Effectiveness Score is produced, combining these three signal clusters.</w:t>
      </w:r>
    </w:p>
    <w:p>
      <w:pPr>
        <w:pStyle w:val="Heading2"/>
        <w:spacing w:before="240" w:after="80"/>
      </w:pPr>
      <w:r>
        <w:rPr>
          <w:rFonts w:ascii="Arial" w:cs="Arial" w:eastAsia="Arial" w:hAnsi="Arial"/>
          <w:b/>
          <w:bCs/>
          <w:color w:val="0F2D6B"/>
          <w:sz w:val="25"/>
          <w:szCs w:val="25"/>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Parameter</w:t>
            </w:r>
          </w:p>
        </w:tc>
        <w:tc>
          <w:tcPr>
            <w:tcW w:type="dxa" w:w="65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Specification</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Team Composition</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Candidate + 2–4 AI agents with distinct personality profiles</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AI Teammate Profiles</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Collaborative, Assertive, Technical-Introverted, High-Energy — configurable</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Task Type</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Role-relevant collaborative deliverable (feature, case, roadmap, report)</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Communication Mode</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Structured text channel with turn-taking and async contribution options</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Duration</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30–60 minutes per collaboration session</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Conflict Injection</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AI teammates introduce deliberate disagreements to test conflict handling</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Contribution Tracking</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All messages, task assignments, and edits attributed to each participant</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Output Evaluation</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Both team output quality and individual contribution pattern evaluated</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Performance Score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Signal / Dimension</w:t>
            </w:r>
          </w:p>
        </w:tc>
        <w:tc>
          <w:tcPr>
            <w:tcW w:type="dxa" w:w="14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Weight</w:t>
            </w:r>
          </w:p>
        </w:tc>
        <w:tc>
          <w:tcPr>
            <w:tcW w:type="dxa" w:w="476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What It Measures</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Communication Quality</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35%</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Clarity, frequency, and appropriateness of team communications</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Contribution Balance</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35%</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Fair workload distribution, proactive ownership, and support of others</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Interpersonal Adaptation</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30%</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Style adjustment in response to different teammate personalities</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Use Case Examples</w:t>
      </w:r>
    </w:p>
    <w:p>
      <w:pPr>
        <w:pStyle w:val="ListParagraph"/>
        <w:numPr>
          <w:ilvl w:val="0"/>
          <w:numId w:val="2"/>
        </w:numPr>
        <w:spacing w:before="44" w:after="44"/>
      </w:pPr>
      <w:r>
        <w:rPr>
          <w:rFonts w:ascii="Arial" w:cs="Arial" w:eastAsia="Arial" w:hAnsi="Arial"/>
          <w:color w:val="374151"/>
          <w:sz w:val="21"/>
          <w:szCs w:val="21"/>
        </w:rPr>
        <w:t xml:space="preserve">A candidate for a product management role collaborates with AI teammates to prioritise a product backlog. The AI's assertive agent strongly advocates for a low-priority feature — the candidate's response (data-driven persuasion vs. capitulation vs. dismissal) reveals their stakeholder management and influence style.</w:t>
      </w:r>
    </w:p>
    <w:p>
      <w:pPr>
        <w:pStyle w:val="ListParagraph"/>
        <w:numPr>
          <w:ilvl w:val="0"/>
          <w:numId w:val="2"/>
        </w:numPr>
        <w:spacing w:before="44" w:after="44"/>
      </w:pPr>
      <w:r>
        <w:rPr>
          <w:rFonts w:ascii="Arial" w:cs="Arial" w:eastAsia="Arial" w:hAnsi="Arial"/>
          <w:color w:val="374151"/>
          <w:sz w:val="21"/>
          <w:szCs w:val="21"/>
        </w:rPr>
        <w:t xml:space="preserve">A software engineering candidate works with a simulated team to implement a small feature. One AI agent produces low-quality code — the candidate's code review behaviour and approach to giving feedback to a colleague reveals interpersonal skill alongside technical judgement.</w:t>
      </w:r>
    </w:p>
    <w:p>
      <w:pPr>
        <w:pStyle w:val="ListParagraph"/>
        <w:numPr>
          <w:ilvl w:val="0"/>
          <w:numId w:val="2"/>
        </w:numPr>
        <w:spacing w:before="44" w:after="44"/>
      </w:pPr>
      <w:r>
        <w:rPr>
          <w:rFonts w:ascii="Arial" w:cs="Arial" w:eastAsia="Arial" w:hAnsi="Arial"/>
          <w:color w:val="374151"/>
          <w:sz w:val="21"/>
          <w:szCs w:val="21"/>
        </w:rPr>
        <w:t xml:space="preserve">A recruiter at a company with a strong emphasis on psychological safety specifically reviews the Conflict Injection segments of each candidate's collaboration session — to identify candidates who maintain constructive team dynamics even under interpersonal friction.</w:t>
      </w:r>
    </w:p>
    <w:p>
      <w:pPr>
        <w:spacing w:before="80" w:after="0"/>
      </w:pPr>
      <w:r>
        <w:t xml:space="preserve"/>
      </w:r>
    </w:p>
    <w:p>
      <w:pPr>
        <w:pBdr>
          <w:bottom w:val="single" w:color="1D4ED8" w:sz="3" w:space="1"/>
        </w:pBdr>
        <w:spacing w:before="80" w:after="80"/>
      </w:pPr>
      <w:r>
        <w:t xml:space="preserve"/>
      </w:r>
    </w:p>
    <w:p>
      <w:pPr>
        <w:spacing w:before="40" w:after="0"/>
      </w:pPr>
      <w:r>
        <w:t xml:space="preserve"/>
      </w:r>
    </w:p>
    <w:p>
      <w:pPr>
        <w:spacing w:before="100" w:after="80"/>
      </w:pPr>
      <w:r>
        <w:rPr>
          <w:rFonts w:ascii="Arial" w:cs="Arial" w:eastAsia="Arial" w:hAnsi="Arial"/>
          <w:b/>
          <w:bCs/>
          <w:color w:val="6B7280"/>
          <w:sz w:val="30"/>
          <w:szCs w:val="30"/>
        </w:rPr>
        <w:t xml:space="preserve">Feature 4.6  </w:t>
      </w:r>
      <w:r>
        <w:rPr>
          <w:rFonts w:ascii="Arial" w:cs="Arial" w:eastAsia="Arial" w:hAnsi="Arial"/>
          <w:b/>
          <w:bCs/>
          <w:color w:val="0A1628"/>
          <w:sz w:val="30"/>
          <w:szCs w:val="30"/>
        </w:rPr>
        <w:t xml:space="preserve">Stress Handling Evaluation</w:t>
      </w:r>
    </w:p>
    <w:p>
      <w:pPr>
        <w:spacing w:before="0" w:after="60"/>
      </w:pPr>
      <w:r>
        <w:rPr>
          <w:rFonts w:ascii="Arial" w:cs="Arial" w:eastAsia="Arial" w:hAnsi="Arial"/>
          <w:b/>
          <w:bCs/>
          <w:color w:val="5B21B6"/>
          <w:sz w:val="21"/>
          <w:szCs w:val="21"/>
        </w:rPr>
        <w:t xml:space="preserve">Category:  </w:t>
      </w:r>
      <w:r>
        <w:rPr>
          <w:rFonts w:ascii="Arial" w:cs="Arial" w:eastAsia="Arial" w:hAnsi="Arial"/>
          <w:color w:val="374151"/>
          <w:sz w:val="21"/>
          <w:szCs w:val="21"/>
        </w:rPr>
        <w:t xml:space="preserve">Resilience &amp; Pressure Response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0"/>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D4ED8"/>
                <w:sz w:val="20"/>
                <w:szCs w:val="20"/>
              </w:rPr>
              <w:t xml:space="preserve">Purpose:  </w:t>
            </w:r>
            <w:r>
              <w:rPr>
                <w:rFonts w:ascii="Arial" w:cs="Arial" w:eastAsia="Arial" w:hAnsi="Arial"/>
                <w:color w:val="374151"/>
                <w:sz w:val="20"/>
                <w:szCs w:val="20"/>
              </w:rPr>
              <w:t xml:space="preserve">Measure how candidates perform and maintain decision quality when operating under deliberate pressure.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10"/>
              <w:bottom w:val="single" w:color="BFDBFE" w:sz="1"/>
              <w:right w:val="single" w:color="BFDBFE" w:sz="1"/>
            </w:tcBorders>
            <w:shd w:fill="EDE9FE" w:val="clear"/>
            <w:tcMar>
              <w:top w:type="dxa" w:w="120"/>
              <w:left w:type="dxa" w:w="200"/>
              <w:bottom w:type="dxa" w:w="120"/>
              <w:right w:type="dxa" w:w="160"/>
            </w:tcMar>
          </w:tcPr>
          <w:p>
            <w:r>
              <w:rPr>
                <w:rFonts w:ascii="Arial" w:cs="Arial" w:eastAsia="Arial" w:hAnsi="Arial"/>
                <w:b/>
                <w:bCs/>
                <w:color w:val="5B21B6"/>
                <w:sz w:val="20"/>
                <w:szCs w:val="20"/>
              </w:rPr>
              <w:t xml:space="preserve">Design Principle:  </w:t>
            </w:r>
            <w:r>
              <w:rPr>
                <w:rFonts w:ascii="Arial" w:cs="Arial" w:eastAsia="Arial" w:hAnsi="Arial"/>
                <w:color w:val="374151"/>
                <w:sz w:val="20"/>
                <w:szCs w:val="20"/>
              </w:rPr>
              <w:t xml:space="preserve">Performance under normal conditions is table stakes. Performance under pressure is the differentiator.</w:t>
            </w:r>
          </w:p>
        </w:tc>
      </w:tr>
    </w:tbl>
    <w:p>
      <w:pPr>
        <w:spacing w:before="120" w:after="0"/>
      </w:pPr>
      <w:r>
        <w:t xml:space="preserve"/>
      </w:r>
    </w:p>
    <w:p>
      <w:pPr>
        <w:pStyle w:val="Heading2"/>
        <w:spacing w:before="240" w:after="80"/>
      </w:pPr>
      <w:r>
        <w:rPr>
          <w:rFonts w:ascii="Arial" w:cs="Arial" w:eastAsia="Arial" w:hAnsi="Arial"/>
          <w:b/>
          <w:bCs/>
          <w:color w:val="0F2D6B"/>
          <w:sz w:val="25"/>
          <w:szCs w:val="25"/>
        </w:rPr>
        <w:t xml:space="preserve">Overview</w:t>
      </w:r>
    </w:p>
    <w:p>
      <w:pPr>
        <w:spacing w:before="0" w:after="150"/>
      </w:pPr>
      <w:r>
        <w:rPr>
          <w:rFonts w:ascii="Arial" w:cs="Arial" w:eastAsia="Arial" w:hAnsi="Arial"/>
          <w:color w:val="374151"/>
          <w:sz w:val="21"/>
          <w:szCs w:val="21"/>
        </w:rPr>
        <w:t xml:space="preserve">Stress Handling Evaluation is a controlled stress-induction simulation that measures how a candidate's performance, decision quality, and communication effectiveness change when they are placed under deliberate time pressure, competing demands, and high-stakes uncertainty — conditions that closely mirror the real experience of pressure in demanding professional roles.</w:t>
      </w:r>
    </w:p>
    <w:p>
      <w:pPr>
        <w:pStyle w:val="Heading2"/>
        <w:spacing w:before="240" w:after="80"/>
      </w:pPr>
      <w:r>
        <w:rPr>
          <w:rFonts w:ascii="Arial" w:cs="Arial" w:eastAsia="Arial" w:hAnsi="Arial"/>
          <w:b/>
          <w:bCs/>
          <w:color w:val="0F2D6B"/>
          <w:sz w:val="25"/>
          <w:szCs w:val="25"/>
        </w:rPr>
        <w:t xml:space="preserve">Detailed Description</w:t>
      </w:r>
    </w:p>
    <w:p>
      <w:pPr>
        <w:spacing w:before="0" w:after="150"/>
      </w:pPr>
      <w:r>
        <w:rPr>
          <w:rFonts w:ascii="Arial" w:cs="Arial" w:eastAsia="Arial" w:hAnsi="Arial"/>
          <w:color w:val="374151"/>
          <w:sz w:val="21"/>
          <w:szCs w:val="21"/>
        </w:rPr>
        <w:t xml:space="preserve">Stress is introduced through four controlled mechanisms. Time Compression: tasks that would normally allow 30 minutes are compressed to 12–15 minutes, creating authentic urgency without artificial unfairness — the evaluation measures relative performance change under compression, not absolute output within the tight window. Competing Priorities: the candidate simultaneously receives multiple urgent demands from different simulated stakeholders, each framing their request as the highest priority. The candidate must triage, communicate their decision, and execute within a single time window. Interruption Injection: during a focused task, the simulation introduces unexpected interruptions — a simulated manager escalation, a critical system alert, or a stakeholder change request — requiring the candidate to context-switch and return to their original task. Incomplete Information: candidates must make a decision or take an action without the full information they would normally expect, under time pressure that prevents them from seeking clarification.</w:t>
      </w:r>
    </w:p>
    <w:p>
      <w:pPr>
        <w:spacing w:before="0" w:after="150"/>
      </w:pPr>
      <w:r>
        <w:rPr>
          <w:rFonts w:ascii="Arial" w:cs="Arial" w:eastAsia="Arial" w:hAnsi="Arial"/>
          <w:color w:val="374151"/>
          <w:sz w:val="21"/>
          <w:szCs w:val="21"/>
        </w:rPr>
        <w:t xml:space="preserve">The evaluation measures performance delta — the difference between a candidate's performance in baseline conditions and their performance under stress. A candidate who performs at 85% baseline and 82% under stress (3% delta) is significantly more stress-resilient than a candidate who performs at 90% baseline but drops to 68% under stress (22% delta). This relative measurement is more informative than absolute performance and prevents the evaluation from penalising thorough, methodical workers who may naturally perform somewhat lower in baseline conditions.</w:t>
      </w:r>
    </w:p>
    <w:p>
      <w:pPr>
        <w:spacing w:before="0" w:after="150"/>
      </w:pPr>
      <w:r>
        <w:rPr>
          <w:rFonts w:ascii="Arial" w:cs="Arial" w:eastAsia="Arial" w:hAnsi="Arial"/>
          <w:color w:val="374151"/>
          <w:sz w:val="21"/>
          <w:szCs w:val="21"/>
        </w:rPr>
        <w:t xml:space="preserve">Communication quality under stress is tracked separately. Under high pressure, some candidates communicate more abruptly, with reduced clarity, or not at all — while others maintain professional communication quality regardless of internal pressure. The system logs all communications during the stress phase and applies a Communication Quality Analysis to compare baseline and stress-phase communication patterns. This dimension is especially important for client-facing, leadership, or crisis management roles.</w:t>
      </w:r>
    </w:p>
    <w:p>
      <w:pPr>
        <w:pStyle w:val="Heading2"/>
        <w:spacing w:before="240" w:after="80"/>
      </w:pPr>
      <w:r>
        <w:rPr>
          <w:rFonts w:ascii="Arial" w:cs="Arial" w:eastAsia="Arial" w:hAnsi="Arial"/>
          <w:b/>
          <w:bCs/>
          <w:color w:val="0F2D6B"/>
          <w:sz w:val="25"/>
          <w:szCs w:val="25"/>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Parameter</w:t>
            </w:r>
          </w:p>
        </w:tc>
        <w:tc>
          <w:tcPr>
            <w:tcW w:type="dxa" w:w="65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Specification</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Stress Mechanisms</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Time Compression / Competing Priorities / Interruption Injection / Incomplete Information</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Measurement Model</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Performance delta (baseline vs. stress) rather than absolute stress performance</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Time Compression</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Task window reduced to 40–50% of standard allocation</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Priority Conflicts</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3–5 simultaneous competing high-priority demands from different stakeholders</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Communication Tracking</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Baseline vs. stress-phase communication quality comparison</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Physiological Safety</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No biometric monitoring — stress is contextual, not physical</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Debrief Protocol</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Post-session AI debrief explaining stress patterns observed</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Resilience Score</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Composite score: performance delta + communication delta + recovery speed</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Performance Score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Signal / Dimension</w:t>
            </w:r>
          </w:p>
        </w:tc>
        <w:tc>
          <w:tcPr>
            <w:tcW w:type="dxa" w:w="14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Weight</w:t>
            </w:r>
          </w:p>
        </w:tc>
        <w:tc>
          <w:tcPr>
            <w:tcW w:type="dxa" w:w="476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What It Measures</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Performance Delta</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40%</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Change in output quality and decision accuracy from baseline to stress phase</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Communication Delta</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30%</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Change in communication clarity and professionalism under pressure</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Recovery Speed</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20%</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Time and quality of return to baseline performance after stress peak</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Priority Judgment</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10%</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Accuracy of triage decisions when faced with competing urgent demands</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Use Case Examples</w:t>
      </w:r>
    </w:p>
    <w:p>
      <w:pPr>
        <w:pStyle w:val="ListParagraph"/>
        <w:numPr>
          <w:ilvl w:val="0"/>
          <w:numId w:val="2"/>
        </w:numPr>
        <w:spacing w:before="44" w:after="44"/>
      </w:pPr>
      <w:r>
        <w:rPr>
          <w:rFonts w:ascii="Arial" w:cs="Arial" w:eastAsia="Arial" w:hAnsi="Arial"/>
          <w:color w:val="374151"/>
          <w:sz w:val="21"/>
          <w:szCs w:val="21"/>
        </w:rPr>
        <w:t xml:space="preserve">A candidate for a trading desk support role is placed in a stress simulation featuring 3 simultaneous urgent client escalations and a system alert, all within a 15-minute window. Their triage decisions and communication quality under this pressure are the primary evaluation signal.</w:t>
      </w:r>
    </w:p>
    <w:p>
      <w:pPr>
        <w:pStyle w:val="ListParagraph"/>
        <w:numPr>
          <w:ilvl w:val="0"/>
          <w:numId w:val="2"/>
        </w:numPr>
        <w:spacing w:before="44" w:after="44"/>
      </w:pPr>
      <w:r>
        <w:rPr>
          <w:rFonts w:ascii="Arial" w:cs="Arial" w:eastAsia="Arial" w:hAnsi="Arial"/>
          <w:color w:val="374151"/>
          <w:sz w:val="21"/>
          <w:szCs w:val="21"/>
        </w:rPr>
        <w:t xml:space="preserve">A recruiter reviewing the Stress Evaluation report for a candidate notices a very low performance delta (2%) — this candidate maintains near-identical decision quality under pressure and baseline, a rare and highly valuable signal for a crisis management role.</w:t>
      </w:r>
    </w:p>
    <w:p>
      <w:pPr>
        <w:pStyle w:val="ListParagraph"/>
        <w:numPr>
          <w:ilvl w:val="0"/>
          <w:numId w:val="2"/>
        </w:numPr>
        <w:spacing w:before="44" w:after="44"/>
      </w:pPr>
      <w:r>
        <w:rPr>
          <w:rFonts w:ascii="Arial" w:cs="Arial" w:eastAsia="Arial" w:hAnsi="Arial"/>
          <w:color w:val="374151"/>
          <w:sz w:val="21"/>
          <w:szCs w:val="21"/>
        </w:rPr>
        <w:t xml:space="preserve">A startup evaluating candidates for a founding team role uses stress simulation results to assess who maintains composure and keeps communication quality high under extreme ambiguity — identifying candidates who will thrive in the inherently high-pressure early-stage environment.</w:t>
      </w:r>
    </w:p>
    <w:p>
      <w:pPr>
        <w:spacing w:before="80" w:after="0"/>
      </w:pPr>
      <w:r>
        <w:t xml:space="preserve"/>
      </w:r>
    </w:p>
    <w:p>
      <w:pPr>
        <w:pBdr>
          <w:bottom w:val="single" w:color="1D4ED8" w:sz="3" w:space="1"/>
        </w:pBdr>
        <w:spacing w:before="80" w:after="80"/>
      </w:pPr>
      <w:r>
        <w:t xml:space="preserve"/>
      </w:r>
    </w:p>
    <w:p>
      <w:pPr>
        <w:spacing w:before="40" w:after="0"/>
      </w:pPr>
      <w:r>
        <w:t xml:space="preserve"/>
      </w:r>
    </w:p>
    <w:p>
      <w:pPr>
        <w:spacing w:before="100" w:after="80"/>
      </w:pPr>
      <w:r>
        <w:rPr>
          <w:rFonts w:ascii="Arial" w:cs="Arial" w:eastAsia="Arial" w:hAnsi="Arial"/>
          <w:b/>
          <w:bCs/>
          <w:color w:val="6B7280"/>
          <w:sz w:val="30"/>
          <w:szCs w:val="30"/>
        </w:rPr>
        <w:t xml:space="preserve">Feature 4.7  </w:t>
      </w:r>
      <w:r>
        <w:rPr>
          <w:rFonts w:ascii="Arial" w:cs="Arial" w:eastAsia="Arial" w:hAnsi="Arial"/>
          <w:b/>
          <w:bCs/>
          <w:color w:val="0A1628"/>
          <w:sz w:val="30"/>
          <w:szCs w:val="30"/>
        </w:rPr>
        <w:t xml:space="preserve">Time Management Simulation</w:t>
      </w:r>
    </w:p>
    <w:p>
      <w:pPr>
        <w:spacing w:before="0" w:after="60"/>
      </w:pPr>
      <w:r>
        <w:rPr>
          <w:rFonts w:ascii="Arial" w:cs="Arial" w:eastAsia="Arial" w:hAnsi="Arial"/>
          <w:b/>
          <w:bCs/>
          <w:color w:val="5B21B6"/>
          <w:sz w:val="21"/>
          <w:szCs w:val="21"/>
        </w:rPr>
        <w:t xml:space="preserve">Category:  </w:t>
      </w:r>
      <w:r>
        <w:rPr>
          <w:rFonts w:ascii="Arial" w:cs="Arial" w:eastAsia="Arial" w:hAnsi="Arial"/>
          <w:color w:val="374151"/>
          <w:sz w:val="21"/>
          <w:szCs w:val="21"/>
        </w:rPr>
        <w:t xml:space="preserve">Execution &amp; Organisation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0"/>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D4ED8"/>
                <w:sz w:val="20"/>
                <w:szCs w:val="20"/>
              </w:rPr>
              <w:t xml:space="preserve">Purpose:  </w:t>
            </w:r>
            <w:r>
              <w:rPr>
                <w:rFonts w:ascii="Arial" w:cs="Arial" w:eastAsia="Arial" w:hAnsi="Arial"/>
                <w:color w:val="374151"/>
                <w:sz w:val="20"/>
                <w:szCs w:val="20"/>
              </w:rPr>
              <w:t xml:space="preserve">Evaluate how candidates plan, prioritise, and allocate time across a realistic work day.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10"/>
              <w:bottom w:val="single" w:color="BFDBFE" w:sz="1"/>
              <w:right w:val="single" w:color="BFDBFE" w:sz="1"/>
            </w:tcBorders>
            <w:shd w:fill="EDE9FE" w:val="clear"/>
            <w:tcMar>
              <w:top w:type="dxa" w:w="120"/>
              <w:left w:type="dxa" w:w="200"/>
              <w:bottom w:type="dxa" w:w="120"/>
              <w:right w:type="dxa" w:w="160"/>
            </w:tcMar>
          </w:tcPr>
          <w:p>
            <w:r>
              <w:rPr>
                <w:rFonts w:ascii="Arial" w:cs="Arial" w:eastAsia="Arial" w:hAnsi="Arial"/>
                <w:b/>
                <w:bCs/>
                <w:color w:val="5B21B6"/>
                <w:sz w:val="20"/>
                <w:szCs w:val="20"/>
              </w:rPr>
              <w:t xml:space="preserve">Design Principle:  </w:t>
            </w:r>
            <w:r>
              <w:rPr>
                <w:rFonts w:ascii="Arial" w:cs="Arial" w:eastAsia="Arial" w:hAnsi="Arial"/>
                <w:color w:val="374151"/>
                <w:sz w:val="20"/>
                <w:szCs w:val="20"/>
              </w:rPr>
              <w:t xml:space="preserve">Time management is the invisible skill that separates productive professionals from perpetually behind ones.</w:t>
            </w:r>
          </w:p>
        </w:tc>
      </w:tr>
    </w:tbl>
    <w:p>
      <w:pPr>
        <w:spacing w:before="120" w:after="0"/>
      </w:pPr>
      <w:r>
        <w:t xml:space="preserve"/>
      </w:r>
    </w:p>
    <w:p>
      <w:pPr>
        <w:pStyle w:val="Heading2"/>
        <w:spacing w:before="240" w:after="80"/>
      </w:pPr>
      <w:r>
        <w:rPr>
          <w:rFonts w:ascii="Arial" w:cs="Arial" w:eastAsia="Arial" w:hAnsi="Arial"/>
          <w:b/>
          <w:bCs/>
          <w:color w:val="0F2D6B"/>
          <w:sz w:val="25"/>
          <w:szCs w:val="25"/>
        </w:rPr>
        <w:t xml:space="preserve">Overview</w:t>
      </w:r>
    </w:p>
    <w:p>
      <w:pPr>
        <w:spacing w:before="0" w:after="150"/>
      </w:pPr>
      <w:r>
        <w:rPr>
          <w:rFonts w:ascii="Arial" w:cs="Arial" w:eastAsia="Arial" w:hAnsi="Arial"/>
          <w:color w:val="374151"/>
          <w:sz w:val="21"/>
          <w:szCs w:val="21"/>
        </w:rPr>
        <w:t xml:space="preserve">Time Management Simulation presents candidates with a condensed but comprehensive simulation of a full work day — a backlog of tasks with varying urgency, importance, and estimated effort, alongside a set of calendar obligations, unexpected interruptions, and stakeholder requests. The evaluation measures how thoughtfully and effectively the candidate plans their day, responds to change, and reflects on their choices.</w:t>
      </w:r>
    </w:p>
    <w:p>
      <w:pPr>
        <w:pStyle w:val="Heading2"/>
        <w:spacing w:before="240" w:after="80"/>
      </w:pPr>
      <w:r>
        <w:rPr>
          <w:rFonts w:ascii="Arial" w:cs="Arial" w:eastAsia="Arial" w:hAnsi="Arial"/>
          <w:b/>
          <w:bCs/>
          <w:color w:val="0F2D6B"/>
          <w:sz w:val="25"/>
          <w:szCs w:val="25"/>
        </w:rPr>
        <w:t xml:space="preserve">Detailed Description</w:t>
      </w:r>
    </w:p>
    <w:p>
      <w:pPr>
        <w:spacing w:before="0" w:after="150"/>
      </w:pPr>
      <w:r>
        <w:rPr>
          <w:rFonts w:ascii="Arial" w:cs="Arial" w:eastAsia="Arial" w:hAnsi="Arial"/>
          <w:color w:val="374151"/>
          <w:sz w:val="21"/>
          <w:szCs w:val="21"/>
        </w:rPr>
        <w:t xml:space="preserve">The simulation presents the candidate with a contextualised work day scenario: they have a specific role, a set of pending tasks with urgency and importance indicators, calendar obligations (meetings, reviews, deadlines), and a message inbox containing requests from teammates and stakeholders. The candidate must construct a day plan — assigning tasks to time blocks, making priority decisions, and managing their simulated calendar. The simulation then plays out: at scheduled intervals, new inputs arrive (a meeting is cancelled, a critical bug is reported, a teammate requests urgent assistance), and the candidate must adapt their plan in real time.</w:t>
      </w:r>
    </w:p>
    <w:p>
      <w:pPr>
        <w:spacing w:before="0" w:after="150"/>
      </w:pPr>
      <w:r>
        <w:rPr>
          <w:rFonts w:ascii="Arial" w:cs="Arial" w:eastAsia="Arial" w:hAnsi="Arial"/>
          <w:color w:val="374151"/>
          <w:sz w:val="21"/>
          <w:szCs w:val="21"/>
        </w:rPr>
        <w:t xml:space="preserve">Time allocation decisions are evaluated against a structured framework aligned to professional effectiveness research. The system measures how accurately the candidate identifies and prioritises high-impact tasks over low-impact ones (Impact Discrimination), how effectively they protect deep-work time from fragmentation (Focus Protection), how they handle unplanned work without abandoning their plan entirely (Interruption Management), and how they communicate delays or changes in commitments to stakeholders (Expectation Communication).</w:t>
      </w:r>
    </w:p>
    <w:p>
      <w:pPr>
        <w:spacing w:before="0" w:after="150"/>
      </w:pPr>
      <w:r>
        <w:rPr>
          <w:rFonts w:ascii="Arial" w:cs="Arial" w:eastAsia="Arial" w:hAnsi="Arial"/>
          <w:color w:val="374151"/>
          <w:sz w:val="21"/>
          <w:szCs w:val="21"/>
        </w:rPr>
        <w:t xml:space="preserve">At the end of the simulation, the candidate completes a brief Reflection Protocol — they are asked to review their day plan and actual execution, identify the most significant planning mistake they made, and describe what they would do differently. Reflection quality is itself an evaluation dimension: professionals who can accurately identify their own time management failures and articulate specific improvements demonstrate metacognitive awareness that strongly correlates with real-world time management improvement over time.</w:t>
      </w:r>
    </w:p>
    <w:p>
      <w:pPr>
        <w:pStyle w:val="Heading2"/>
        <w:spacing w:before="240" w:after="80"/>
      </w:pPr>
      <w:r>
        <w:rPr>
          <w:rFonts w:ascii="Arial" w:cs="Arial" w:eastAsia="Arial" w:hAnsi="Arial"/>
          <w:b/>
          <w:bCs/>
          <w:color w:val="0F2D6B"/>
          <w:sz w:val="25"/>
          <w:szCs w:val="25"/>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Parameter</w:t>
            </w:r>
          </w:p>
        </w:tc>
        <w:tc>
          <w:tcPr>
            <w:tcW w:type="dxa" w:w="65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Specification</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Simulation Duration</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90-minute session representing a condensed 8-hour work day</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Task Backlog</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12–18 tasks with urgency, importance, effort, and deadline metadata</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Interruption Events</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4–6 unplanned inputs injected during the simulated day</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Evaluation Dimensions</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Impact Discrimination / Focus Protection / Interruption Management / Expectation Communication</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Calendar Integration</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Simulated calendar with meetings, deadlines, and blocked time</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Reflection Protocol</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Post-session structured self-review evaluated for metacognitive quality</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Role-Calibration</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Task mix and interruption type calibrated to specific role</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AI Coaching Output</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Post-session personalised time management coaching report for candidate</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Performance Score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Signal / Dimension</w:t>
            </w:r>
          </w:p>
        </w:tc>
        <w:tc>
          <w:tcPr>
            <w:tcW w:type="dxa" w:w="14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Weight</w:t>
            </w:r>
          </w:p>
        </w:tc>
        <w:tc>
          <w:tcPr>
            <w:tcW w:type="dxa" w:w="476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What It Measures</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Impact Discrimination</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30%</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Accuracy of distinguishing high vs. low-impact tasks and planning accordingly</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Focus Protection</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25%</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Quality of deep-work time protection against fragmentation</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Interruption Management</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25%</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Effectiveness of adapting plan in response to unplanned inputs</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Expectation Communication</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10%</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Proactiveness and quality of communicating delays and changes</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Reflection Quality</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10%</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Accuracy and depth of self-identified improvement areas</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Use Case Examples</w:t>
      </w:r>
    </w:p>
    <w:p>
      <w:pPr>
        <w:pStyle w:val="ListParagraph"/>
        <w:numPr>
          <w:ilvl w:val="0"/>
          <w:numId w:val="2"/>
        </w:numPr>
        <w:spacing w:before="44" w:after="44"/>
      </w:pPr>
      <w:r>
        <w:rPr>
          <w:rFonts w:ascii="Arial" w:cs="Arial" w:eastAsia="Arial" w:hAnsi="Arial"/>
          <w:color w:val="374151"/>
          <w:sz w:val="21"/>
          <w:szCs w:val="21"/>
        </w:rPr>
        <w:t xml:space="preserve">A candidate for a product manager role is given 15 tasks across a simulated sprint day — their decision to deprioritise a customer success escalation in favour of internal documentation reveals an impact discrimination gap flagged in the Simulation Report.</w:t>
      </w:r>
    </w:p>
    <w:p>
      <w:pPr>
        <w:pStyle w:val="ListParagraph"/>
        <w:numPr>
          <w:ilvl w:val="0"/>
          <w:numId w:val="2"/>
        </w:numPr>
        <w:spacing w:before="44" w:after="44"/>
      </w:pPr>
      <w:r>
        <w:rPr>
          <w:rFonts w:ascii="Arial" w:cs="Arial" w:eastAsia="Arial" w:hAnsi="Arial"/>
          <w:color w:val="374151"/>
          <w:sz w:val="21"/>
          <w:szCs w:val="21"/>
        </w:rPr>
        <w:t xml:space="preserve">A candidate for a senior consultant role responds to 5 interruptions during the simulation — their management of stakeholder expectations following each interruption (proactively communicating delays vs. silently absorbing the disruption) is a key evaluation signal for client management readiness.</w:t>
      </w:r>
    </w:p>
    <w:p>
      <w:pPr>
        <w:pStyle w:val="ListParagraph"/>
        <w:numPr>
          <w:ilvl w:val="0"/>
          <w:numId w:val="2"/>
        </w:numPr>
        <w:spacing w:before="44" w:after="44"/>
      </w:pPr>
      <w:r>
        <w:rPr>
          <w:rFonts w:ascii="Arial" w:cs="Arial" w:eastAsia="Arial" w:hAnsi="Arial"/>
          <w:color w:val="374151"/>
          <w:sz w:val="21"/>
          <w:szCs w:val="21"/>
        </w:rPr>
        <w:t xml:space="preserve">The post-session coaching report given to a candidate identifies that they consistently over-scheduled their morning and under-protected deep-work time — the candidate finds this feedback as valuable as the recruiter finds the underlying performance signal.</w:t>
      </w:r>
    </w:p>
    <w:p>
      <w:pPr>
        <w:spacing w:before="80" w:after="0"/>
      </w:pPr>
      <w:r>
        <w:t xml:space="preserve"/>
      </w:r>
    </w:p>
    <w:p>
      <w:pPr>
        <w:pBdr>
          <w:bottom w:val="single" w:color="1D4ED8" w:sz="3" w:space="1"/>
        </w:pBdr>
        <w:spacing w:before="80" w:after="80"/>
      </w:pPr>
      <w:r>
        <w:t xml:space="preserve"/>
      </w:r>
    </w:p>
    <w:p>
      <w:pPr>
        <w:spacing w:before="40" w:after="0"/>
      </w:pPr>
      <w:r>
        <w:t xml:space="preserve"/>
      </w:r>
    </w:p>
    <w:p>
      <w:pPr>
        <w:spacing w:before="100" w:after="80"/>
      </w:pPr>
      <w:r>
        <w:rPr>
          <w:rFonts w:ascii="Arial" w:cs="Arial" w:eastAsia="Arial" w:hAnsi="Arial"/>
          <w:b/>
          <w:bCs/>
          <w:color w:val="6B7280"/>
          <w:sz w:val="30"/>
          <w:szCs w:val="30"/>
        </w:rPr>
        <w:t xml:space="preserve">Feature 4.8  </w:t>
      </w:r>
      <w:r>
        <w:rPr>
          <w:rFonts w:ascii="Arial" w:cs="Arial" w:eastAsia="Arial" w:hAnsi="Arial"/>
          <w:b/>
          <w:bCs/>
          <w:color w:val="0A1628"/>
          <w:sz w:val="30"/>
          <w:szCs w:val="30"/>
        </w:rPr>
        <w:t xml:space="preserve">Role Readiness Scoring</w:t>
      </w:r>
    </w:p>
    <w:p>
      <w:pPr>
        <w:spacing w:before="0" w:after="60"/>
      </w:pPr>
      <w:r>
        <w:rPr>
          <w:rFonts w:ascii="Arial" w:cs="Arial" w:eastAsia="Arial" w:hAnsi="Arial"/>
          <w:b/>
          <w:bCs/>
          <w:color w:val="5B21B6"/>
          <w:sz w:val="21"/>
          <w:szCs w:val="21"/>
        </w:rPr>
        <w:t xml:space="preserve">Category:  </w:t>
      </w:r>
      <w:r>
        <w:rPr>
          <w:rFonts w:ascii="Arial" w:cs="Arial" w:eastAsia="Arial" w:hAnsi="Arial"/>
          <w:color w:val="374151"/>
          <w:sz w:val="21"/>
          <w:szCs w:val="21"/>
        </w:rPr>
        <w:t xml:space="preserve">Composite Evaluation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0"/>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D4ED8"/>
                <w:sz w:val="20"/>
                <w:szCs w:val="20"/>
              </w:rPr>
              <w:t xml:space="preserve">Purpose:  </w:t>
            </w:r>
            <w:r>
              <w:rPr>
                <w:rFonts w:ascii="Arial" w:cs="Arial" w:eastAsia="Arial" w:hAnsi="Arial"/>
                <w:color w:val="374151"/>
                <w:sz w:val="20"/>
                <w:szCs w:val="20"/>
              </w:rPr>
              <w:t xml:space="preserve">Produce a single, comprehensive, explainable readiness score for the candidate-role fit.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10"/>
              <w:bottom w:val="single" w:color="BFDBFE" w:sz="1"/>
              <w:right w:val="single" w:color="BFDBFE" w:sz="1"/>
            </w:tcBorders>
            <w:shd w:fill="EDE9FE" w:val="clear"/>
            <w:tcMar>
              <w:top w:type="dxa" w:w="120"/>
              <w:left w:type="dxa" w:w="200"/>
              <w:bottom w:type="dxa" w:w="120"/>
              <w:right w:type="dxa" w:w="160"/>
            </w:tcMar>
          </w:tcPr>
          <w:p>
            <w:r>
              <w:rPr>
                <w:rFonts w:ascii="Arial" w:cs="Arial" w:eastAsia="Arial" w:hAnsi="Arial"/>
                <w:b/>
                <w:bCs/>
                <w:color w:val="5B21B6"/>
                <w:sz w:val="20"/>
                <w:szCs w:val="20"/>
              </w:rPr>
              <w:t xml:space="preserve">Design Principle:  </w:t>
            </w:r>
            <w:r>
              <w:rPr>
                <w:rFonts w:ascii="Arial" w:cs="Arial" w:eastAsia="Arial" w:hAnsi="Arial"/>
                <w:color w:val="374151"/>
                <w:sz w:val="20"/>
                <w:szCs w:val="20"/>
              </w:rPr>
              <w:t xml:space="preserve">One number that synthesises every simulation dimension into a defensible, auditable hiring signal.</w:t>
            </w:r>
          </w:p>
        </w:tc>
      </w:tr>
    </w:tbl>
    <w:p>
      <w:pPr>
        <w:spacing w:before="120" w:after="0"/>
      </w:pPr>
      <w:r>
        <w:t xml:space="preserve"/>
      </w:r>
    </w:p>
    <w:p>
      <w:pPr>
        <w:pStyle w:val="Heading2"/>
        <w:spacing w:before="240" w:after="80"/>
      </w:pPr>
      <w:r>
        <w:rPr>
          <w:rFonts w:ascii="Arial" w:cs="Arial" w:eastAsia="Arial" w:hAnsi="Arial"/>
          <w:b/>
          <w:bCs/>
          <w:color w:val="0F2D6B"/>
          <w:sz w:val="25"/>
          <w:szCs w:val="25"/>
        </w:rPr>
        <w:t xml:space="preserve">Overview</w:t>
      </w:r>
    </w:p>
    <w:p>
      <w:pPr>
        <w:spacing w:before="0" w:after="150"/>
      </w:pPr>
      <w:r>
        <w:rPr>
          <w:rFonts w:ascii="Arial" w:cs="Arial" w:eastAsia="Arial" w:hAnsi="Arial"/>
          <w:color w:val="374151"/>
          <w:sz w:val="21"/>
          <w:szCs w:val="21"/>
        </w:rPr>
        <w:t xml:space="preserve">Role Readiness Scoring is the synthesis layer of the AI Career Simulation Engine. It aggregates performance signals from all active simulation modules into a single composite Role Readiness Score (0–100) — an explainable, multi-dimensional score that quantifies how ready a candidate is to perform effectively in the specific role from the first day of employment. Unlike a single assessment score, the Role Readiness Score is a weighted synthesis that reflects the full complexity of professional role fit.</w:t>
      </w:r>
    </w:p>
    <w:p>
      <w:pPr>
        <w:pStyle w:val="Heading2"/>
        <w:spacing w:before="240" w:after="80"/>
      </w:pPr>
      <w:r>
        <w:rPr>
          <w:rFonts w:ascii="Arial" w:cs="Arial" w:eastAsia="Arial" w:hAnsi="Arial"/>
          <w:b/>
          <w:bCs/>
          <w:color w:val="0F2D6B"/>
          <w:sz w:val="25"/>
          <w:szCs w:val="25"/>
        </w:rPr>
        <w:t xml:space="preserve">Detailed Description</w:t>
      </w:r>
    </w:p>
    <w:p>
      <w:pPr>
        <w:spacing w:before="0" w:after="150"/>
      </w:pPr>
      <w:r>
        <w:rPr>
          <w:rFonts w:ascii="Arial" w:cs="Arial" w:eastAsia="Arial" w:hAnsi="Arial"/>
          <w:color w:val="374151"/>
          <w:sz w:val="21"/>
          <w:szCs w:val="21"/>
        </w:rPr>
        <w:t xml:space="preserve">The Role Readiness Score is built on a Role Weighting Model — a configuration that specifies how much each simulation dimension contributes to the overall score for a specific role type. The weighting model is different for each role category: a software engineering role weights technical challenge performance and task execution heavily; a client-facing account management role weights scenario judgment and communication quality more heavily; a leadership role weights team collaboration, stress handling, and time management as primary dimensions. Recruiters can customise the weighting model for their specific role requirements.</w:t>
      </w:r>
    </w:p>
    <w:p>
      <w:pPr>
        <w:spacing w:before="0" w:after="150"/>
      </w:pPr>
      <w:r>
        <w:rPr>
          <w:rFonts w:ascii="Arial" w:cs="Arial" w:eastAsia="Arial" w:hAnsi="Arial"/>
          <w:color w:val="374151"/>
          <w:sz w:val="21"/>
          <w:szCs w:val="21"/>
        </w:rPr>
        <w:t xml:space="preserve">The score is intentionally explainable. Each Role Readiness Report includes a full score breakdown showing the contribution of each simulation module, with a plain-language narrative explaining the candidate's strengths and development areas. A Confidence Indicator is displayed alongside the score — reflecting how many simulation modules were completed (a score based on all 7 modules has a High confidence rating; a score based on only 3 modules has a Lower confidence rating). This prevents misleading precision in partial assessments.</w:t>
      </w:r>
    </w:p>
    <w:p>
      <w:pPr>
        <w:spacing w:before="0" w:after="150"/>
      </w:pPr>
      <w:r>
        <w:rPr>
          <w:rFonts w:ascii="Arial" w:cs="Arial" w:eastAsia="Arial" w:hAnsi="Arial"/>
          <w:color w:val="374151"/>
          <w:sz w:val="21"/>
          <w:szCs w:val="21"/>
        </w:rPr>
        <w:t xml:space="preserve">Role Readiness Scores can be used in three operational modes. Absolute Threshold Mode: the recruiter sets a minimum Role Readiness Score and only candidates above the threshold advance to interviews. Comparative Ranking Mode: the recruiter views candidates ranked by score and manually selects which tier to advance. Dimension-Weighted Mode: the recruiter identifies the one or two simulation dimensions most critical for their role and filters or sorts candidates primarily by those dimension scores rather than the composite. All three modes are supported simultaneously within the same recruiter view.</w:t>
      </w:r>
    </w:p>
    <w:p>
      <w:pPr>
        <w:pStyle w:val="Heading2"/>
        <w:spacing w:before="240" w:after="80"/>
      </w:pPr>
      <w:r>
        <w:rPr>
          <w:rFonts w:ascii="Arial" w:cs="Arial" w:eastAsia="Arial" w:hAnsi="Arial"/>
          <w:b/>
          <w:bCs/>
          <w:color w:val="0F2D6B"/>
          <w:sz w:val="25"/>
          <w:szCs w:val="25"/>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Parameter</w:t>
            </w:r>
          </w:p>
        </w:tc>
        <w:tc>
          <w:tcPr>
            <w:tcW w:type="dxa" w:w="65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Specification</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Score Range</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0–100 composite Role Readiness Score</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Role Weighting Model</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Configurable dimension weights per role category</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Confidence Indicator</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Score confidence based on number of completed simulation modules</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Explainability</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Full dimension breakdown with plain-language narrative per candidate</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Operational Modes</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Absolute Threshold / Comparative Ranking / Dimension-Weighted</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Benchmark Comparison</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Score compared to role-specific benchmark cohort (top 10%, top 25%, etc.)</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Historical Comparison</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Score compared to previously hired candidates in same role (if data available)</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Export</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Full Role Readiness Report exportable as PDF for ATS integration or interview prep</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Performance Score Breakdown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Signal / Dimension</w:t>
            </w:r>
          </w:p>
        </w:tc>
        <w:tc>
          <w:tcPr>
            <w:tcW w:type="dxa" w:w="140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Weight</w:t>
            </w:r>
          </w:p>
        </w:tc>
        <w:tc>
          <w:tcPr>
            <w:tcW w:type="dxa" w:w="4760"/>
            <w:tcBorders>
              <w:top w:val="single" w:color="BFDBFE" w:sz="1"/>
              <w:left w:val="single" w:color="BFDBFE" w:sz="1"/>
              <w:bottom w:val="single" w:color="BFDBFE" w:sz="1"/>
              <w:right w:val="single" w:color="BFDBFE" w:sz="1"/>
            </w:tcBorders>
            <w:shd w:fill="0F2D6B"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What It Measures</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Technical Challenge</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Varies by role</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Real-world technical problem-solving performance</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Task-Based Performance</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Varies by role</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Execution quality, efficiency, and accuracy on role-specific tasks</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Workplace Scenario</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Varies by role</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Professional judgment and situational decision quality</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Team Collaboration</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Varies by role</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Collaborative effectiveness and communication in team context</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Stress Handling</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Varies by role</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Performance and communication stability under pressure</w:t>
            </w:r>
          </w:p>
        </w:tc>
      </w:tr>
      <w:tr>
        <w:tc>
          <w:tcPr>
            <w:tcW w:type="dxa" w:w="32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Time Management</w:t>
            </w:r>
          </w:p>
        </w:tc>
        <w:tc>
          <w:tcPr>
            <w:tcW w:type="dxa" w:w="1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Varies by role</w:t>
            </w:r>
          </w:p>
        </w:tc>
        <w:tc>
          <w:tcPr>
            <w:tcW w:type="dxa" w:w="47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Planning quality, priority accuracy, and adaptive execution</w:t>
            </w:r>
          </w:p>
        </w:tc>
      </w:tr>
      <w:tr>
        <w:tc>
          <w:tcPr>
            <w:tcW w:type="dxa" w:w="32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Career Readiness</w:t>
            </w:r>
          </w:p>
        </w:tc>
        <w:tc>
          <w:tcPr>
            <w:tcW w:type="dxa" w:w="1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1D4ED8"/>
                <w:sz w:val="20"/>
                <w:szCs w:val="20"/>
              </w:rPr>
              <w:t xml:space="preserve">Fixed 10%</w:t>
            </w:r>
          </w:p>
        </w:tc>
        <w:tc>
          <w:tcPr>
            <w:tcW w:type="dxa" w:w="47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Profile completeness, communication, and professional presentation</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Use Case Examples</w:t>
      </w:r>
    </w:p>
    <w:p>
      <w:pPr>
        <w:pStyle w:val="ListParagraph"/>
        <w:numPr>
          <w:ilvl w:val="0"/>
          <w:numId w:val="2"/>
        </w:numPr>
        <w:spacing w:before="44" w:after="44"/>
      </w:pPr>
      <w:r>
        <w:rPr>
          <w:rFonts w:ascii="Arial" w:cs="Arial" w:eastAsia="Arial" w:hAnsi="Arial"/>
          <w:color w:val="374151"/>
          <w:sz w:val="21"/>
          <w:szCs w:val="21"/>
        </w:rPr>
        <w:t xml:space="preserve">A recruiter sets a Role Readiness Score minimum of 72 for a mid-level backend role. Of 60 candidates who complete the simulation suite, 18 score above 72 — these become the interview pool, replacing a manual resume screen that previously took 3 days.</w:t>
      </w:r>
    </w:p>
    <w:p>
      <w:pPr>
        <w:pStyle w:val="ListParagraph"/>
        <w:numPr>
          <w:ilvl w:val="0"/>
          <w:numId w:val="2"/>
        </w:numPr>
        <w:spacing w:before="44" w:after="44"/>
      </w:pPr>
      <w:r>
        <w:rPr>
          <w:rFonts w:ascii="Arial" w:cs="Arial" w:eastAsia="Arial" w:hAnsi="Arial"/>
          <w:color w:val="374151"/>
          <w:sz w:val="21"/>
          <w:szCs w:val="21"/>
        </w:rPr>
        <w:t xml:space="preserve">A hiring manager reviewing two similarly-scored candidates uses Dimension-Weighted Mode to compare their Workplace Scenario Simulation scores specifically — for a client-facing role, this dimension is more predictive than overall score.</w:t>
      </w:r>
    </w:p>
    <w:p>
      <w:pPr>
        <w:pStyle w:val="ListParagraph"/>
        <w:numPr>
          <w:ilvl w:val="0"/>
          <w:numId w:val="2"/>
        </w:numPr>
        <w:spacing w:before="44" w:after="44"/>
      </w:pPr>
      <w:r>
        <w:rPr>
          <w:rFonts w:ascii="Arial" w:cs="Arial" w:eastAsia="Arial" w:hAnsi="Arial"/>
          <w:color w:val="374151"/>
          <w:sz w:val="21"/>
          <w:szCs w:val="21"/>
        </w:rPr>
        <w:t xml:space="preserve">A company compares new hires' Role Readiness Scores against their actual 6-month performance reviews — the correlation data is fed back into the Role Weighting Model, improving score predictive accuracy over time.</w:t>
      </w:r>
    </w:p>
    <w:p>
      <w:pPr>
        <w:spacing w:before="80" w:after="0"/>
      </w:pPr>
      <w:r>
        <w:t xml:space="preserve"/>
      </w:r>
    </w:p>
    <w:p>
      <w:pPr>
        <w:pBdr>
          <w:bottom w:val="single" w:color="1D4ED8" w:sz="3" w:space="1"/>
        </w:pBdr>
        <w:spacing w:before="80" w:after="80"/>
      </w:pPr>
      <w:r>
        <w:t xml:space="preserve"/>
      </w:r>
    </w:p>
    <w:p>
      <w:pPr>
        <w:spacing w:before="40" w:after="0"/>
      </w:pPr>
      <w:r>
        <w:t xml:space="preserve"/>
      </w:r>
    </w:p>
    <w:p>
      <w:pPr>
        <w:spacing w:before="100" w:after="80"/>
      </w:pPr>
      <w:r>
        <w:rPr>
          <w:rFonts w:ascii="Arial" w:cs="Arial" w:eastAsia="Arial" w:hAnsi="Arial"/>
          <w:b/>
          <w:bCs/>
          <w:color w:val="6B7280"/>
          <w:sz w:val="30"/>
          <w:szCs w:val="30"/>
        </w:rPr>
        <w:t xml:space="preserve">Feature 4.9  </w:t>
      </w:r>
      <w:r>
        <w:rPr>
          <w:rFonts w:ascii="Arial" w:cs="Arial" w:eastAsia="Arial" w:hAnsi="Arial"/>
          <w:b/>
          <w:bCs/>
          <w:color w:val="0A1628"/>
          <w:sz w:val="30"/>
          <w:szCs w:val="30"/>
        </w:rPr>
        <w:t xml:space="preserve">Career Path Projection</w:t>
      </w:r>
    </w:p>
    <w:p>
      <w:pPr>
        <w:spacing w:before="0" w:after="60"/>
      </w:pPr>
      <w:r>
        <w:rPr>
          <w:rFonts w:ascii="Arial" w:cs="Arial" w:eastAsia="Arial" w:hAnsi="Arial"/>
          <w:b/>
          <w:bCs/>
          <w:color w:val="5B21B6"/>
          <w:sz w:val="21"/>
          <w:szCs w:val="21"/>
        </w:rPr>
        <w:t xml:space="preserve">Category:  </w:t>
      </w:r>
      <w:r>
        <w:rPr>
          <w:rFonts w:ascii="Arial" w:cs="Arial" w:eastAsia="Arial" w:hAnsi="Arial"/>
          <w:color w:val="374151"/>
          <w:sz w:val="21"/>
          <w:szCs w:val="21"/>
        </w:rPr>
        <w:t xml:space="preserve">Predictive Analytics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0"/>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D4ED8"/>
                <w:sz w:val="20"/>
                <w:szCs w:val="20"/>
              </w:rPr>
              <w:t xml:space="preserve">Purpose:  </w:t>
            </w:r>
            <w:r>
              <w:rPr>
                <w:rFonts w:ascii="Arial" w:cs="Arial" w:eastAsia="Arial" w:hAnsi="Arial"/>
                <w:color w:val="374151"/>
                <w:sz w:val="20"/>
                <w:szCs w:val="20"/>
              </w:rPr>
              <w:t xml:space="preserve">Model the likely trajectory of a candidate's career within the company based on simulation performance.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10"/>
              <w:bottom w:val="single" w:color="BFDBFE" w:sz="1"/>
              <w:right w:val="single" w:color="BFDBFE" w:sz="1"/>
            </w:tcBorders>
            <w:shd w:fill="EDE9FE" w:val="clear"/>
            <w:tcMar>
              <w:top w:type="dxa" w:w="120"/>
              <w:left w:type="dxa" w:w="200"/>
              <w:bottom w:type="dxa" w:w="120"/>
              <w:right w:type="dxa" w:w="160"/>
            </w:tcMar>
          </w:tcPr>
          <w:p>
            <w:r>
              <w:rPr>
                <w:rFonts w:ascii="Arial" w:cs="Arial" w:eastAsia="Arial" w:hAnsi="Arial"/>
                <w:b/>
                <w:bCs/>
                <w:color w:val="5B21B6"/>
                <w:sz w:val="20"/>
                <w:szCs w:val="20"/>
              </w:rPr>
              <w:t xml:space="preserve">Design Principle:  </w:t>
            </w:r>
            <w:r>
              <w:rPr>
                <w:rFonts w:ascii="Arial" w:cs="Arial" w:eastAsia="Arial" w:hAnsi="Arial"/>
                <w:color w:val="374151"/>
                <w:sz w:val="20"/>
                <w:szCs w:val="20"/>
              </w:rPr>
              <w:t xml:space="preserve">Hiring is not a one-time fit decision — it is an investment in a career that will unfold over years.</w:t>
            </w:r>
          </w:p>
        </w:tc>
      </w:tr>
    </w:tbl>
    <w:p>
      <w:pPr>
        <w:spacing w:before="120" w:after="0"/>
      </w:pPr>
      <w:r>
        <w:t xml:space="preserve"/>
      </w:r>
    </w:p>
    <w:p>
      <w:pPr>
        <w:pStyle w:val="Heading2"/>
        <w:spacing w:before="240" w:after="80"/>
      </w:pPr>
      <w:r>
        <w:rPr>
          <w:rFonts w:ascii="Arial" w:cs="Arial" w:eastAsia="Arial" w:hAnsi="Arial"/>
          <w:b/>
          <w:bCs/>
          <w:color w:val="0F2D6B"/>
          <w:sz w:val="25"/>
          <w:szCs w:val="25"/>
        </w:rPr>
        <w:t xml:space="preserve">Overview</w:t>
      </w:r>
    </w:p>
    <w:p>
      <w:pPr>
        <w:spacing w:before="0" w:after="150"/>
      </w:pPr>
      <w:r>
        <w:rPr>
          <w:rFonts w:ascii="Arial" w:cs="Arial" w:eastAsia="Arial" w:hAnsi="Arial"/>
          <w:color w:val="374151"/>
          <w:sz w:val="21"/>
          <w:szCs w:val="21"/>
        </w:rPr>
        <w:t xml:space="preserve">Career Path Projection uses simulation performance data, candidate learning signals, and industry career progression models to generate a probabilistic forecast of how a candidate's career is likely to develop within the hiring company. It answers not just 'can this candidate do the current role?' but 'how might this candidate grow from this role, and what trajectory are they likely to follow over the next 3–5 years?'</w:t>
      </w:r>
    </w:p>
    <w:p>
      <w:pPr>
        <w:pStyle w:val="Heading2"/>
        <w:spacing w:before="240" w:after="80"/>
      </w:pPr>
      <w:r>
        <w:rPr>
          <w:rFonts w:ascii="Arial" w:cs="Arial" w:eastAsia="Arial" w:hAnsi="Arial"/>
          <w:b/>
          <w:bCs/>
          <w:color w:val="0F2D6B"/>
          <w:sz w:val="25"/>
          <w:szCs w:val="25"/>
        </w:rPr>
        <w:t xml:space="preserve">Detailed Description</w:t>
      </w:r>
    </w:p>
    <w:p>
      <w:pPr>
        <w:spacing w:before="0" w:after="150"/>
      </w:pPr>
      <w:r>
        <w:rPr>
          <w:rFonts w:ascii="Arial" w:cs="Arial" w:eastAsia="Arial" w:hAnsi="Arial"/>
          <w:color w:val="374151"/>
          <w:sz w:val="21"/>
          <w:szCs w:val="21"/>
        </w:rPr>
        <w:t xml:space="preserve">The Career Path Projection model is built on three data inputs. First, the candidate's full EcoSkiller profile — their skill trajectory over time on the platform, learning discipline score, competition performance history, and simulation results across all modules. Second, the hiring company's internal career path framework — the role levels, progression criteria, and typical timelines that the HR team has configured in the company's EcoSkiller account. Third, anonymised aggregate progression data from EcoSkiller's platform — patterns of how candidates with similar profiles have progressed in similar roles at similar companies, assembled from opt-in data sharing.</w:t>
      </w:r>
    </w:p>
    <w:p>
      <w:pPr>
        <w:spacing w:before="0" w:after="150"/>
      </w:pPr>
      <w:r>
        <w:rPr>
          <w:rFonts w:ascii="Arial" w:cs="Arial" w:eastAsia="Arial" w:hAnsi="Arial"/>
          <w:color w:val="374151"/>
          <w:sz w:val="21"/>
          <w:szCs w:val="21"/>
        </w:rPr>
        <w:t xml:space="preserve">The projection outputs a Career Path Map — a visual representation of the candidate's most likely progression trajectory within the company over 12, 24, and 36 months. For each time horizon, the projection includes: the most probable next role or level, a confidence percentage for that projection, alternative paths (e.g., a technical track vs. a management track if the candidate shows aptitude for both), and the specific skill or competency gaps that would need to close for each path to be realised.</w:t>
      </w:r>
    </w:p>
    <w:p>
      <w:pPr>
        <w:spacing w:before="0" w:after="150"/>
      </w:pPr>
      <w:r>
        <w:rPr>
          <w:rFonts w:ascii="Arial" w:cs="Arial" w:eastAsia="Arial" w:hAnsi="Arial"/>
          <w:color w:val="374151"/>
          <w:sz w:val="21"/>
          <w:szCs w:val="21"/>
        </w:rPr>
        <w:t xml:space="preserve">Career Path Projection serves three distinct stakeholders. For recruiters, it answers whether a candidate is likely to stay in the role long enough to deliver value, or whether their trajectory suggests they will outgrow it quickly — a consideration for retention planning. For hiring managers, it helps identify candidates who can grow into more senior or cross-functional roles, informing strategic workforce planning. For candidates themselves (in a separate candidate-facing view), the projection provides genuine insight into how their profile aligns with potential career outcomes — a powerful engagement tool that builds platform loyalty.</w:t>
      </w:r>
    </w:p>
    <w:p>
      <w:pPr>
        <w:pStyle w:val="Heading2"/>
        <w:spacing w:before="240" w:after="80"/>
      </w:pPr>
      <w:r>
        <w:rPr>
          <w:rFonts w:ascii="Arial" w:cs="Arial" w:eastAsia="Arial" w:hAnsi="Arial"/>
          <w:b/>
          <w:bCs/>
          <w:color w:val="0F2D6B"/>
          <w:sz w:val="25"/>
          <w:szCs w:val="25"/>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Parameter</w:t>
            </w:r>
          </w:p>
        </w:tc>
        <w:tc>
          <w:tcPr>
            <w:tcW w:type="dxa" w:w="65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Specification</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Projection Horizons</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12 / 24 / 36 month career trajectory forecasts</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Path Types</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Technical track, management track, cross-functional track, specialist track</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Confidence Intervals</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Probability percentage displayed for each projected path</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Gap Analysis</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Specific skills or competencies needed to achieve each projected path</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Company Framework</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Projections aligned to company's own career ladder configuration</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Candidate View</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Separate candidate-facing career path view with personalised development guidance</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Retention Signal</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Projected time before candidate is likely to outgrow the role</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Aggregate Benchmarking</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Comparison to anonymised progression data from similar profiles</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Use Case Examples</w:t>
      </w:r>
    </w:p>
    <w:p>
      <w:pPr>
        <w:pStyle w:val="ListParagraph"/>
        <w:numPr>
          <w:ilvl w:val="0"/>
          <w:numId w:val="2"/>
        </w:numPr>
        <w:spacing w:before="44" w:after="44"/>
      </w:pPr>
      <w:r>
        <w:rPr>
          <w:rFonts w:ascii="Arial" w:cs="Arial" w:eastAsia="Arial" w:hAnsi="Arial"/>
          <w:color w:val="374151"/>
          <w:sz w:val="21"/>
          <w:szCs w:val="21"/>
        </w:rPr>
        <w:t xml:space="preserve">A recruiter comparing two similarly-qualified backend engineers reviews the Career Path Projection — Candidate A's projection shows a high probability of management readiness within 24 months (valuable for a growing team), while Candidate B projects a deep technical specialist path (better for a team that needs long-term technical depth rather than management bench).</w:t>
      </w:r>
    </w:p>
    <w:p>
      <w:pPr>
        <w:pStyle w:val="ListParagraph"/>
        <w:numPr>
          <w:ilvl w:val="0"/>
          <w:numId w:val="2"/>
        </w:numPr>
        <w:spacing w:before="44" w:after="44"/>
      </w:pPr>
      <w:r>
        <w:rPr>
          <w:rFonts w:ascii="Arial" w:cs="Arial" w:eastAsia="Arial" w:hAnsi="Arial"/>
          <w:color w:val="374151"/>
          <w:sz w:val="21"/>
          <w:szCs w:val="21"/>
        </w:rPr>
        <w:t xml:space="preserve">A hiring manager for a junior analyst role sees that a candidate's projection shows a 78% probability of readiness for Senior Analyst within 18 months — confirming they are hiring ahead of the curve for an upcoming team expansion.</w:t>
      </w:r>
    </w:p>
    <w:p>
      <w:pPr>
        <w:pStyle w:val="ListParagraph"/>
        <w:numPr>
          <w:ilvl w:val="0"/>
          <w:numId w:val="2"/>
        </w:numPr>
        <w:spacing w:before="44" w:after="44"/>
      </w:pPr>
      <w:r>
        <w:rPr>
          <w:rFonts w:ascii="Arial" w:cs="Arial" w:eastAsia="Arial" w:hAnsi="Arial"/>
          <w:color w:val="374151"/>
          <w:sz w:val="21"/>
          <w:szCs w:val="21"/>
        </w:rPr>
        <w:t xml:space="preserve">A candidate reviews their career path projection in their personal profile view and learns that closing a gap in SQL Advanced Analytics would significantly improve their probability of reaching a Data Science Lead role within 24 months — motivating them to pursue that skill on the platform.</w:t>
      </w:r>
    </w:p>
    <w:p>
      <w:pPr>
        <w:spacing w:before="80" w:after="0"/>
      </w:pPr>
      <w:r>
        <w:t xml:space="preserve"/>
      </w:r>
    </w:p>
    <w:p>
      <w:pPr>
        <w:pBdr>
          <w:bottom w:val="single" w:color="1D4ED8" w:sz="3" w:space="1"/>
        </w:pBdr>
        <w:spacing w:before="80" w:after="80"/>
      </w:pPr>
      <w:r>
        <w:t xml:space="preserve"/>
      </w:r>
    </w:p>
    <w:p>
      <w:pPr>
        <w:spacing w:before="40" w:after="0"/>
      </w:pPr>
      <w:r>
        <w:t xml:space="preserve"/>
      </w:r>
    </w:p>
    <w:p>
      <w:pPr>
        <w:spacing w:before="100" w:after="80"/>
      </w:pPr>
      <w:r>
        <w:rPr>
          <w:rFonts w:ascii="Arial" w:cs="Arial" w:eastAsia="Arial" w:hAnsi="Arial"/>
          <w:b/>
          <w:bCs/>
          <w:color w:val="6B7280"/>
          <w:sz w:val="30"/>
          <w:szCs w:val="30"/>
        </w:rPr>
        <w:t xml:space="preserve">Feature 4.10  </w:t>
      </w:r>
      <w:r>
        <w:rPr>
          <w:rFonts w:ascii="Arial" w:cs="Arial" w:eastAsia="Arial" w:hAnsi="Arial"/>
          <w:b/>
          <w:bCs/>
          <w:color w:val="0A1628"/>
          <w:sz w:val="30"/>
          <w:szCs w:val="30"/>
        </w:rPr>
        <w:t xml:space="preserve">Industry Role Comparison</w:t>
      </w:r>
    </w:p>
    <w:p>
      <w:pPr>
        <w:spacing w:before="0" w:after="60"/>
      </w:pPr>
      <w:r>
        <w:rPr>
          <w:rFonts w:ascii="Arial" w:cs="Arial" w:eastAsia="Arial" w:hAnsi="Arial"/>
          <w:b/>
          <w:bCs/>
          <w:color w:val="5B21B6"/>
          <w:sz w:val="21"/>
          <w:szCs w:val="21"/>
        </w:rPr>
        <w:t xml:space="preserve">Category:  </w:t>
      </w:r>
      <w:r>
        <w:rPr>
          <w:rFonts w:ascii="Arial" w:cs="Arial" w:eastAsia="Arial" w:hAnsi="Arial"/>
          <w:color w:val="374151"/>
          <w:sz w:val="21"/>
          <w:szCs w:val="21"/>
        </w:rPr>
        <w:t xml:space="preserve">Benchmarking Intelligence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4"/>
              <w:left w:val="single" w:color="1D4ED8" w:sz="10"/>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D4ED8"/>
                <w:sz w:val="20"/>
                <w:szCs w:val="20"/>
              </w:rPr>
              <w:t xml:space="preserve">Purpose:  </w:t>
            </w:r>
            <w:r>
              <w:rPr>
                <w:rFonts w:ascii="Arial" w:cs="Arial" w:eastAsia="Arial" w:hAnsi="Arial"/>
                <w:color w:val="374151"/>
                <w:sz w:val="20"/>
                <w:szCs w:val="20"/>
              </w:rPr>
              <w:t xml:space="preserve">Contextualise a candidate's simulation performance against role-equivalent professionals across the industry.</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single" w:color="5B21B6" w:sz="10"/>
              <w:bottom w:val="single" w:color="BFDBFE" w:sz="1"/>
              <w:right w:val="single" w:color="BFDBFE" w:sz="1"/>
            </w:tcBorders>
            <w:shd w:fill="EDE9FE" w:val="clear"/>
            <w:tcMar>
              <w:top w:type="dxa" w:w="120"/>
              <w:left w:type="dxa" w:w="200"/>
              <w:bottom w:type="dxa" w:w="120"/>
              <w:right w:type="dxa" w:w="160"/>
            </w:tcMar>
          </w:tcPr>
          <w:p>
            <w:r>
              <w:rPr>
                <w:rFonts w:ascii="Arial" w:cs="Arial" w:eastAsia="Arial" w:hAnsi="Arial"/>
                <w:b/>
                <w:bCs/>
                <w:color w:val="5B21B6"/>
                <w:sz w:val="20"/>
                <w:szCs w:val="20"/>
              </w:rPr>
              <w:t xml:space="preserve">Design Principle:  </w:t>
            </w:r>
            <w:r>
              <w:rPr>
                <w:rFonts w:ascii="Arial" w:cs="Arial" w:eastAsia="Arial" w:hAnsi="Arial"/>
                <w:color w:val="374151"/>
                <w:sz w:val="20"/>
                <w:szCs w:val="20"/>
              </w:rPr>
              <w:t xml:space="preserve">A score means nothing without a benchmark. Industry comparison turns a number into a decision-relevant signal.</w:t>
            </w:r>
          </w:p>
        </w:tc>
      </w:tr>
    </w:tbl>
    <w:p>
      <w:pPr>
        <w:spacing w:before="120" w:after="0"/>
      </w:pPr>
      <w:r>
        <w:t xml:space="preserve"/>
      </w:r>
    </w:p>
    <w:p>
      <w:pPr>
        <w:pStyle w:val="Heading2"/>
        <w:spacing w:before="240" w:after="80"/>
      </w:pPr>
      <w:r>
        <w:rPr>
          <w:rFonts w:ascii="Arial" w:cs="Arial" w:eastAsia="Arial" w:hAnsi="Arial"/>
          <w:b/>
          <w:bCs/>
          <w:color w:val="0F2D6B"/>
          <w:sz w:val="25"/>
          <w:szCs w:val="25"/>
        </w:rPr>
        <w:t xml:space="preserve">Overview</w:t>
      </w:r>
    </w:p>
    <w:p>
      <w:pPr>
        <w:spacing w:before="0" w:after="150"/>
      </w:pPr>
      <w:r>
        <w:rPr>
          <w:rFonts w:ascii="Arial" w:cs="Arial" w:eastAsia="Arial" w:hAnsi="Arial"/>
          <w:color w:val="374151"/>
          <w:sz w:val="21"/>
          <w:szCs w:val="21"/>
        </w:rPr>
        <w:t xml:space="preserve">Industry Role Comparison benchmarks a candidate's simulation performance against anonymised aggregate data from all candidates and working professionals who have completed comparable simulations on the EcoSkiller platform for the same or equivalent role type. It answers the question that every recruiter implicitly asks: how does this candidate compare to the broader market of talent available for this role?</w:t>
      </w:r>
    </w:p>
    <w:p>
      <w:pPr>
        <w:pStyle w:val="Heading2"/>
        <w:spacing w:before="240" w:after="80"/>
      </w:pPr>
      <w:r>
        <w:rPr>
          <w:rFonts w:ascii="Arial" w:cs="Arial" w:eastAsia="Arial" w:hAnsi="Arial"/>
          <w:b/>
          <w:bCs/>
          <w:color w:val="0F2D6B"/>
          <w:sz w:val="25"/>
          <w:szCs w:val="25"/>
        </w:rPr>
        <w:t xml:space="preserve">Detailed Description</w:t>
      </w:r>
    </w:p>
    <w:p>
      <w:pPr>
        <w:spacing w:before="0" w:after="150"/>
      </w:pPr>
      <w:r>
        <w:rPr>
          <w:rFonts w:ascii="Arial" w:cs="Arial" w:eastAsia="Arial" w:hAnsi="Arial"/>
          <w:color w:val="374151"/>
          <w:sz w:val="21"/>
          <w:szCs w:val="21"/>
        </w:rPr>
        <w:t xml:space="preserve">The benchmark dataset is built from three cohort pools. The Candidate Market Cohort is the full population of candidates on EcoSkiller who have completed similar simulations for the same role category within the last 12 months — representing the current talent supply for the role. The Hired Professional Cohort is the anonymised simulation data from working professionals in the same role who completed simulations as part of professional development or re-skilling programmes on the platform — representing the standard of currently employed professionals at different experience levels. The Top-Performer Cohort is the top 10th percentile of both cohorts combined — representing the benchmark that exceptional candidates are measured against.</w:t>
      </w:r>
    </w:p>
    <w:p>
      <w:pPr>
        <w:spacing w:before="0" w:after="150"/>
      </w:pPr>
      <w:r>
        <w:rPr>
          <w:rFonts w:ascii="Arial" w:cs="Arial" w:eastAsia="Arial" w:hAnsi="Arial"/>
          <w:color w:val="374151"/>
          <w:sz w:val="21"/>
          <w:szCs w:val="21"/>
        </w:rPr>
        <w:t xml:space="preserve">Comparison results are displayed in an Industry Position Report — a visual dashboard showing the candidate's score position across all simulation dimensions relative to each cohort. A candidate might score in the 72nd percentile of Candidate Market Cohort on technical challenges (strong relative position) but in the 45th percentile of Hired Professional Cohort (suggesting they are strong among candidates but below current professional standard — a development area). These distinctions provide recruiter-actionable insight that a simple score cannot convey.</w:t>
      </w:r>
    </w:p>
    <w:p>
      <w:pPr>
        <w:spacing w:before="0" w:after="150"/>
      </w:pPr>
      <w:r>
        <w:rPr>
          <w:rFonts w:ascii="Arial" w:cs="Arial" w:eastAsia="Arial" w:hAnsi="Arial"/>
          <w:color w:val="374151"/>
          <w:sz w:val="21"/>
          <w:szCs w:val="21"/>
        </w:rPr>
        <w:t xml:space="preserve">The comparison also identifies each candidate's Relative Strength Signature — the specific combination of simulation dimensions in which they score above their percentile average relative to their overall position. This signature helps recruiters identify non-obvious candidate strengths: a candidate who scores in the 55th percentile overall but 91st percentile in Workplace Scenario Simulation is a particularly strong situational judgment performer, which may be exactly what a specific role demands.</w:t>
      </w:r>
    </w:p>
    <w:p>
      <w:pPr>
        <w:pStyle w:val="Heading2"/>
        <w:spacing w:before="240" w:after="80"/>
      </w:pPr>
      <w:r>
        <w:rPr>
          <w:rFonts w:ascii="Arial" w:cs="Arial" w:eastAsia="Arial" w:hAnsi="Arial"/>
          <w:b/>
          <w:bCs/>
          <w:color w:val="0F2D6B"/>
          <w:sz w:val="25"/>
          <w:szCs w:val="25"/>
        </w:rPr>
        <w:t xml:space="preserve">Feature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Parameter</w:t>
            </w:r>
          </w:p>
        </w:tc>
        <w:tc>
          <w:tcPr>
            <w:tcW w:type="dxa" w:w="65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Specification</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Benchmark Cohorts</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Candidate Market / Hired Professional / Top-Performer (10th percentile)</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Comparison Dimensions</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All simulation modules benchmarked independently</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Percentile Display</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Per-dimension percentile rank within each cohort</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Strength Signature</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Candidate's above-average dimensions relative to their overall profile</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Role Specificity</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Benchmarks segmented by role category, experience level, and industry</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Data Freshness</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Benchmark data refreshed monthly from trailing 12-month simulation activity</w:t>
            </w:r>
          </w:p>
        </w:tc>
      </w:tr>
      <w:tr>
        <w:tc>
          <w:tcPr>
            <w:tcW w:type="dxa" w:w="28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Geographic Segmentation</w:t>
            </w:r>
          </w:p>
        </w:tc>
        <w:tc>
          <w:tcPr>
            <w:tcW w:type="dxa" w:w="65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Benchmarks can be filtered to same country / region talent market</w:t>
            </w:r>
          </w:p>
        </w:tc>
      </w:tr>
      <w:tr>
        <w:tc>
          <w:tcPr>
            <w:tcW w:type="dxa" w:w="28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Scarcity Signal</w:t>
            </w:r>
          </w:p>
        </w:tc>
        <w:tc>
          <w:tcPr>
            <w:tcW w:type="dxa" w:w="65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Identifies dimensions where the candidate significantly outperforms market average</w:t>
            </w:r>
          </w:p>
        </w:tc>
      </w:tr>
    </w:tbl>
    <w:p>
      <w:pPr>
        <w:spacing w:before="160" w:after="0"/>
      </w:pPr>
      <w:r>
        <w:t xml:space="preserve"/>
      </w:r>
    </w:p>
    <w:p>
      <w:pPr>
        <w:pStyle w:val="Heading2"/>
        <w:spacing w:before="240" w:after="80"/>
      </w:pPr>
      <w:r>
        <w:rPr>
          <w:rFonts w:ascii="Arial" w:cs="Arial" w:eastAsia="Arial" w:hAnsi="Arial"/>
          <w:b/>
          <w:bCs/>
          <w:color w:val="0F2D6B"/>
          <w:sz w:val="25"/>
          <w:szCs w:val="25"/>
        </w:rPr>
        <w:t xml:space="preserve">Use Case Examples</w:t>
      </w:r>
    </w:p>
    <w:p>
      <w:pPr>
        <w:pStyle w:val="ListParagraph"/>
        <w:numPr>
          <w:ilvl w:val="0"/>
          <w:numId w:val="2"/>
        </w:numPr>
        <w:spacing w:before="44" w:after="44"/>
      </w:pPr>
      <w:r>
        <w:rPr>
          <w:rFonts w:ascii="Arial" w:cs="Arial" w:eastAsia="Arial" w:hAnsi="Arial"/>
          <w:color w:val="374151"/>
          <w:sz w:val="21"/>
          <w:szCs w:val="21"/>
        </w:rPr>
        <w:t xml:space="preserve">A recruiter reviewing 3 finalists for a data science lead role uses Industry Role Comparison to see that one candidate scores in the 89th percentile of Hired Professionals in Task-Based Performance — meaning they outperform 89% of currently employed data scientists at equivalent levels on EcoSkiller, a powerful validation of their potential.</w:t>
      </w:r>
    </w:p>
    <w:p>
      <w:pPr>
        <w:pStyle w:val="ListParagraph"/>
        <w:numPr>
          <w:ilvl w:val="0"/>
          <w:numId w:val="2"/>
        </w:numPr>
        <w:spacing w:before="44" w:after="44"/>
      </w:pPr>
      <w:r>
        <w:rPr>
          <w:rFonts w:ascii="Arial" w:cs="Arial" w:eastAsia="Arial" w:hAnsi="Arial"/>
          <w:color w:val="374151"/>
          <w:sz w:val="21"/>
          <w:szCs w:val="21"/>
        </w:rPr>
        <w:t xml:space="preserve">A talent acquisition team uses the Scarcity Signal feature to identify candidates who outperform the market significantly on a dimension that is hard to find — for example, a backend candidate in the 95th percentile on System Design simulation, a skill acknowledged as scarce in the current market.</w:t>
      </w:r>
    </w:p>
    <w:p>
      <w:pPr>
        <w:pStyle w:val="ListParagraph"/>
        <w:numPr>
          <w:ilvl w:val="0"/>
          <w:numId w:val="2"/>
        </w:numPr>
        <w:spacing w:before="44" w:after="44"/>
      </w:pPr>
      <w:r>
        <w:rPr>
          <w:rFonts w:ascii="Arial" w:cs="Arial" w:eastAsia="Arial" w:hAnsi="Arial"/>
          <w:color w:val="374151"/>
          <w:sz w:val="21"/>
          <w:szCs w:val="21"/>
        </w:rPr>
        <w:t xml:space="preserve">A company doing campus hiring uses the geographic segmentation to benchmark candidates against India-market data specifically — rather than a global benchmark that might skew expectations based on compensation and educational contexts that differ significantly across geographies.</w:t>
      </w:r>
    </w:p>
    <w:p>
      <w:r>
        <w:br w:type="page"/>
      </w:r>
    </w:p>
    <w:p>
      <w:pPr>
        <w:pStyle w:val="Heading1"/>
        <w:spacing w:before="360" w:after="140"/>
      </w:pPr>
      <w:r>
        <w:rPr>
          <w:rFonts w:ascii="Arial" w:cs="Arial" w:eastAsia="Arial" w:hAnsi="Arial"/>
          <w:b/>
          <w:bCs/>
          <w:color w:val="0A1628"/>
          <w:sz w:val="32"/>
          <w:szCs w:val="32"/>
        </w:rPr>
        <w:t xml:space="preserve">SIMULATION ARCHITECTURE — HOW THE ENGINE WORKS</w:t>
      </w:r>
    </w:p>
    <w:p>
      <w:pPr>
        <w:spacing w:before="0" w:after="150"/>
      </w:pPr>
      <w:r>
        <w:rPr>
          <w:rFonts w:ascii="Arial" w:cs="Arial" w:eastAsia="Arial" w:hAnsi="Arial"/>
          <w:color w:val="374151"/>
          <w:sz w:val="21"/>
          <w:szCs w:val="21"/>
        </w:rPr>
        <w:t xml:space="preserve">The AI Career Simulation Engine operates as a layered pipeline. Understanding the flow from recruiter configuration to candidate result helps hiring teams maximise the value of each simulation module and interpret output data with appropriate nuance.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Pipeline Stage</w:t>
            </w:r>
          </w:p>
        </w:tc>
        <w:tc>
          <w:tcPr>
            <w:tcW w:type="dxa" w:w="6960"/>
            <w:tcBorders>
              <w:top w:val="single" w:color="BFDBFE" w:sz="1"/>
              <w:left w:val="single" w:color="BFDBFE" w:sz="1"/>
              <w:bottom w:val="single" w:color="BFDBFE" w:sz="1"/>
              <w:right w:val="single" w:color="BFDBFE" w:sz="1"/>
            </w:tcBorders>
            <w:shd w:fill="0A1628" w:val="clear"/>
            <w:tcMar>
              <w:top w:type="dxa" w:w="90"/>
              <w:left w:type="dxa" w:w="150"/>
              <w:bottom w:type="dxa" w:w="90"/>
              <w:right w:type="dxa" w:w="150"/>
            </w:tcMar>
            <w:vAlign w:val="center"/>
          </w:tcPr>
          <w:p>
            <w:r>
              <w:rPr>
                <w:rFonts w:ascii="Arial" w:cs="Arial" w:eastAsia="Arial" w:hAnsi="Arial"/>
                <w:b/>
                <w:bCs/>
                <w:i w:val="false"/>
                <w:iCs w:val="false"/>
                <w:color w:val="FFFFFF"/>
                <w:sz w:val="20"/>
                <w:szCs w:val="20"/>
              </w:rPr>
              <w:t xml:space="preserve">Process Description</w:t>
            </w:r>
          </w:p>
        </w:tc>
      </w:tr>
      <w:tr>
        <w:tc>
          <w:tcPr>
            <w:tcW w:type="dxa" w:w="2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Step 1: Role Configuration</w:t>
            </w:r>
          </w:p>
        </w:tc>
        <w:tc>
          <w:tcPr>
            <w:tcW w:type="dxa" w:w="69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Recruiter uploads job description → AI synthesises Role Blueprint → Role Weighting Model configured → Simulation modules selected</w:t>
            </w:r>
          </w:p>
        </w:tc>
      </w:tr>
      <w:tr>
        <w:tc>
          <w:tcPr>
            <w:tcW w:type="dxa" w:w="2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Step 2: Candidate Briefing</w:t>
            </w:r>
          </w:p>
        </w:tc>
        <w:tc>
          <w:tcPr>
            <w:tcW w:type="dxa" w:w="69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Candidate receives role context document, simulation instructions, and time commitment information → Confirms session availability</w:t>
            </w:r>
          </w:p>
        </w:tc>
      </w:tr>
      <w:tr>
        <w:tc>
          <w:tcPr>
            <w:tcW w:type="dxa" w:w="2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Step 3: Simulation Execution</w:t>
            </w:r>
          </w:p>
        </w:tc>
        <w:tc>
          <w:tcPr>
            <w:tcW w:type="dxa" w:w="69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Candidate completes assigned simulation modules in a browser-native environment → AI adapts challenge difficulty in real-time → All actions logged</w:t>
            </w:r>
          </w:p>
        </w:tc>
      </w:tr>
      <w:tr>
        <w:tc>
          <w:tcPr>
            <w:tcW w:type="dxa" w:w="2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Step 4: Scoring &amp; Analysis</w:t>
            </w:r>
          </w:p>
        </w:tc>
        <w:tc>
          <w:tcPr>
            <w:tcW w:type="dxa" w:w="69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AI engine scores each completed module → Dimension scores synthesised into Role Readiness Score → Industry benchmarking applied</w:t>
            </w:r>
          </w:p>
        </w:tc>
      </w:tr>
      <w:tr>
        <w:tc>
          <w:tcPr>
            <w:tcW w:type="dxa" w:w="2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Step 5: Report Generation</w:t>
            </w:r>
          </w:p>
        </w:tc>
        <w:tc>
          <w:tcPr>
            <w:tcW w:type="dxa" w:w="69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Role Readiness Report generated → Career Path Projection computed → Industry Role Comparison dashboard populated</w:t>
            </w:r>
          </w:p>
        </w:tc>
      </w:tr>
      <w:tr>
        <w:tc>
          <w:tcPr>
            <w:tcW w:type="dxa" w:w="240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Step 6: Recruiter Review</w:t>
            </w:r>
          </w:p>
        </w:tc>
        <w:tc>
          <w:tcPr>
            <w:tcW w:type="dxa" w:w="6960"/>
            <w:tcBorders>
              <w:top w:val="single" w:color="BFDBFE" w:sz="1"/>
              <w:left w:val="single" w:color="BFDBFE" w:sz="1"/>
              <w:bottom w:val="single" w:color="BFDBFE" w:sz="1"/>
              <w:right w:val="single" w:color="BFDBFE" w:sz="1"/>
            </w:tcBorders>
            <w:shd w:fill="EFF6FF"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Recruiter accesses Simulation Dashboard → Reviews scores, session replays, and dimension breakdowns → Advances shortlisted candidates</w:t>
            </w:r>
          </w:p>
        </w:tc>
      </w:tr>
      <w:tr>
        <w:tc>
          <w:tcPr>
            <w:tcW w:type="dxa" w:w="240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bCs/>
                <w:i w:val="false"/>
                <w:iCs w:val="false"/>
                <w:color w:val="0F2D6B"/>
                <w:sz w:val="20"/>
                <w:szCs w:val="20"/>
              </w:rPr>
              <w:t xml:space="preserve">Step 7: Feedback Loop</w:t>
            </w:r>
          </w:p>
        </w:tc>
        <w:tc>
          <w:tcPr>
            <w:tcW w:type="dxa" w:w="6960"/>
            <w:tcBorders>
              <w:top w:val="single" w:color="BFDBFE" w:sz="1"/>
              <w:left w:val="single" w:color="BFDBFE" w:sz="1"/>
              <w:bottom w:val="single" w:color="BFDBFE" w:sz="1"/>
              <w:right w:val="single" w:color="BFDBFE" w:sz="1"/>
            </w:tcBorders>
            <w:shd w:fill="DBEAFE" w:val="clear"/>
            <w:tcMar>
              <w:top w:type="dxa" w:w="90"/>
              <w:left w:type="dxa" w:w="150"/>
              <w:bottom w:type="dxa" w:w="90"/>
              <w:right w:type="dxa" w:w="150"/>
            </w:tcMar>
            <w:vAlign w:val="center"/>
          </w:tcPr>
          <w:p>
            <w:r>
              <w:rPr>
                <w:rFonts w:ascii="Arial" w:cs="Arial" w:eastAsia="Arial" w:hAnsi="Arial"/>
                <w:b w:val="false"/>
                <w:bCs w:val="false"/>
                <w:i w:val="false"/>
                <w:iCs w:val="false"/>
                <w:color w:val="374151"/>
                <w:sz w:val="20"/>
                <w:szCs w:val="20"/>
              </w:rPr>
              <w:t xml:space="preserve">Hired candidate performance data optionally fed back into Role Weighting Model → Score predictive accuracy improves over time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10"/>
              <w:bottom w:val="single" w:color="BFDBFE" w:sz="1"/>
              <w:right w:val="single" w:color="BFDBFE" w:sz="1"/>
            </w:tcBorders>
            <w:shd w:fill="CCFBF1" w:val="clear"/>
            <w:tcMar>
              <w:top w:type="dxa" w:w="120"/>
              <w:left w:type="dxa" w:w="200"/>
              <w:bottom w:type="dxa" w:w="120"/>
              <w:right w:type="dxa" w:w="160"/>
            </w:tcMar>
          </w:tcPr>
          <w:p>
            <w:r>
              <w:rPr>
                <w:rFonts w:ascii="Arial" w:cs="Arial" w:eastAsia="Arial" w:hAnsi="Arial"/>
                <w:b/>
                <w:bCs/>
                <w:color w:val="0F766E"/>
                <w:sz w:val="20"/>
                <w:szCs w:val="20"/>
              </w:rPr>
              <w:t xml:space="preserve">Privacy Commitment:  </w:t>
            </w:r>
            <w:r>
              <w:rPr>
                <w:rFonts w:ascii="Arial" w:cs="Arial" w:eastAsia="Arial" w:hAnsi="Arial"/>
                <w:color w:val="374151"/>
                <w:sz w:val="20"/>
                <w:szCs w:val="20"/>
              </w:rPr>
              <w:t xml:space="preserve">No audio or video recordings are made during any simulation session. All performance data is behavioural (clicks, inputs, timing, decisions) — not physiological or biometric. Candidate data is encrypted, access-controlled, and subject to EcoSkiller's full data privacy framework.</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4ED8" w:sz="4" w:space="1"/>
      </w:pBdr>
      <w:tabs>
        <w:tab w:val="right" w:pos="9026"/>
      </w:tabs>
      <w:spacing w:before="120" w:after="0"/>
    </w:pPr>
    <w:r>
      <w:rPr>
        <w:rFonts w:ascii="Arial" w:cs="Arial" w:eastAsia="Arial" w:hAnsi="Arial"/>
        <w:color w:val="6B7280"/>
        <w:sz w:val="18"/>
        <w:szCs w:val="18"/>
      </w:rPr>
      <w:t xml:space="preserve">Confidential — EcoSkiller Internal Document  |  March 2026</w:t>
    </w:r>
    <w:r>
      <w:rPr>
        <w:rFonts w:ascii="Arial" w:cs="Arial" w:eastAsia="Arial" w:hAnsi="Arial"/>
        <w:color w:val="6B7280"/>
        <w:sz w:val="18"/>
        <w:szCs w:val="18"/>
      </w:rPr>
      <w:t xml:space="preserve">	Page </w:t>
    </w:r>
    <w:r>
      <w:rPr>
        <w:rFonts w:ascii="Arial" w:cs="Arial" w:eastAsia="Arial" w:hAnsi="Arial"/>
        <w:b/>
        <w:bCs/>
        <w:color w:val="1D4ED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1"/>
      </w:pBdr>
      <w:spacing w:before="0" w:after="120"/>
    </w:pPr>
    <w:r>
      <w:rPr>
        <w:rFonts w:ascii="Arial" w:cs="Arial" w:eastAsia="Arial" w:hAnsi="Arial"/>
        <w:color w:val="6B7280"/>
        <w:sz w:val="18"/>
        <w:szCs w:val="18"/>
      </w:rPr>
      <w:t xml:space="preserve">EcoSkiller  |  AI Career Simulation Engine</w:t>
    </w:r>
    <w:r>
      <w:rPr>
        <w:rFonts w:ascii="Arial" w:cs="Arial" w:eastAsia="Arial" w:hAnsi="Arial"/>
        <w:b/>
        <w:bCs/>
        <w:color w:val="1D4ED8"/>
        <w:sz w:val="18"/>
        <w:szCs w:val="18"/>
      </w:rPr>
      <w:t xml:space="preserve">   |   Module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0A1628"/>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F2D6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2026-03-09T13:00:07.374Z</dcterms:created>
  <dcterms:modified xsi:type="dcterms:W3CDTF">2026-03-09T13:00:07.402Z</dcterms:modified>
</cp:coreProperties>
</file>

<file path=docProps/custom.xml><?xml version="1.0" encoding="utf-8"?>
<Properties xmlns="http://schemas.openxmlformats.org/officeDocument/2006/custom-properties" xmlns:vt="http://schemas.openxmlformats.org/officeDocument/2006/docPropsVTypes"/>
</file>