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0B1F4B"/>
          <w:sz w:val="64"/>
          <w:szCs w:val="64"/>
        </w:rPr>
        <w:t xml:space="preserve">ECOSKILLER</w:t>
      </w:r>
    </w:p>
    <w:p>
      <w:pPr>
        <w:spacing w:before="80" w:after="0"/>
        <w:jc w:val="center"/>
      </w:pPr>
      <w:r>
        <w:rPr>
          <w:rFonts w:ascii="Arial" w:cs="Arial" w:eastAsia="Arial" w:hAnsi="Arial"/>
          <w:color w:val="1A56DB"/>
          <w:sz w:val="28"/>
          <w:szCs w:val="28"/>
        </w:rPr>
        <w:t xml:space="preserve">Talent Operations Platform</w:t>
      </w:r>
    </w:p>
    <w:p>
      <w:pPr>
        <w:spacing w:before="560" w:after="0"/>
        <w:jc w:val="center"/>
      </w:pPr>
      <w:r>
        <w:rPr>
          <w:rFonts w:ascii="Arial" w:cs="Arial" w:eastAsia="Arial" w:hAnsi="Arial"/>
          <w:b/>
          <w:bCs/>
          <w:color w:val="0B1F4B"/>
          <w:sz w:val="52"/>
          <w:szCs w:val="52"/>
        </w:rPr>
        <w:t xml:space="preserve">ANTI-FRAUD &amp;</w:t>
      </w:r>
    </w:p>
    <w:p>
      <w:pPr>
        <w:spacing w:before="80" w:after="0"/>
        <w:jc w:val="center"/>
      </w:pPr>
      <w:r>
        <w:rPr>
          <w:rFonts w:ascii="Arial" w:cs="Arial" w:eastAsia="Arial" w:hAnsi="Arial"/>
          <w:b/>
          <w:bCs/>
          <w:color w:val="DC2626"/>
          <w:sz w:val="52"/>
          <w:szCs w:val="52"/>
        </w:rPr>
        <w:t xml:space="preserve">INTEGRITY LAYER</w:t>
      </w:r>
    </w:p>
    <w:p>
      <w:pPr>
        <w:spacing w:before="100" w:after="800"/>
        <w:jc w:val="center"/>
      </w:pPr>
      <w:r>
        <w:rPr>
          <w:rFonts w:ascii="Arial" w:cs="Arial" w:eastAsia="Arial" w:hAnsi="Arial"/>
          <w:i/>
          <w:iCs/>
          <w:color w:val="6B7280"/>
          <w:sz w:val="24"/>
          <w:szCs w:val="24"/>
        </w:rPr>
        <w:t xml:space="preserve">Complete Feature Specification Document</w:t>
      </w:r>
    </w:p>
    <w:p>
      <w:pPr>
        <w:spacing w:before="0" w:after="60"/>
        <w:jc w:val="center"/>
      </w:pPr>
      <w:r>
        <w:rPr>
          <w:rFonts w:ascii="Arial" w:cs="Arial" w:eastAsia="Arial" w:hAnsi="Arial"/>
          <w:color w:val="6B7280"/>
          <w:sz w:val="20"/>
          <w:szCs w:val="20"/>
        </w:rPr>
        <w:t xml:space="preserve">Module 6  |  10 Features  |  Version 1.0  |  March 2026</w:t>
      </w:r>
    </w:p>
    <w:p>
      <w:pPr>
        <w:spacing w:before="0" w:after="0"/>
        <w:jc w:val="center"/>
      </w:pPr>
      <w:r>
        <w:rPr>
          <w:rFonts w:ascii="Arial" w:cs="Arial" w:eastAsia="Arial" w:hAnsi="Arial"/>
          <w:b/>
          <w:bCs/>
          <w:color w:val="DC2626"/>
          <w:sz w:val="20"/>
          <w:szCs w:val="20"/>
        </w:rPr>
        <w:t xml:space="preserve">Confidential — EcoSkiller Internal Documentation</w:t>
      </w:r>
    </w:p>
    <w:p>
      <w:r>
        <w:br w:type="page"/>
      </w:r>
    </w:p>
    <w:p>
      <w:pPr>
        <w:pStyle w:val="Heading1"/>
        <w:spacing w:before="360" w:after="120"/>
      </w:pPr>
      <w:r>
        <w:rPr>
          <w:rFonts w:ascii="Arial" w:cs="Arial" w:eastAsia="Arial" w:hAnsi="Arial"/>
          <w:b/>
          <w:bCs/>
          <w:color w:val="0B1F4B"/>
          <w:sz w:val="30"/>
          <w:szCs w:val="30"/>
        </w:rPr>
        <w:t xml:space="preserve">MODULE OVERVIEW</w:t>
      </w:r>
    </w:p>
    <w:p>
      <w:pPr>
        <w:spacing w:before="0" w:after="140"/>
      </w:pPr>
      <w:r>
        <w:rPr>
          <w:rFonts w:ascii="Arial" w:cs="Arial" w:eastAsia="Arial" w:hAnsi="Arial"/>
          <w:color w:val="374151"/>
          <w:sz w:val="21"/>
          <w:szCs w:val="21"/>
        </w:rPr>
        <w:t xml:space="preserve">The Anti-Fraud &amp; Integrity Layer is EcoSkiller's trust infrastructure — the foundational system that ensures every signal produced by the platform is authentic, every credential displayed is verified, and every assessment result reflects genuine individual performance. Without this layer, the platform's hiring signals would be unreliable and the entire value proposition of evidence-based hiring would collapse.</w:t>
      </w:r>
    </w:p>
    <w:p>
      <w:pPr>
        <w:spacing w:before="0" w:after="140"/>
      </w:pPr>
      <w:r>
        <w:rPr>
          <w:rFonts w:ascii="Arial" w:cs="Arial" w:eastAsia="Arial" w:hAnsi="Arial"/>
          <w:color w:val="374151"/>
          <w:sz w:val="21"/>
          <w:szCs w:val="21"/>
        </w:rPr>
        <w:t xml:space="preserve">This module operates silently in the background across every candidate interaction on the platform. Candidates who engage honestly experience no friction from this layer — it is invisible to them. Candidates attempting to misrepresent, cheat, or manipulate the platform encounter structured, proportionate responses that protect the integrity of the hiring process for all genuine participants.</w:t>
      </w:r>
    </w:p>
    <w:p>
      <w:pPr>
        <w:spacing w:before="0" w:after="140"/>
      </w:pPr>
      <w:r>
        <w:rPr>
          <w:rFonts w:ascii="Arial" w:cs="Arial" w:eastAsia="Arial" w:hAnsi="Arial"/>
          <w:color w:val="374151"/>
          <w:sz w:val="21"/>
          <w:szCs w:val="21"/>
        </w:rPr>
        <w:t xml:space="preserve">The 10 features in this module address fraud at every layer of the hiring stack: document fraud (resume and certification verification), assessment fraud (code plagiarism, cheating detection, proctoring), identity fraud (verification, duplicate profiles, fake accounts), and systemic manipulation (suspicious behaviour monitoring). Together, they create a multi-layered defence that is significantly harder to defeat than any single fraud-prevention measure in isolation.</w:t>
      </w:r>
    </w:p>
    <w:p>
      <w:pPr>
        <w:spacing w:before="80" w:after="0"/>
      </w:pPr>
      <w:r>
        <w:t xml:space="preserve"/>
      </w:r>
    </w:p>
    <w:p>
      <w:pPr>
        <w:pBdr>
          <w:bottom w:val="single" w:color="DC2626" w:sz="3" w:space="1"/>
        </w:pBdr>
        <w:spacing w:before="80" w:after="80"/>
      </w:pPr>
      <w:r>
        <w:t xml:space="preserve"/>
      </w:r>
    </w:p>
    <w:p>
      <w:pPr>
        <w:pStyle w:val="Heading1"/>
        <w:spacing w:before="360" w:after="120"/>
      </w:pPr>
      <w:r>
        <w:rPr>
          <w:rFonts w:ascii="Arial" w:cs="Arial" w:eastAsia="Arial" w:hAnsi="Arial"/>
          <w:b/>
          <w:bCs/>
          <w:color w:val="0B1F4B"/>
          <w:sz w:val="30"/>
          <w:szCs w:val="30"/>
        </w:rPr>
        <w:t xml:space="preserve">FEATURE INDEX — ALL 10 FEATURES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900"/>
        <w:gridCol w:w="2200"/>
        <w:gridCol w:w="3540"/>
      </w:tblGrid>
      <w:tr>
        <w:trPr>
          <w:tblHeader/>
        </w:trPr>
        <w:tc>
          <w:tcPr>
            <w:tcW w:type="dxa" w:w="72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w:t>
            </w:r>
          </w:p>
        </w:tc>
        <w:tc>
          <w:tcPr>
            <w:tcW w:type="dxa" w:w="29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Feature</w:t>
            </w:r>
          </w:p>
        </w:tc>
        <w:tc>
          <w:tcPr>
            <w:tcW w:type="dxa" w:w="22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Detection Method</w:t>
            </w:r>
          </w:p>
        </w:tc>
        <w:tc>
          <w:tcPr>
            <w:tcW w:type="dxa" w:w="354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Purpose</w:t>
            </w:r>
          </w:p>
        </w:tc>
      </w:tr>
      <w:tr>
        <w:tc>
          <w:tcPr>
            <w:tcW w:type="dxa" w:w="72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DC2626"/>
                <w:sz w:val="20"/>
                <w:szCs w:val="20"/>
              </w:rPr>
              <w:t xml:space="preserve">6.1</w:t>
            </w:r>
          </w:p>
        </w:tc>
        <w:tc>
          <w:tcPr>
            <w:tcW w:type="dxa" w:w="29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0B1F4B"/>
                <w:sz w:val="20"/>
                <w:szCs w:val="20"/>
              </w:rPr>
              <w:t xml:space="preserve">Resume Fraud Detection</w:t>
            </w:r>
          </w:p>
        </w:tc>
        <w:tc>
          <w:tcPr>
            <w:tcW w:type="dxa" w:w="22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NLP + Cross-Platform Verification</w:t>
            </w:r>
          </w:p>
        </w:tc>
        <w:tc>
          <w:tcPr>
            <w:tcW w:type="dxa" w:w="354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Identify falsified, fabricated, or inflated claims in candidate-submitted resumes.</w:t>
            </w:r>
          </w:p>
        </w:tc>
      </w:tr>
      <w:tr>
        <w:tc>
          <w:tcPr>
            <w:tcW w:type="dxa" w:w="72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DC2626"/>
                <w:sz w:val="20"/>
                <w:szCs w:val="20"/>
              </w:rPr>
              <w:t xml:space="preserve">6.2</w:t>
            </w:r>
          </w:p>
        </w:tc>
        <w:tc>
          <w:tcPr>
            <w:tcW w:type="dxa" w:w="29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0B1F4B"/>
                <w:sz w:val="20"/>
                <w:szCs w:val="20"/>
              </w:rPr>
              <w:t xml:space="preserve">Identity Verification System</w:t>
            </w:r>
          </w:p>
        </w:tc>
        <w:tc>
          <w:tcPr>
            <w:tcW w:type="dxa" w:w="22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Government ID + Liveness Check + Biometric Matching</w:t>
            </w:r>
          </w:p>
        </w:tc>
        <w:tc>
          <w:tcPr>
            <w:tcW w:type="dxa" w:w="354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Confirm that the person taking assessments is the same person who registered the account.</w:t>
            </w:r>
          </w:p>
        </w:tc>
      </w:tr>
      <w:tr>
        <w:tc>
          <w:tcPr>
            <w:tcW w:type="dxa" w:w="72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DC2626"/>
                <w:sz w:val="20"/>
                <w:szCs w:val="20"/>
              </w:rPr>
              <w:t xml:space="preserve">6.3</w:t>
            </w:r>
          </w:p>
        </w:tc>
        <w:tc>
          <w:tcPr>
            <w:tcW w:type="dxa" w:w="29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0B1F4B"/>
                <w:sz w:val="20"/>
                <w:szCs w:val="20"/>
              </w:rPr>
              <w:t xml:space="preserve">Certification Verification</w:t>
            </w:r>
          </w:p>
        </w:tc>
        <w:tc>
          <w:tcPr>
            <w:tcW w:type="dxa" w:w="22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Issuing Authority API + Document Cross-Check</w:t>
            </w:r>
          </w:p>
        </w:tc>
        <w:tc>
          <w:tcPr>
            <w:tcW w:type="dxa" w:w="354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Confirm the authenticity and current validity of professional certifications claimed by candidates.</w:t>
            </w:r>
          </w:p>
        </w:tc>
      </w:tr>
      <w:tr>
        <w:tc>
          <w:tcPr>
            <w:tcW w:type="dxa" w:w="72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DC2626"/>
                <w:sz w:val="20"/>
                <w:szCs w:val="20"/>
              </w:rPr>
              <w:t xml:space="preserve">6.4</w:t>
            </w:r>
          </w:p>
        </w:tc>
        <w:tc>
          <w:tcPr>
            <w:tcW w:type="dxa" w:w="29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0B1F4B"/>
                <w:sz w:val="20"/>
                <w:szCs w:val="20"/>
              </w:rPr>
              <w:t xml:space="preserve">Project Plagiarism Detection</w:t>
            </w:r>
          </w:p>
        </w:tc>
        <w:tc>
          <w:tcPr>
            <w:tcW w:type="dxa" w:w="22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Semantic Similarity Analysis + Repository Cross-Referencing</w:t>
            </w:r>
          </w:p>
        </w:tc>
        <w:tc>
          <w:tcPr>
            <w:tcW w:type="dxa" w:w="354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Identify portfolio projects that are copied, forked without attribution, or misrepresented as original work.</w:t>
            </w:r>
          </w:p>
        </w:tc>
      </w:tr>
      <w:tr>
        <w:tc>
          <w:tcPr>
            <w:tcW w:type="dxa" w:w="72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DC2626"/>
                <w:sz w:val="20"/>
                <w:szCs w:val="20"/>
              </w:rPr>
              <w:t xml:space="preserve">6.5</w:t>
            </w:r>
          </w:p>
        </w:tc>
        <w:tc>
          <w:tcPr>
            <w:tcW w:type="dxa" w:w="29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0B1F4B"/>
                <w:sz w:val="20"/>
                <w:szCs w:val="20"/>
              </w:rPr>
              <w:t xml:space="preserve">Code Plagiarism Detection</w:t>
            </w:r>
          </w:p>
        </w:tc>
        <w:tc>
          <w:tcPr>
            <w:tcW w:type="dxa" w:w="22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Token Fingerprinting + Submission Pair Analysis</w:t>
            </w:r>
          </w:p>
        </w:tc>
        <w:tc>
          <w:tcPr>
            <w:tcW w:type="dxa" w:w="354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Detect copied or shared code submissions in coding challenges, hackathons, and technical assessments.</w:t>
            </w:r>
          </w:p>
        </w:tc>
      </w:tr>
      <w:tr>
        <w:tc>
          <w:tcPr>
            <w:tcW w:type="dxa" w:w="72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DC2626"/>
                <w:sz w:val="20"/>
                <w:szCs w:val="20"/>
              </w:rPr>
              <w:t xml:space="preserve">6.6</w:t>
            </w:r>
          </w:p>
        </w:tc>
        <w:tc>
          <w:tcPr>
            <w:tcW w:type="dxa" w:w="29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0B1F4B"/>
                <w:sz w:val="20"/>
                <w:szCs w:val="20"/>
              </w:rPr>
              <w:t xml:space="preserve">Assessment Cheating Detection</w:t>
            </w:r>
          </w:p>
        </w:tc>
        <w:tc>
          <w:tcPr>
            <w:tcW w:type="dxa" w:w="22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Behavioural Analytics + Environment Monitoring</w:t>
            </w:r>
          </w:p>
        </w:tc>
        <w:tc>
          <w:tcPr>
            <w:tcW w:type="dxa" w:w="354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Detect and deter cheating behaviours during online assessments and coding challenges.</w:t>
            </w:r>
          </w:p>
        </w:tc>
      </w:tr>
      <w:tr>
        <w:tc>
          <w:tcPr>
            <w:tcW w:type="dxa" w:w="72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DC2626"/>
                <w:sz w:val="20"/>
                <w:szCs w:val="20"/>
              </w:rPr>
              <w:t xml:space="preserve">6.7</w:t>
            </w:r>
          </w:p>
        </w:tc>
        <w:tc>
          <w:tcPr>
            <w:tcW w:type="dxa" w:w="29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0B1F4B"/>
                <w:sz w:val="20"/>
                <w:szCs w:val="20"/>
              </w:rPr>
              <w:t xml:space="preserve">Duplicate Profile Detection</w:t>
            </w:r>
          </w:p>
        </w:tc>
        <w:tc>
          <w:tcPr>
            <w:tcW w:type="dxa" w:w="22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Multi-Signal Deduplication Engine</w:t>
            </w:r>
          </w:p>
        </w:tc>
        <w:tc>
          <w:tcPr>
            <w:tcW w:type="dxa" w:w="354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Prevent candidates from creating multiple accounts to circumvent bans, reset assessment scores, or manipulate platform rankings.</w:t>
            </w:r>
          </w:p>
        </w:tc>
      </w:tr>
      <w:tr>
        <w:tc>
          <w:tcPr>
            <w:tcW w:type="dxa" w:w="72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DC2626"/>
                <w:sz w:val="20"/>
                <w:szCs w:val="20"/>
              </w:rPr>
              <w:t xml:space="preserve">6.8</w:t>
            </w:r>
          </w:p>
        </w:tc>
        <w:tc>
          <w:tcPr>
            <w:tcW w:type="dxa" w:w="29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0B1F4B"/>
                <w:sz w:val="20"/>
                <w:szCs w:val="20"/>
              </w:rPr>
              <w:t xml:space="preserve">Fake Account Detection</w:t>
            </w:r>
          </w:p>
        </w:tc>
        <w:tc>
          <w:tcPr>
            <w:tcW w:type="dxa" w:w="22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Behavioural Profiling + Velocity Analysis</w:t>
            </w:r>
          </w:p>
        </w:tc>
        <w:tc>
          <w:tcPr>
            <w:tcW w:type="dxa" w:w="354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Identify bot-created, bulk-registered, or synthetic candidate accounts with no genuine human intent.</w:t>
            </w:r>
          </w:p>
        </w:tc>
      </w:tr>
      <w:tr>
        <w:tc>
          <w:tcPr>
            <w:tcW w:type="dxa" w:w="72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DC2626"/>
                <w:sz w:val="20"/>
                <w:szCs w:val="20"/>
              </w:rPr>
              <w:t xml:space="preserve">6.9</w:t>
            </w:r>
          </w:p>
        </w:tc>
        <w:tc>
          <w:tcPr>
            <w:tcW w:type="dxa" w:w="29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0B1F4B"/>
                <w:sz w:val="20"/>
                <w:szCs w:val="20"/>
              </w:rPr>
              <w:t xml:space="preserve">Suspicious Behaviour Monitoring</w:t>
            </w:r>
          </w:p>
        </w:tc>
        <w:tc>
          <w:tcPr>
            <w:tcW w:type="dxa" w:w="22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Continuous Anomaly Detection + Risk Scoring</w:t>
            </w:r>
          </w:p>
        </w:tc>
        <w:tc>
          <w:tcPr>
            <w:tcW w:type="dxa" w:w="354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Monitor for patterns of behaviour on the platform that indicate manipulation, gaming, or malicious intent.</w:t>
            </w:r>
          </w:p>
        </w:tc>
      </w:tr>
      <w:tr>
        <w:tc>
          <w:tcPr>
            <w:tcW w:type="dxa" w:w="72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DC2626"/>
                <w:sz w:val="20"/>
                <w:szCs w:val="20"/>
              </w:rPr>
              <w:t xml:space="preserve">6.10</w:t>
            </w:r>
          </w:p>
        </w:tc>
        <w:tc>
          <w:tcPr>
            <w:tcW w:type="dxa" w:w="29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0B1F4B"/>
                <w:sz w:val="20"/>
                <w:szCs w:val="20"/>
              </w:rPr>
              <w:t xml:space="preserve">Remote Exam Proctoring</w:t>
            </w:r>
          </w:p>
        </w:tc>
        <w:tc>
          <w:tcPr>
            <w:tcW w:type="dxa" w:w="22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AI Proctoring + Human Review Escalation</w:t>
            </w:r>
          </w:p>
        </w:tc>
        <w:tc>
          <w:tcPr>
            <w:tcW w:type="dxa" w:w="354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Maintain assessment integrity for high-stakes remote examinations and certification tests.</w:t>
            </w:r>
          </w:p>
        </w:tc>
      </w:tr>
    </w:tbl>
    <w:p>
      <w:r>
        <w:br w:type="page"/>
      </w:r>
    </w:p>
    <w:p>
      <w:pPr>
        <w:spacing w:before="120" w:after="80"/>
      </w:pPr>
      <w:r>
        <w:rPr>
          <w:rFonts w:ascii="Arial" w:cs="Arial" w:eastAsia="Arial" w:hAnsi="Arial"/>
          <w:b/>
          <w:bCs/>
          <w:color w:val="6B7280"/>
          <w:sz w:val="28"/>
          <w:szCs w:val="28"/>
        </w:rPr>
        <w:t xml:space="preserve">Feature 6.1  </w:t>
      </w:r>
      <w:r>
        <w:rPr>
          <w:rFonts w:ascii="Arial" w:cs="Arial" w:eastAsia="Arial" w:hAnsi="Arial"/>
          <w:b/>
          <w:bCs/>
          <w:color w:val="0B1F4B"/>
          <w:sz w:val="28"/>
          <w:szCs w:val="28"/>
        </w:rPr>
        <w:t xml:space="preserve">Resume Fraud Detection</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NLP + Cross-Platform Verification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Identify falsified, fabricated, or inflated claims in candidate-submitted resumes.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Resume Fraud Detection is an automated system that analyses every resume submitted through EcoSkiller and cross-references its claims against platform-verified data, external data sources, and AI-driven anomaly detection models. The system is designed to surface discrepancies, inconsistencies, and fabrications without requiring manual recruiter review of every document.</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Resume fraud is one of the most pervasive problems in modern hiring. Studies consistently show that 30–40% of resumes contain at least one material exaggeration or fabrication — ranging from inflated job titles and falsified employment dates to entirely fictitious companies and degrees. EcoSkiller's Resume Fraud Detection system runs automatically on every resume the moment it is submitted or updated.</w:t>
      </w:r>
    </w:p>
    <w:p>
      <w:pPr>
        <w:spacing w:before="0" w:after="140"/>
      </w:pPr>
      <w:r>
        <w:rPr>
          <w:rFonts w:ascii="Arial" w:cs="Arial" w:eastAsia="Arial" w:hAnsi="Arial"/>
          <w:color w:val="374151"/>
          <w:sz w:val="21"/>
          <w:szCs w:val="21"/>
        </w:rPr>
        <w:t xml:space="preserve">The system operates across four analysis layers. The Structural Consistency Check verifies that employment dates do not overlap impossibly, that claimed years of experience are mathematically consistent with the candidate's stated graduation year and age, and that employment history does not contain implausible timeline gaps or compressions. The Claim-to-Platform-Evidence Cross-Reference compares every skill, technology, and credential claim in the resume against the candidate's verified platform activity — a candidate claiming '5 years of Kubernetes experience' who has never completed a Kubernetes-tagged challenge, assessment, or project on the platform is flagged for discrepancy review.</w:t>
      </w:r>
    </w:p>
    <w:p>
      <w:pPr>
        <w:spacing w:before="0" w:after="140"/>
      </w:pPr>
      <w:r>
        <w:rPr>
          <w:rFonts w:ascii="Arial" w:cs="Arial" w:eastAsia="Arial" w:hAnsi="Arial"/>
          <w:color w:val="374151"/>
          <w:sz w:val="21"/>
          <w:szCs w:val="21"/>
        </w:rPr>
        <w:t xml:space="preserve">The Company Existence Verification layer cross-references every employer listed in the resume against company databases (MCA registry, LinkedIn company database, Crunchbase) to verify that the organisation actually exists and operates in the industry claimed. The NLP-Based Exaggeration Model uses natural language processing to identify patterns consistent with exaggerated job titles, inflated responsibility descriptions, and AI-generated resume content — a growing concern as candidates increasingly use generative AI to fabricate experience narratives.</w:t>
      </w:r>
    </w:p>
    <w:p>
      <w:pPr>
        <w:spacing w:before="0" w:after="140"/>
      </w:pPr>
      <w:r>
        <w:rPr>
          <w:rFonts w:ascii="Arial" w:cs="Arial" w:eastAsia="Arial" w:hAnsi="Arial"/>
          <w:color w:val="374151"/>
          <w:sz w:val="21"/>
          <w:szCs w:val="21"/>
        </w:rPr>
        <w:t xml:space="preserve">When the system detects a potential fraud signal, it does not automatically disqualify the candidate. Instead, it assigns a Resume Integrity Score (0–100) and flags specific claims for recruiter review with explanatory notes. Recruiters can then make informed decisions about whether to request clarification, proceed with additional verification, or remove the candidate from consideration.</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Integrity Score</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0–100 composite score; flagged claims annotated for recruiter review</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Timeline Validation</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Employment date overlap, experience–age consistency, gap analysis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Claim Cross-Reference</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Resume skills vs. platform-verified activity and assessment data</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Company Verification</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Employer existence check via MCA, LinkedIn, Crunchbase databases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AI-Content Detection</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NLP model identifies AI-generated or templated resume content</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Exaggeration Signals</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Job title inflation, responsibility bloat pattern detection</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Trigger Conditions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Runs on every resume submission and on every subsequent update</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candidate lists 4 years of React experience on their resume but has zero React activity on the EcoSkiller platform — the system flags this specific claim for recruiter review.</w:t>
      </w:r>
    </w:p>
    <w:p>
      <w:pPr>
        <w:pStyle w:val="ListParagraph"/>
        <w:numPr>
          <w:ilvl w:val="0"/>
          <w:numId w:val="2"/>
        </w:numPr>
        <w:spacing w:before="40" w:after="40"/>
      </w:pPr>
      <w:r>
        <w:rPr>
          <w:rFonts w:ascii="Arial" w:cs="Arial" w:eastAsia="Arial" w:hAnsi="Arial"/>
          <w:color w:val="374151"/>
          <w:sz w:val="21"/>
          <w:szCs w:val="21"/>
        </w:rPr>
        <w:t xml:space="preserve">A candidate lists an employer that does not appear in any company database. The system flags the employer name and suggests the recruiter request an employment verification letter.</w:t>
      </w:r>
    </w:p>
    <w:p>
      <w:pPr>
        <w:pStyle w:val="ListParagraph"/>
        <w:numPr>
          <w:ilvl w:val="0"/>
          <w:numId w:val="2"/>
        </w:numPr>
        <w:spacing w:before="40" w:after="40"/>
      </w:pPr>
      <w:r>
        <w:rPr>
          <w:rFonts w:ascii="Arial" w:cs="Arial" w:eastAsia="Arial" w:hAnsi="Arial"/>
          <w:color w:val="374151"/>
          <w:sz w:val="21"/>
          <w:szCs w:val="21"/>
        </w:rPr>
        <w:t xml:space="preserve">A resume submission triggers the AI-content detector — the recruiter is notified that the experience descriptions show high probability of being AI-generated, prompting a deeper behavioural interview.</w:t>
      </w:r>
    </w:p>
    <w:p>
      <w:pPr>
        <w:spacing w:before="80" w:after="0"/>
      </w:pPr>
      <w:r>
        <w:t xml:space="preserve"/>
      </w:r>
    </w:p>
    <w:p>
      <w:pPr>
        <w:pBdr>
          <w:bottom w:val="single" w:color="DC2626"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6.2  </w:t>
      </w:r>
      <w:r>
        <w:rPr>
          <w:rFonts w:ascii="Arial" w:cs="Arial" w:eastAsia="Arial" w:hAnsi="Arial"/>
          <w:b/>
          <w:bCs/>
          <w:color w:val="0B1F4B"/>
          <w:sz w:val="28"/>
          <w:szCs w:val="28"/>
        </w:rPr>
        <w:t xml:space="preserve">Identity Verification System</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Government ID + Liveness Check + Biometric Matching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Confirm that the person taking assessments is the same person who registered the account.</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Identity Verification System establishes and continuously validates that the registered account holder and the person interacting with the platform are one and the same. It combines document-based identity verification at registration with periodic liveness challenges during assessments and competitions to prevent proxy use — where a more skilled individual completes assessments on behalf of a registered candidate.</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Identity verification operates in two phases. Phase 1 is Onboarding Verification, conducted once when a candidate creates their account. The candidate submits a government-issued photo ID (Aadhaar, PAN, Passport, or Driving Licence) and completes a liveness check using their device camera. The liveness check uses a 3D depth map and randomised action prompt (blink, turn head left, smile) to distinguish a live person from a photograph. The submitted ID and the liveness selfie are compared using a facial recognition model with a configurable confidence threshold (default: 92% match confidence).</w:t>
      </w:r>
    </w:p>
    <w:p>
      <w:pPr>
        <w:spacing w:before="0" w:after="140"/>
      </w:pPr>
      <w:r>
        <w:rPr>
          <w:rFonts w:ascii="Arial" w:cs="Arial" w:eastAsia="Arial" w:hAnsi="Arial"/>
          <w:color w:val="374151"/>
          <w:sz w:val="21"/>
          <w:szCs w:val="21"/>
        </w:rPr>
        <w:t xml:space="preserve">Phase 2 is Continuous Session Verification, applied during high-stakes assessments, competitions, and GD sessions. At randomised intervals during an assessment session (typically 2–4 times per hour), the system requests a passive liveness frame from the candidate's webcam without interrupting the assessment flow. These frames are matched against the registered identity profile. A match confidence drop below the threshold triggers a flag for recruiter review rather than an immediate disqualification — acknowledging that lighting conditions, camera quality, and physical changes (glasses, facial hair) can affect match accuracy.</w:t>
      </w:r>
    </w:p>
    <w:p>
      <w:pPr>
        <w:spacing w:before="0" w:after="140"/>
      </w:pPr>
      <w:r>
        <w:rPr>
          <w:rFonts w:ascii="Arial" w:cs="Arial" w:eastAsia="Arial" w:hAnsi="Arial"/>
          <w:color w:val="374151"/>
          <w:sz w:val="21"/>
          <w:szCs w:val="21"/>
        </w:rPr>
        <w:t xml:space="preserve">The system also detects multi-person presence in the camera frame during assessments — if more than one face is detected in the frame, the session is flagged immediately. All identity verification events (verification time, confidence score, frame captured, outcome) are logged to an immutable audit trail that can be presented as evidence in candidate dispute resolution processes.</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Phase 1 Documents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Aadhaar, PAN, Passport, Driving Licence — any government-issued photo ID</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Liveness Check</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3D depth map + randomised action prompt; anti-spoofing against photos/videos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Match Threshold</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Default 92% facial recognition confidence; configurable per company</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Continuous Checks</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2–4 randomised passive frames per assessment hour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Multi-Person Alert</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Immediate flag if more than one face detected in webcam frame</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Audit Trail</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Immutable log of all verification events with timestamps and confidence scores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Privacy Compliance</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Biometric data encrypted, never shared with recruiters, auto-purged post-verification</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candidate attempts to have a friend complete their coding assessment. The continuous identity check detects a face mismatch at the 20-minute mark — the session is flagged and paused for recruiter review.</w:t>
      </w:r>
    </w:p>
    <w:p>
      <w:pPr>
        <w:pStyle w:val="ListParagraph"/>
        <w:numPr>
          <w:ilvl w:val="0"/>
          <w:numId w:val="2"/>
        </w:numPr>
        <w:spacing w:before="40" w:after="40"/>
      </w:pPr>
      <w:r>
        <w:rPr>
          <w:rFonts w:ascii="Arial" w:cs="Arial" w:eastAsia="Arial" w:hAnsi="Arial"/>
          <w:color w:val="374151"/>
          <w:sz w:val="21"/>
          <w:szCs w:val="21"/>
        </w:rPr>
        <w:t xml:space="preserve">A campus recruiter requires identity verification for their GD round. Only candidates who have completed Phase 1 ID verification are allowed to enter the session.</w:t>
      </w:r>
    </w:p>
    <w:p>
      <w:pPr>
        <w:pStyle w:val="ListParagraph"/>
        <w:numPr>
          <w:ilvl w:val="0"/>
          <w:numId w:val="2"/>
        </w:numPr>
        <w:spacing w:before="40" w:after="40"/>
      </w:pPr>
      <w:r>
        <w:rPr>
          <w:rFonts w:ascii="Arial" w:cs="Arial" w:eastAsia="Arial" w:hAnsi="Arial"/>
          <w:color w:val="374151"/>
          <w:sz w:val="21"/>
          <w:szCs w:val="21"/>
        </w:rPr>
        <w:t xml:space="preserve">During a dispute about a competition result, the company requests the identity audit log — the immutable verification record confirms the candidate's identity at all 4 check points during the session.</w:t>
      </w:r>
    </w:p>
    <w:p>
      <w:pPr>
        <w:spacing w:before="80" w:after="0"/>
      </w:pPr>
      <w:r>
        <w:t xml:space="preserve"/>
      </w:r>
    </w:p>
    <w:p>
      <w:pPr>
        <w:pBdr>
          <w:bottom w:val="single" w:color="DC2626"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6.3  </w:t>
      </w:r>
      <w:r>
        <w:rPr>
          <w:rFonts w:ascii="Arial" w:cs="Arial" w:eastAsia="Arial" w:hAnsi="Arial"/>
          <w:b/>
          <w:bCs/>
          <w:color w:val="0B1F4B"/>
          <w:sz w:val="28"/>
          <w:szCs w:val="28"/>
        </w:rPr>
        <w:t xml:space="preserve">Certification Verification</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Issuing Authority API + Document Cross-Check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Confirm the authenticity and current validity of professional certifications claimed by candidates.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Certification Verification ensures that every certification displayed on a candidate's EcoSkiller profile is authentic, current, and accurately represented. Given the ease with which certification details can be falsified on resumes and profiles, this system provides recruiters with a clear trust signal distinguishing verified credentials from self-declared ones.</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EcoSkiller maintains direct API integrations with the verification databases of major certification authorities. When a candidate adds a certification to their profile, the system immediately attempts an automated verification by querying the relevant authority's public verification API. For AWS certifications, this involves querying the AWS Certification Verification portal using the certificate ID provided by the candidate. For Google Cloud, Microsoft Azure, PMI (PMP), Scrum Alliance (CSM/CSP), and CompTIA credentials, equivalent APIs are used. Certifications that are successfully verified via API receive a Platform Verified badge (blue shield icon) on the candidate profile and in all filtered search results.</w:t>
      </w:r>
    </w:p>
    <w:p>
      <w:pPr>
        <w:spacing w:before="0" w:after="140"/>
      </w:pPr>
      <w:r>
        <w:rPr>
          <w:rFonts w:ascii="Arial" w:cs="Arial" w:eastAsia="Arial" w:hAnsi="Arial"/>
          <w:color w:val="374151"/>
          <w:sz w:val="21"/>
          <w:szCs w:val="21"/>
        </w:rPr>
        <w:t xml:space="preserve">For certification authorities that do not provide a public verification API, the system uses a Document Authenticity Check. The candidate uploads a copy of their certificate, and the system applies OCR and structural analysis to verify that the document's layout, font usage, certificate number format, and design elements are consistent with authentic certificates from the claimed issuing authority. This is a probabilistic check — it cannot guarantee authenticity but it can detect obvious forgeries and flag suspicious documents for manual review.</w:t>
      </w:r>
    </w:p>
    <w:p>
      <w:pPr>
        <w:spacing w:before="0" w:after="140"/>
      </w:pPr>
      <w:r>
        <w:rPr>
          <w:rFonts w:ascii="Arial" w:cs="Arial" w:eastAsia="Arial" w:hAnsi="Arial"/>
          <w:color w:val="374151"/>
          <w:sz w:val="21"/>
          <w:szCs w:val="21"/>
        </w:rPr>
        <w:t xml:space="preserve">Certification validity is tracked continuously. The system monitors expiry dates for all verified certifications and sends renewal reminders to candidates 90 and 30 days before expiry. Once a certification expires, its status automatically changes from 'Verified Active' to 'Verified Expired' — maintaining the authenticity signal while accurately representing currency. Recruiters using the Certification Filter can configure it to return only 'Verified Active' certifications, ensuring that shortlisted candidates hold current credentials.</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API Partners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AWS, Google Cloud, Microsoft Azure, PMI, Scrum Alliance, CompTIA, ISACA, CFA Institute</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Verified Badge</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Blue shield badge for API-verified certs; document-checked badge for non-API</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Expiry Tracking</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Auto-update from Verified Active to Verified Expired on expiry date</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Renewal Reminders</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Automated alerts to candidate at 90 days and 30 days pre-expiry</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Forgery Detection</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OCR + structural layout analysis for non-API certificate documents</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Verification Status</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Verified Active / Verified Expired / Document Checked / Self-Declared / Disputed</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Re-verification</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Annual re-verification trigger for long-validity certs (PMP, CISSP, etc.)</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candidate adds an AWS Solutions Architect – Professional certificate. The system queries AWS's verification portal within seconds and returns a Verified Active badge — no manual review required.</w:t>
      </w:r>
    </w:p>
    <w:p>
      <w:pPr>
        <w:pStyle w:val="ListParagraph"/>
        <w:numPr>
          <w:ilvl w:val="0"/>
          <w:numId w:val="2"/>
        </w:numPr>
        <w:spacing w:before="40" w:after="40"/>
      </w:pPr>
      <w:r>
        <w:rPr>
          <w:rFonts w:ascii="Arial" w:cs="Arial" w:eastAsia="Arial" w:hAnsi="Arial"/>
          <w:color w:val="374151"/>
          <w:sz w:val="21"/>
          <w:szCs w:val="21"/>
        </w:rPr>
        <w:t xml:space="preserve">A candidate submits a PMP certificate document. OCR analysis detects that the certificate number format does not match PMI's current numbering schema — the document is flagged as potentially inauthentic.</w:t>
      </w:r>
    </w:p>
    <w:p>
      <w:pPr>
        <w:pStyle w:val="ListParagraph"/>
        <w:numPr>
          <w:ilvl w:val="0"/>
          <w:numId w:val="2"/>
        </w:numPr>
        <w:spacing w:before="40" w:after="40"/>
      </w:pPr>
      <w:r>
        <w:rPr>
          <w:rFonts w:ascii="Arial" w:cs="Arial" w:eastAsia="Arial" w:hAnsi="Arial"/>
          <w:color w:val="374151"/>
          <w:sz w:val="21"/>
          <w:szCs w:val="21"/>
        </w:rPr>
        <w:t xml:space="preserve">A recruiter filtering for active AWS certifications sees that one shortlisted candidate's certification expired 3 weeks ago — the Verified Expired badge prompts the recruiter to check if the candidate has renewed.</w:t>
      </w:r>
    </w:p>
    <w:p>
      <w:pPr>
        <w:spacing w:before="80" w:after="0"/>
      </w:pPr>
      <w:r>
        <w:t xml:space="preserve"/>
      </w:r>
    </w:p>
    <w:p>
      <w:pPr>
        <w:pBdr>
          <w:bottom w:val="single" w:color="DC2626"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6.4  </w:t>
      </w:r>
      <w:r>
        <w:rPr>
          <w:rFonts w:ascii="Arial" w:cs="Arial" w:eastAsia="Arial" w:hAnsi="Arial"/>
          <w:b/>
          <w:bCs/>
          <w:color w:val="0B1F4B"/>
          <w:sz w:val="28"/>
          <w:szCs w:val="28"/>
        </w:rPr>
        <w:t xml:space="preserve">Project Plagiarism Detection</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Semantic Similarity Analysis + Repository Cross-Referencing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Identify portfolio projects that are copied, forked without attribution, or misrepresented as original work.</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Project Plagiarism Detection analyses every portfolio project submitted to EcoSkiller and compares it against a corpus of known tutorial projects, open-source repositories, public GitHub projects, and other EcoSkiller submissions to identify work that has been copied, minimally modified from a template, or misrepresented as original work.</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Portfolio plagiarism is a significant problem in technical hiring. A large proportion of junior developer portfolios consist entirely of tutorial projects or forked repositories presented as original work. While there is nothing inherently wrong with learning from tutorials, presenting such work as original and independently conceived is a misrepresentation that undermines the portfolio's credibility as a hiring signal.</w:t>
      </w:r>
    </w:p>
    <w:p>
      <w:pPr>
        <w:spacing w:before="0" w:after="140"/>
      </w:pPr>
      <w:r>
        <w:rPr>
          <w:rFonts w:ascii="Arial" w:cs="Arial" w:eastAsia="Arial" w:hAnsi="Arial"/>
          <w:color w:val="374151"/>
          <w:sz w:val="21"/>
          <w:szCs w:val="21"/>
        </w:rPr>
        <w:t xml:space="preserve">The detection system operates at two levels. The Code-Level Similarity Check queries the submitted project's linked GitHub repository against a database of 500,000+ known tutorial repositories, popular open-source projects, and previously reviewed EcoSkiller submissions. A similarity score is computed using abstract syntax tree (AST) comparison and normalised token sequence analysis — techniques that detect similarity even when variable names, comments, and formatting have been changed. A similarity score above 70% triggers a plagiarism flag; scores between 40–70% generate a 'Review Recommended' notice.</w:t>
      </w:r>
    </w:p>
    <w:p>
      <w:pPr>
        <w:spacing w:before="0" w:after="140"/>
      </w:pPr>
      <w:r>
        <w:rPr>
          <w:rFonts w:ascii="Arial" w:cs="Arial" w:eastAsia="Arial" w:hAnsi="Arial"/>
          <w:color w:val="374151"/>
          <w:sz w:val="21"/>
          <w:szCs w:val="21"/>
        </w:rPr>
        <w:t xml:space="preserve">The Description-Level Plagiarism Check uses NLP-based semantic similarity analysis to compare project descriptions against known tutorial content, Medium/Dev.to articles, and other EcoSkiller project descriptions. This catches cases where a candidate has copied project code but also copied the project description verbatim or near-verbatim from a tutorial author. Attribution validation checks whether the candidate has properly disclosed that their project is based on a tutorial or forked from a public repository — proper disclosure is not penalised; undisclosed copying is.</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Code Analysis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AST comparison + normalised token sequence analysis against 500K+ repository corpus</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Similarity Threshold</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Plagiarised: &gt;70% / Review Recommended: 40–70% / Original: &lt;40%</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Description Check</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NLP semantic similarity against tutorial content and other platform submissions</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Attribution Check</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Detects disclosed forks vs. undisclosed copies — disclosed forks not penalised</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Cross-Platform</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GitHub, GitLab, Bitbucket repository scanning</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Continuous Scan</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Re-scans existing submissions periodically against updated corpus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Candidate Notification</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Candidate informed of flag with option to add attribution or contest</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candidate submits a weather app portfolio project. The system detects 85% code similarity with a popular YouTube tutorial repository — the project is flagged as plagiarised and marked accordingly.</w:t>
      </w:r>
    </w:p>
    <w:p>
      <w:pPr>
        <w:pStyle w:val="ListParagraph"/>
        <w:numPr>
          <w:ilvl w:val="0"/>
          <w:numId w:val="2"/>
        </w:numPr>
        <w:spacing w:before="40" w:after="40"/>
      </w:pPr>
      <w:r>
        <w:rPr>
          <w:rFonts w:ascii="Arial" w:cs="Arial" w:eastAsia="Arial" w:hAnsi="Arial"/>
          <w:color w:val="374151"/>
          <w:sz w:val="21"/>
          <w:szCs w:val="21"/>
        </w:rPr>
        <w:t xml:space="preserve">A candidate submits a React dashboard forked from an open-source template, with proper attribution in the README. The system acknowledges the attribution and marks the project as 'Forked with Attribution' — not a fraud flag.</w:t>
      </w:r>
    </w:p>
    <w:p>
      <w:pPr>
        <w:pStyle w:val="ListParagraph"/>
        <w:numPr>
          <w:ilvl w:val="0"/>
          <w:numId w:val="2"/>
        </w:numPr>
        <w:spacing w:before="40" w:after="40"/>
      </w:pPr>
      <w:r>
        <w:rPr>
          <w:rFonts w:ascii="Arial" w:cs="Arial" w:eastAsia="Arial" w:hAnsi="Arial"/>
          <w:color w:val="374151"/>
          <w:sz w:val="21"/>
          <w:szCs w:val="21"/>
        </w:rPr>
        <w:t xml:space="preserve">Two EcoSkiller candidates submit near-identical e-commerce projects. The cross-submission check flags both — the recruiter can see that at least one copied from the other.</w:t>
      </w:r>
    </w:p>
    <w:p>
      <w:pPr>
        <w:spacing w:before="80" w:after="0"/>
      </w:pPr>
      <w:r>
        <w:t xml:space="preserve"/>
      </w:r>
    </w:p>
    <w:p>
      <w:pPr>
        <w:pBdr>
          <w:bottom w:val="single" w:color="DC2626"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6.5  </w:t>
      </w:r>
      <w:r>
        <w:rPr>
          <w:rFonts w:ascii="Arial" w:cs="Arial" w:eastAsia="Arial" w:hAnsi="Arial"/>
          <w:b/>
          <w:bCs/>
          <w:color w:val="0B1F4B"/>
          <w:sz w:val="28"/>
          <w:szCs w:val="28"/>
        </w:rPr>
        <w:t xml:space="preserve">Code Plagiarism Detection</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Token Fingerprinting + Submission Pair Analysis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Detect copied or shared code submissions in coding challenges, hackathons, and technical assessments.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Code Plagiarism Detection monitors all coding challenge and assessment submissions on the EcoSkiller platform to identify cases where candidates have shared solutions, copied code from external sources, or used pre-published editorial solutions during timed assessments.</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Unlike portfolio project plagiarism — which involves historical work — code plagiarism detection in assessments operates under time pressure and must deliver results in near-real-time. The system uses a two-phase approach. During the assessment window, a Submission Fingerprint is generated for every code submission: a normalised, variable-name-independent token hash that represents the structural logic of the submitted solution. These fingerprints are compared against all other submissions in the same assessment cohort in real time.</w:t>
      </w:r>
    </w:p>
    <w:p>
      <w:pPr>
        <w:spacing w:before="0" w:after="140"/>
      </w:pPr>
      <w:r>
        <w:rPr>
          <w:rFonts w:ascii="Arial" w:cs="Arial" w:eastAsia="Arial" w:hAnsi="Arial"/>
          <w:color w:val="374151"/>
          <w:sz w:val="21"/>
          <w:szCs w:val="21"/>
        </w:rPr>
        <w:t xml:space="preserve">If two or more submissions in the same cohort have fingerprint similarity above the threshold, an intra-cohort plagiarism flag is raised. The system also compares submissions against a cross-session corpus — a database of all prior submissions to the same problems across all previous EcoSkiller assessments and competitions. This catches candidates who have used pre-published editorial solutions or solutions shared by candidates who completed the assessment in an earlier session.</w:t>
      </w:r>
    </w:p>
    <w:p>
      <w:pPr>
        <w:spacing w:before="0" w:after="140"/>
      </w:pPr>
      <w:r>
        <w:rPr>
          <w:rFonts w:ascii="Arial" w:cs="Arial" w:eastAsia="Arial" w:hAnsi="Arial"/>
          <w:color w:val="374151"/>
          <w:sz w:val="21"/>
          <w:szCs w:val="21"/>
        </w:rPr>
        <w:t xml:space="preserve">Editorial and leaked solution detection is a specific sub-module. For problems that appear on public competitive programming platforms (LeetCode, Codeforces, HackerRank), the system maintains a database of known editorial solutions and top-rated public submissions. Candidate code is compared against this database to detect verbatim or near-verbatim reproduction. The system accounts for common obfuscation techniques — variable renaming, comment injection, whitespace modifications — through AST-normalised comparison.</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Fingerprinting</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Token-normalised structural hash — rename-resistant and format-resistant</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Intra-Cohort Check</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Real-time similarity comparison across all submissions in active assessment</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Cross-Session Check</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Comparison against all historical submissions to same problems</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Editorial Detection</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Database of known editorial and public solutions for 50,000+ problems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Obfuscation Resistance</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AST normalisation detects variable renaming, comment injection, reformatting</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Similarity Threshold</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Flag: &gt;75% similarity; Review: 50–75%; Pass: &lt;50%</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Pair Analysis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When two candidates match, both are flagged with relationship score</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In a live coding assessment, two candidates submit structurally identical solutions 8 minutes apart. The intra-cohort check flags both with a 91% similarity score — the recruiter can see the pair relationship and timing.</w:t>
      </w:r>
    </w:p>
    <w:p>
      <w:pPr>
        <w:pStyle w:val="ListParagraph"/>
        <w:numPr>
          <w:ilvl w:val="0"/>
          <w:numId w:val="2"/>
        </w:numPr>
        <w:spacing w:before="40" w:after="40"/>
      </w:pPr>
      <w:r>
        <w:rPr>
          <w:rFonts w:ascii="Arial" w:cs="Arial" w:eastAsia="Arial" w:hAnsi="Arial"/>
          <w:color w:val="374151"/>
          <w:sz w:val="21"/>
          <w:szCs w:val="21"/>
        </w:rPr>
        <w:t xml:space="preserve">A candidate submits a solution that matches a published LeetCode editorial at 88% AST similarity. The editorial detection module flags the submission as a probable copied solution.</w:t>
      </w:r>
    </w:p>
    <w:p>
      <w:pPr>
        <w:pStyle w:val="ListParagraph"/>
        <w:numPr>
          <w:ilvl w:val="0"/>
          <w:numId w:val="2"/>
        </w:numPr>
        <w:spacing w:before="40" w:after="40"/>
      </w:pPr>
      <w:r>
        <w:rPr>
          <w:rFonts w:ascii="Arial" w:cs="Arial" w:eastAsia="Arial" w:hAnsi="Arial"/>
          <w:color w:val="374151"/>
          <w:sz w:val="21"/>
          <w:szCs w:val="21"/>
        </w:rPr>
        <w:t xml:space="preserve">A candidate renames all variables and adds random comments to a copied solution. AST normalisation strips these obfuscations — the underlying logic fingerprint still matches at 82%.</w:t>
      </w:r>
    </w:p>
    <w:p>
      <w:pPr>
        <w:spacing w:before="80" w:after="0"/>
      </w:pPr>
      <w:r>
        <w:t xml:space="preserve"/>
      </w:r>
    </w:p>
    <w:p>
      <w:pPr>
        <w:pBdr>
          <w:bottom w:val="single" w:color="DC2626"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6.6  </w:t>
      </w:r>
      <w:r>
        <w:rPr>
          <w:rFonts w:ascii="Arial" w:cs="Arial" w:eastAsia="Arial" w:hAnsi="Arial"/>
          <w:b/>
          <w:bCs/>
          <w:color w:val="0B1F4B"/>
          <w:sz w:val="28"/>
          <w:szCs w:val="28"/>
        </w:rPr>
        <w:t xml:space="preserve">Assessment Cheating Detection</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Behavioural Analytics + Environment Monitoring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Detect and deter cheating behaviours during online assessments and coding challenges.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Assessment Cheating Detection is a multi-layer surveillance and behavioural analytics system that monitors candidate behaviour during online assessments to detect a wide range of cheating strategies — from tab switching and copy-paste from external sources to use of AI coding assistants and unauthorised collaboration.</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system monitors eight distinct behavioural signal categories during assessments. Tab Focus Events: the number and duration of times the candidate leaves the assessment tab, interpreted as potential consultation of external resources. Window Blur Events: focus-loss events even without full tab switching, which can indicate alt-tab to another application. Copy-Paste Detection: clipboard monitoring that identifies when text is pasted into the code editor rather than typed, particularly for large code blocks. Keystroke Rhythm Analysis: a model that identifies typing patterns inconsistent with real-time problem-solving — specifically, the sudden appearance of large, well-structured code blocks without preceding iterative typing activity, consistent with code being dictated from an AI assistant.</w:t>
      </w:r>
    </w:p>
    <w:p>
      <w:pPr>
        <w:spacing w:before="0" w:after="140"/>
      </w:pPr>
      <w:r>
        <w:rPr>
          <w:rFonts w:ascii="Arial" w:cs="Arial" w:eastAsia="Arial" w:hAnsi="Arial"/>
          <w:color w:val="374151"/>
          <w:sz w:val="21"/>
          <w:szCs w:val="21"/>
        </w:rPr>
        <w:t xml:space="preserve">Mouse Movement Anomalies: unusual cursor behaviour patterns (such as moving off-screen to a secondary monitor) that correlate with external resource consultation. Screen Resolution Changes: a sudden resolution change mid-assessment can indicate screen sharing or remote desktop connection. Network Traffic Anomalies: unusual patterns in network requests from the assessment interface that may indicate programmatic assistance tools running in the background. Time Distribution Analysis: candidates who solve complex problems in implausibly short time windows relative to the problem's historical solve-time distribution are flagged for additional review.</w:t>
      </w:r>
    </w:p>
    <w:p>
      <w:pPr>
        <w:spacing w:before="0" w:after="140"/>
      </w:pPr>
      <w:r>
        <w:rPr>
          <w:rFonts w:ascii="Arial" w:cs="Arial" w:eastAsia="Arial" w:hAnsi="Arial"/>
          <w:color w:val="374151"/>
          <w:sz w:val="21"/>
          <w:szCs w:val="21"/>
        </w:rPr>
        <w:t xml:space="preserve">The system produces a per-session Integrity Score (0–100) that summarises the overall cheating risk of the session. Recruiters can view the full behavioural event log for any flagged session. Importantly, the system is calibrated to avoid false positives from innocent behaviours — a candidate checking a different tab once is not flagged; a candidate switching tabs 12 times over a 45-minute session is.</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Monitored Signals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Tab focus, window blur, copy-paste, keystroke rhythm, mouse movement, resolution, network</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AI Assistant Detection</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Keystroke rhythm model identifies AI-dictated code vs. real-time typing</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Integrity Score</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0–100 per-session score; event log available for flagged sessions</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False Positive Control</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Calibrated thresholds; single anomaly events do not trigger flags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Time Analysis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Solve time vs. historical distribution for same problem</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Real-Time Alerts</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Recruiters can receive live alerts for high-severity events during active assessments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Candidate Warning</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Configurable warning displayed to candidate on first minor anomaly event</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candidate switches away from the assessment tab 15 times during a 1-hour session. The system logs each event and computes an Integrity Score of 38, flagging the session for recruiter review.</w:t>
      </w:r>
    </w:p>
    <w:p>
      <w:pPr>
        <w:pStyle w:val="ListParagraph"/>
        <w:numPr>
          <w:ilvl w:val="0"/>
          <w:numId w:val="2"/>
        </w:numPr>
        <w:spacing w:before="40" w:after="40"/>
      </w:pPr>
      <w:r>
        <w:rPr>
          <w:rFonts w:ascii="Arial" w:cs="Arial" w:eastAsia="Arial" w:hAnsi="Arial"/>
          <w:color w:val="374151"/>
          <w:sz w:val="21"/>
          <w:szCs w:val="21"/>
        </w:rPr>
        <w:t xml:space="preserve">A candidate's keystroke log shows 200 lines of perfectly structured code appearing in 8 seconds without any preceding typing activity — AI assistant injection is flagged as high probability.</w:t>
      </w:r>
    </w:p>
    <w:p>
      <w:pPr>
        <w:pStyle w:val="ListParagraph"/>
        <w:numPr>
          <w:ilvl w:val="0"/>
          <w:numId w:val="2"/>
        </w:numPr>
        <w:spacing w:before="40" w:after="40"/>
      </w:pPr>
      <w:r>
        <w:rPr>
          <w:rFonts w:ascii="Arial" w:cs="Arial" w:eastAsia="Arial" w:hAnsi="Arial"/>
          <w:color w:val="374151"/>
          <w:sz w:val="21"/>
          <w:szCs w:val="21"/>
        </w:rPr>
        <w:t xml:space="preserve">A recruiter enables live alerts for a premium assessment round — they receive an alert when a candidate's screen resolution changes mid-session, indicating a possible secondary display or remote desktop.</w:t>
      </w:r>
    </w:p>
    <w:p>
      <w:pPr>
        <w:spacing w:before="80" w:after="0"/>
      </w:pPr>
      <w:r>
        <w:t xml:space="preserve"/>
      </w:r>
    </w:p>
    <w:p>
      <w:pPr>
        <w:pBdr>
          <w:bottom w:val="single" w:color="DC2626"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6.7  </w:t>
      </w:r>
      <w:r>
        <w:rPr>
          <w:rFonts w:ascii="Arial" w:cs="Arial" w:eastAsia="Arial" w:hAnsi="Arial"/>
          <w:b/>
          <w:bCs/>
          <w:color w:val="0B1F4B"/>
          <w:sz w:val="28"/>
          <w:szCs w:val="28"/>
        </w:rPr>
        <w:t xml:space="preserve">Duplicate Profile Detection</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Multi-Signal Deduplication Engine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Prevent candidates from creating multiple accounts to circumvent bans, reset assessment scores, or manipulate platform rankings.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Duplicate Profile Detection identifies when the same individual has created more than one candidate account on the EcoSkiller platform — whether to circumvent a previous ban, to retake assessments with a fresh score history, or to manipulate leaderboard rankings. The system uses a multi-signal deduplication engine that operates beyond simple email-address matching.</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Simple duplicate detection based on email address is easily defeated by registering with a new email. EcoSkiller's deduplication engine uses a composite identity fingerprint built from multiple signals: device fingerprint (browser, OS, screen resolution, GPU, audio context, canvas fingerprint), IP address clustering, phone number hashing (cross-checked against all registered accounts), biometric similarity to previously verified identity checks, resume content similarity (detected through NLP), and behavioural typing pattern similarity (from keylogging during assessments).</w:t>
      </w:r>
    </w:p>
    <w:p>
      <w:pPr>
        <w:spacing w:before="0" w:after="140"/>
      </w:pPr>
      <w:r>
        <w:rPr>
          <w:rFonts w:ascii="Arial" w:cs="Arial" w:eastAsia="Arial" w:hAnsi="Arial"/>
          <w:color w:val="374151"/>
          <w:sz w:val="21"/>
          <w:szCs w:val="21"/>
        </w:rPr>
        <w:t xml:space="preserve">These signals are combined in a probabilistic model that produces a Duplicate Likelihood Score (0–100) for any pair of accounts. Accounts with a score above 85 are automatically merged into a review queue. Accounts above 95 are flagged for immediate review and the newer account is soft-suspended pending admin decision. The system is designed to avoid false merges — pairs of siblings or roommates sharing a device would generate some signal overlap but would not reach the merge threshold when all signals are considered together.</w:t>
      </w:r>
    </w:p>
    <w:p>
      <w:pPr>
        <w:spacing w:before="0" w:after="140"/>
      </w:pPr>
      <w:r>
        <w:rPr>
          <w:rFonts w:ascii="Arial" w:cs="Arial" w:eastAsia="Arial" w:hAnsi="Arial"/>
          <w:color w:val="374151"/>
          <w:sz w:val="21"/>
          <w:szCs w:val="21"/>
        </w:rPr>
        <w:t xml:space="preserve">When a previously banned account's former user attempts to re-register, the ban evasion detection module cross-checks the new registration against the banned profile's fingerprint database. A high-confidence match triggers an automatic provisional suspension of the new account and an admin alert. All duplicate detection decisions are reversible through an appeal process where candidates can contest a merge or suspension.</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Detection Signals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Device fingerprint, IP cluster, phone hash, biometric similarity, resume NLP, keystroke pattern</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Likelihood Score</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0–100; auto-review: &gt;85; auto-suspend: &gt;95</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Ban Evasion Check</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New registrations cross-checked against banned profile fingerprint database</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False Positive Guard</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Probabilistic model requires multiple signal convergence — not single-signal triggers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Appeal Process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Candidates can contest duplicate detection through a structured review process</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Admin Dashboard</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Admin sees all flagged pairs with confidence breakdown per signal</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Merge Action</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Verified duplicates can be merged (activity consolidated) or the newer account removed</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candidate whose account was suspended for assessment cheating re-registers with a new email. The device fingerprint and phone number hash match the suspended account — a provisional suspension is applied immediately.</w:t>
      </w:r>
    </w:p>
    <w:p>
      <w:pPr>
        <w:pStyle w:val="ListParagraph"/>
        <w:numPr>
          <w:ilvl w:val="0"/>
          <w:numId w:val="2"/>
        </w:numPr>
        <w:spacing w:before="40" w:after="40"/>
      </w:pPr>
      <w:r>
        <w:rPr>
          <w:rFonts w:ascii="Arial" w:cs="Arial" w:eastAsia="Arial" w:hAnsi="Arial"/>
          <w:color w:val="374151"/>
          <w:sz w:val="21"/>
          <w:szCs w:val="21"/>
        </w:rPr>
        <w:t xml:space="preserve">Two siblings in the same household register from the same device. The device fingerprint matches but phone numbers, biometrics, and resume content do not — the system correctly scores them as unlikely duplicates.</w:t>
      </w:r>
    </w:p>
    <w:p>
      <w:pPr>
        <w:pStyle w:val="ListParagraph"/>
        <w:numPr>
          <w:ilvl w:val="0"/>
          <w:numId w:val="2"/>
        </w:numPr>
        <w:spacing w:before="40" w:after="40"/>
      </w:pPr>
      <w:r>
        <w:rPr>
          <w:rFonts w:ascii="Arial" w:cs="Arial" w:eastAsia="Arial" w:hAnsi="Arial"/>
          <w:color w:val="374151"/>
          <w:sz w:val="21"/>
          <w:szCs w:val="21"/>
        </w:rPr>
        <w:t xml:space="preserve">A recruiter notices that two highly similar candidate profiles appeared in the same job pipeline. The admin dashboard shows an 89% duplicate likelihood between the profiles — both are queued for review.</w:t>
      </w:r>
    </w:p>
    <w:p>
      <w:pPr>
        <w:spacing w:before="80" w:after="0"/>
      </w:pPr>
      <w:r>
        <w:t xml:space="preserve"/>
      </w:r>
    </w:p>
    <w:p>
      <w:pPr>
        <w:pBdr>
          <w:bottom w:val="single" w:color="DC2626"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6.8  </w:t>
      </w:r>
      <w:r>
        <w:rPr>
          <w:rFonts w:ascii="Arial" w:cs="Arial" w:eastAsia="Arial" w:hAnsi="Arial"/>
          <w:b/>
          <w:bCs/>
          <w:color w:val="0B1F4B"/>
          <w:sz w:val="28"/>
          <w:szCs w:val="28"/>
        </w:rPr>
        <w:t xml:space="preserve">Fake Account Detection</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Behavioural Profiling + Velocity Analysis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Identify bot-created, bulk-registered, or synthetic candidate accounts with no genuine human intent.</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Fake Account Detection protects the EcoSkiller platform from synthetic accounts created by bots, scrapers, competitors conducting platform intelligence operations, or individuals inflating platform engagement metrics. These accounts dilute the quality of the candidate pool and can skew ranking and analytics systems.</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Fake accounts — particularly bot-created ones — exhibit characteristic behavioural signatures that distinguish them from genuine human-created profiles. EcoSkiller's Fake Account Detection system runs a continuous analysis of new account behaviour using a Behavioural Authenticity Model trained on historical platform data. The primary signals are: Registration Velocity Anomalies (multiple accounts registered from the same IP or subnet within a short window, indicative of bulk registration bots), Profile Completion Patterns (genuine users typically complete profiles over multiple sessions; bot-created profiles often exhibit instant, perfectly structured completion or deliberate incompletion designed to pass basic filters), Interaction Pattern Analysis (genuine candidates exhibit organic, irregular platform interaction patterns; bots produce highly regular, clockwork interaction signatures), and Content Authenticity (profiles with generic, templated, or plagiarised bio and experience descriptions inconsistent with a genuine individual).</w:t>
      </w:r>
    </w:p>
    <w:p>
      <w:pPr>
        <w:spacing w:before="0" w:after="140"/>
      </w:pPr>
      <w:r>
        <w:rPr>
          <w:rFonts w:ascii="Arial" w:cs="Arial" w:eastAsia="Arial" w:hAnsi="Arial"/>
          <w:color w:val="374151"/>
          <w:sz w:val="21"/>
          <w:szCs w:val="21"/>
        </w:rPr>
        <w:t xml:space="preserve">The system assigns an Account Authenticity Score (0–100) to every account, continuously updated based on ongoing platform behaviour. Accounts scoring below 30 are automatically soft-suspended and placed in a manual review queue. Accounts below 20 are auto-suspended with a challenge-response mechanism — the account receives a re-verification task (ID verification, liveness check, or a brief human-detection challenge) and is restored only upon successful completion.</w:t>
      </w:r>
    </w:p>
    <w:p>
      <w:pPr>
        <w:spacing w:before="0" w:after="140"/>
      </w:pPr>
      <w:r>
        <w:rPr>
          <w:rFonts w:ascii="Arial" w:cs="Arial" w:eastAsia="Arial" w:hAnsi="Arial"/>
          <w:color w:val="374151"/>
          <w:sz w:val="21"/>
          <w:szCs w:val="21"/>
        </w:rPr>
        <w:t xml:space="preserve">Platform engagement metrics (leaderboard rankings, challenge participation counts, course enrollment figures) exclude fake-flagged accounts from computation, ensuring that platform analytics accurately reflect genuine candidate activity.</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Detection Signals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Registration velocity, profile completion pattern, interaction regularity, content authenticity</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Authenticity Score</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0–100; soft-suspend: &lt;30; auto-suspend with challenge: &lt;20</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Velocity Analysis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Detects bulk registration from same IP, subnet, or device cluster</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Content Check</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NLP analysis of bio, experience, and project descriptions for templated/synthetic content</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Re-verification Task</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Suspended accounts must complete ID + liveness check to restore access</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Metric Exclusion</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Fake-flagged accounts excluded from leaderboards, rankings, and analytics</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Continuous Monitoring</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Score updated on every platform interaction — not a one-time check</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competitor registers 50 accounts in 3 minutes from the same IP block to scrape EcoSkiller candidate data. The velocity detection immediately flags and suspends all 50 accounts.</w:t>
      </w:r>
    </w:p>
    <w:p>
      <w:pPr>
        <w:pStyle w:val="ListParagraph"/>
        <w:numPr>
          <w:ilvl w:val="0"/>
          <w:numId w:val="2"/>
        </w:numPr>
        <w:spacing w:before="40" w:after="40"/>
      </w:pPr>
      <w:r>
        <w:rPr>
          <w:rFonts w:ascii="Arial" w:cs="Arial" w:eastAsia="Arial" w:hAnsi="Arial"/>
          <w:color w:val="374151"/>
          <w:sz w:val="21"/>
          <w:szCs w:val="21"/>
        </w:rPr>
        <w:t xml:space="preserve">A platform analytics report shows inflated challenge participation numbers. Investigation reveals 120 fake accounts were participating — their exclusion from metrics restores accurate data.</w:t>
      </w:r>
    </w:p>
    <w:p>
      <w:pPr>
        <w:pStyle w:val="ListParagraph"/>
        <w:numPr>
          <w:ilvl w:val="0"/>
          <w:numId w:val="2"/>
        </w:numPr>
        <w:spacing w:before="40" w:after="40"/>
      </w:pPr>
      <w:r>
        <w:rPr>
          <w:rFonts w:ascii="Arial" w:cs="Arial" w:eastAsia="Arial" w:hAnsi="Arial"/>
          <w:color w:val="374151"/>
          <w:sz w:val="21"/>
          <w:szCs w:val="21"/>
        </w:rPr>
        <w:t xml:space="preserve">An account is created with a perfectly structured profile (all fields completed in under 2 minutes at registration) — the unnatural completion speed contributes to a low Authenticity Score and triggers a re-verification task.</w:t>
      </w:r>
    </w:p>
    <w:p>
      <w:pPr>
        <w:spacing w:before="80" w:after="0"/>
      </w:pPr>
      <w:r>
        <w:t xml:space="preserve"/>
      </w:r>
    </w:p>
    <w:p>
      <w:pPr>
        <w:pBdr>
          <w:bottom w:val="single" w:color="DC2626"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6.9  </w:t>
      </w:r>
      <w:r>
        <w:rPr>
          <w:rFonts w:ascii="Arial" w:cs="Arial" w:eastAsia="Arial" w:hAnsi="Arial"/>
          <w:b/>
          <w:bCs/>
          <w:color w:val="0B1F4B"/>
          <w:sz w:val="28"/>
          <w:szCs w:val="28"/>
        </w:rPr>
        <w:t xml:space="preserve">Suspicious Behaviour Monitoring</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Continuous Anomaly Detection + Risk Scoring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Monitor for patterns of behaviour on the platform that indicate manipulation, gaming, or malicious intent.</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Suspicious Behaviour Monitoring is a continuous, platform-wide anomaly detection system that identifies patterns of behaviour inconsistent with genuine candidate activity. It operates beyond individual fraud events to detect sustained patterns — such as assessment score manipulation, referral system gaming, or systematic exploitation of platform mechanics — that might not trigger any single specific fraud alert.</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monitoring system tracks a behavioural risk profile for every account on the platform, updated in near-real-time as new activity occurs. This profile aggregates signals across all platform interactions: assessment submission patterns, challenge attempt frequencies, platform navigation behaviour, referral activity, social interaction patterns, and content contribution history. The risk profile is scored using an ensemble anomaly detection model that identifies deviations from the established behavioural baseline for each account.</w:t>
      </w:r>
    </w:p>
    <w:p>
      <w:pPr>
        <w:spacing w:before="0" w:after="140"/>
      </w:pPr>
      <w:r>
        <w:rPr>
          <w:rFonts w:ascii="Arial" w:cs="Arial" w:eastAsia="Arial" w:hAnsi="Arial"/>
          <w:color w:val="374151"/>
          <w:sz w:val="21"/>
          <w:szCs w:val="21"/>
        </w:rPr>
        <w:t xml:space="preserve">Specific behavioural patterns that trigger elevated risk flags include: Assessment Score Manipulation Patterns — a candidate who consistently scores just above passing thresholds across multiple assessments, suggesting answer-farming or targeted solution sharing; Referral Farming — a candidate who generates an unusually high number of referral sign-ups that all exhibit low engagement, suggesting artificial referral-reward gaming; Systematic Platform Gaming — a candidate who appears to exploit specific scoring mechanics (e.g., completing the minimum actions required to earn badges or score points without genuine engagement); and Unusual Network Clustering — a group of accounts that consistently interact, endorse, or refer each other in patterns inconsistent with organic social behaviour.</w:t>
      </w:r>
    </w:p>
    <w:p>
      <w:pPr>
        <w:spacing w:before="0" w:after="140"/>
      </w:pPr>
      <w:r>
        <w:rPr>
          <w:rFonts w:ascii="Arial" w:cs="Arial" w:eastAsia="Arial" w:hAnsi="Arial"/>
          <w:color w:val="374151"/>
          <w:sz w:val="21"/>
          <w:szCs w:val="21"/>
        </w:rPr>
        <w:t xml:space="preserve">The system generates a Platform Risk Score (0–100) per account, visible to platform admins. Recruiters are not shown raw risk scores to prevent unwarranted bias, but they are informed when a candidate's profile has been reviewed by the integrity team. High-risk accounts can be shadow-restricted — their platform actions are accepted and confirmed to them, but their profile is demoted in recruiter search results until the behaviour is reviewed and cleared.</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Risk Profile</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Continuous per-account risk scoring updated on every interaction</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Monitored Patterns</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Score manipulation, referral farming, platform gaming, network clustering</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Shadow Restriction</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High-risk accounts demoted in recruiter results without notifying the account holder</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Admin Visibility</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Full risk profile and event log visible to platform admins only</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Recruiter Notification</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Recruiters informed of integrity-team-reviewed profiles — no raw score exposure</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Review Escalation</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Accounts above risk threshold escalated to human integrity team for review</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Appeal Mechanism</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Candidates can formally appeal a shadow restriction through the review process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candidate's assessment history shows scores of exactly 70–72% across 8 different assessments — the score manipulation pattern triggers a risk flag for integrity team review.</w:t>
      </w:r>
    </w:p>
    <w:p>
      <w:pPr>
        <w:pStyle w:val="ListParagraph"/>
        <w:numPr>
          <w:ilvl w:val="0"/>
          <w:numId w:val="2"/>
        </w:numPr>
        <w:spacing w:before="40" w:after="40"/>
      </w:pPr>
      <w:r>
        <w:rPr>
          <w:rFonts w:ascii="Arial" w:cs="Arial" w:eastAsia="Arial" w:hAnsi="Arial"/>
          <w:color w:val="374151"/>
          <w:sz w:val="21"/>
          <w:szCs w:val="21"/>
        </w:rPr>
        <w:t xml:space="preserve">A group of 15 accounts consistently endorse each other's skills and refer each other within hours of joining — the network clustering anomaly is flagged as probable mutual manipulation.</w:t>
      </w:r>
    </w:p>
    <w:p>
      <w:pPr>
        <w:pStyle w:val="ListParagraph"/>
        <w:numPr>
          <w:ilvl w:val="0"/>
          <w:numId w:val="2"/>
        </w:numPr>
        <w:spacing w:before="40" w:after="40"/>
      </w:pPr>
      <w:r>
        <w:rPr>
          <w:rFonts w:ascii="Arial" w:cs="Arial" w:eastAsia="Arial" w:hAnsi="Arial"/>
          <w:color w:val="374151"/>
          <w:sz w:val="21"/>
          <w:szCs w:val="21"/>
        </w:rPr>
        <w:t xml:space="preserve">A candidate is shadow-restricted after risk pattern detection — they continue to use the platform normally but their profile does not appear in recruiter searches until the integrity team clears the review.</w:t>
      </w:r>
    </w:p>
    <w:p>
      <w:pPr>
        <w:spacing w:before="80" w:after="0"/>
      </w:pPr>
      <w:r>
        <w:t xml:space="preserve"/>
      </w:r>
    </w:p>
    <w:p>
      <w:pPr>
        <w:pBdr>
          <w:bottom w:val="single" w:color="DC2626"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6.10  </w:t>
      </w:r>
      <w:r>
        <w:rPr>
          <w:rFonts w:ascii="Arial" w:cs="Arial" w:eastAsia="Arial" w:hAnsi="Arial"/>
          <w:b/>
          <w:bCs/>
          <w:color w:val="0B1F4B"/>
          <w:sz w:val="28"/>
          <w:szCs w:val="28"/>
        </w:rPr>
        <w:t xml:space="preserve">Remote Exam Proctoring</w:t>
      </w:r>
    </w:p>
    <w:p>
      <w:pPr>
        <w:spacing w:before="0" w:after="60"/>
      </w:pPr>
      <w:r>
        <w:rPr>
          <w:rFonts w:ascii="Arial" w:cs="Arial" w:eastAsia="Arial" w:hAnsi="Arial"/>
          <w:b/>
          <w:bCs/>
          <w:color w:val="DC2626"/>
          <w:sz w:val="21"/>
          <w:szCs w:val="21"/>
        </w:rPr>
        <w:t xml:space="preserve">Detection Method:  </w:t>
      </w:r>
      <w:r>
        <w:rPr>
          <w:rFonts w:ascii="Arial" w:cs="Arial" w:eastAsia="Arial" w:hAnsi="Arial"/>
          <w:color w:val="374151"/>
          <w:sz w:val="21"/>
          <w:szCs w:val="21"/>
        </w:rPr>
        <w:t xml:space="preserve">AI Proctoring + Human Review Escalation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8"/>
              <w:bottom w:val="single" w:color="FECACA" w:sz="1"/>
              <w:right w:val="single" w:color="FECACA" w:sz="1"/>
            </w:tcBorders>
            <w:shd w:fill="FEE2E2" w:val="clear"/>
            <w:tcMar>
              <w:top w:type="dxa" w:w="120"/>
              <w:left w:type="dxa" w:w="200"/>
              <w:bottom w:type="dxa" w:w="120"/>
              <w:right w:type="dxa" w:w="160"/>
            </w:tcMar>
          </w:tcPr>
          <w:p>
            <w:r>
              <w:rPr>
                <w:rFonts w:ascii="Arial" w:cs="Arial" w:eastAsia="Arial" w:hAnsi="Arial"/>
                <w:b/>
                <w:bCs/>
                <w:color w:val="991B1B"/>
                <w:sz w:val="20"/>
                <w:szCs w:val="20"/>
              </w:rPr>
              <w:t xml:space="preserve">Purpose:  </w:t>
            </w:r>
            <w:r>
              <w:rPr>
                <w:rFonts w:ascii="Arial" w:cs="Arial" w:eastAsia="Arial" w:hAnsi="Arial"/>
                <w:color w:val="374151"/>
                <w:sz w:val="20"/>
                <w:szCs w:val="20"/>
              </w:rPr>
              <w:t xml:space="preserve">Maintain assessment integrity for high-stakes remote examinations and certification tests.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Remote Exam Proctoring provides a full AI-powered proctoring layer for high-stakes assessments — campus placement exams, certification tests, and premium-tier coding competitions — where the integrity of results must meet the highest standards. It combines automated AI monitoring with human review escalation for confirmed or borderline violation events.</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proctoring system activates a secure browser environment when a candidate enters a proctored exam session. In this environment, new tab access is blocked, screen capture is disabled, clipboard access is restricted, keyboard shortcut access to other applications is blocked, and the system enters a persistent full-screen mode. Exit attempts trigger an immediate warning; repeated exit attempts result in automatic session flag.</w:t>
      </w:r>
    </w:p>
    <w:p>
      <w:pPr>
        <w:spacing w:before="0" w:after="140"/>
      </w:pPr>
      <w:r>
        <w:rPr>
          <w:rFonts w:ascii="Arial" w:cs="Arial" w:eastAsia="Arial" w:hAnsi="Arial"/>
          <w:color w:val="374151"/>
          <w:sz w:val="21"/>
          <w:szCs w:val="21"/>
        </w:rPr>
        <w:t xml:space="preserve">Active monitoring during the proctored session includes continuous webcam monitoring (identity verification, eye-gaze direction tracking, presence detection), screen recording (the candidate's screen is recorded throughout and stored for post-session review for flagged sessions only — not retained for unflagged sessions), audio environment detection (unusual background conversation or voice patterns consistent with receiving verbal assistance are flagged), and secondary device detection (using network traffic analysis and audio signature detection to identify if the candidate is using a phone or tablet simultaneously).</w:t>
      </w:r>
    </w:p>
    <w:p>
      <w:pPr>
        <w:spacing w:before="0" w:after="140"/>
      </w:pPr>
      <w:r>
        <w:rPr>
          <w:rFonts w:ascii="Arial" w:cs="Arial" w:eastAsia="Arial" w:hAnsi="Arial"/>
          <w:color w:val="374151"/>
          <w:sz w:val="21"/>
          <w:szCs w:val="21"/>
        </w:rPr>
        <w:t xml:space="preserve">All proctoring events are classified in real time by the AI monitoring model into severity tiers: Low (minor anomaly, noted in log), Medium (potential violation, session continues with alert), High (probable violation, proctor alert sent), and Critical (confirmed violation pattern, session flagged for immediate human review). The human review queue is staffed by EcoSkiller's integrity team, who review flagged sessions within 2 hours for premium-tier assessments and within 24 hours for standard-tier assessments.</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Secure Browser</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Tab blocking, clipboard restriction, screen-capture disable, forced full-screen</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Webcam Monitoring</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Identity verification, eye-gaze tracking, multi-person detection</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Audio Detection</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Background conversation and verbal-assistance pattern detection</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Secondary Device</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Network traffic + audio signature detection for simultaneous device use</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Severity Tiers</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Low / Medium / High / Critical — real-time event classification</w:t>
            </w:r>
          </w:p>
        </w:tc>
      </w:tr>
      <w:tr>
        <w:tc>
          <w:tcPr>
            <w:tcW w:type="dxa" w:w="28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Screen Recording</w:t>
            </w:r>
          </w:p>
        </w:tc>
        <w:tc>
          <w:tcPr>
            <w:tcW w:type="dxa" w:w="656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Captured only for flagged sessions; non-flagged sessions not recorded</w:t>
            </w:r>
          </w:p>
        </w:tc>
      </w:tr>
      <w:tr>
        <w:tc>
          <w:tcPr>
            <w:tcW w:type="dxa" w:w="28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Human Review SLA</w:t>
            </w:r>
          </w:p>
        </w:tc>
        <w:tc>
          <w:tcPr>
            <w:tcW w:type="dxa" w:w="656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Premium: 2-hour review; Standard: 24-hour review for flagged sessions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candidate in a proctored placement exam attempts to open a new tab 3 times. After the third attempt, the session is automatically flagged as High severity and an alert is sent to the proctoring queue.</w:t>
      </w:r>
    </w:p>
    <w:p>
      <w:pPr>
        <w:pStyle w:val="ListParagraph"/>
        <w:numPr>
          <w:ilvl w:val="0"/>
          <w:numId w:val="2"/>
        </w:numPr>
        <w:spacing w:before="40" w:after="40"/>
      </w:pPr>
      <w:r>
        <w:rPr>
          <w:rFonts w:ascii="Arial" w:cs="Arial" w:eastAsia="Arial" w:hAnsi="Arial"/>
          <w:color w:val="374151"/>
          <w:sz w:val="21"/>
          <w:szCs w:val="21"/>
        </w:rPr>
        <w:t xml:space="preserve">Eye-gaze tracking detects that a candidate is consistently looking off-screen to the right throughout an exam — consistent with a secondary screen. The audio analysis also picks up keyboard sounds in the background. A Critical flag is raised.</w:t>
      </w:r>
    </w:p>
    <w:p>
      <w:pPr>
        <w:pStyle w:val="ListParagraph"/>
        <w:numPr>
          <w:ilvl w:val="0"/>
          <w:numId w:val="2"/>
        </w:numPr>
        <w:spacing w:before="40" w:after="40"/>
      </w:pPr>
      <w:r>
        <w:rPr>
          <w:rFonts w:ascii="Arial" w:cs="Arial" w:eastAsia="Arial" w:hAnsi="Arial"/>
          <w:color w:val="374151"/>
          <w:sz w:val="21"/>
          <w:szCs w:val="21"/>
        </w:rPr>
        <w:t xml:space="preserve">Post-session review of a flagged screen recording reveals that a candidate briefly opened an AI chat tool before being forced back to full-screen. The integrity team confirms the violation and the result is nullified.</w:t>
      </w:r>
    </w:p>
    <w:p>
      <w:r>
        <w:br w:type="page"/>
      </w:r>
    </w:p>
    <w:p>
      <w:pPr>
        <w:pStyle w:val="Heading1"/>
        <w:spacing w:before="360" w:after="120"/>
      </w:pPr>
      <w:r>
        <w:rPr>
          <w:rFonts w:ascii="Arial" w:cs="Arial" w:eastAsia="Arial" w:hAnsi="Arial"/>
          <w:b/>
          <w:bCs/>
          <w:color w:val="0B1F4B"/>
          <w:sz w:val="30"/>
          <w:szCs w:val="30"/>
        </w:rPr>
        <w:t xml:space="preserve">DEFENCE-IN-DEPTH OVERVIEW</w:t>
      </w:r>
    </w:p>
    <w:p>
      <w:pPr>
        <w:spacing w:before="0" w:after="140"/>
      </w:pPr>
      <w:r>
        <w:rPr>
          <w:rFonts w:ascii="Arial" w:cs="Arial" w:eastAsia="Arial" w:hAnsi="Arial"/>
          <w:color w:val="374151"/>
          <w:sz w:val="21"/>
          <w:szCs w:val="21"/>
        </w:rPr>
        <w:t xml:space="preserve">The 10 features of this module are designed as overlapping, complementary layers — not independent controls. The following table summarises how they interlock to address fraud at every stage of the candidate lifecycle.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Fraud Category</w:t>
            </w:r>
          </w:p>
        </w:tc>
        <w:tc>
          <w:tcPr>
            <w:tcW w:type="dxa" w:w="348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Primary Defence Feature</w:t>
            </w:r>
          </w:p>
        </w:tc>
        <w:tc>
          <w:tcPr>
            <w:tcW w:type="dxa" w:w="3480"/>
            <w:tcBorders>
              <w:top w:val="single" w:color="FECACA" w:sz="1"/>
              <w:left w:val="single" w:color="FECACA" w:sz="1"/>
              <w:bottom w:val="single" w:color="FECACA" w:sz="1"/>
              <w:right w:val="single" w:color="FECACA"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Secondary Defence Feature</w:t>
            </w:r>
          </w:p>
        </w:tc>
      </w:tr>
      <w:tr>
        <w:tc>
          <w:tcPr>
            <w:tcW w:type="dxa" w:w="24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Resume Fabrication</w:t>
            </w:r>
          </w:p>
        </w:tc>
        <w:tc>
          <w:tcPr>
            <w:tcW w:type="dxa" w:w="348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6.1 Resume Fraud Detection</w:t>
            </w:r>
          </w:p>
        </w:tc>
        <w:tc>
          <w:tcPr>
            <w:tcW w:type="dxa" w:w="348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6.3 Certification Verification</w:t>
            </w:r>
          </w:p>
        </w:tc>
      </w:tr>
      <w:tr>
        <w:tc>
          <w:tcPr>
            <w:tcW w:type="dxa" w:w="24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Identity Fraud</w:t>
            </w:r>
          </w:p>
        </w:tc>
        <w:tc>
          <w:tcPr>
            <w:tcW w:type="dxa" w:w="348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6.2 Identity Verification</w:t>
            </w:r>
          </w:p>
        </w:tc>
        <w:tc>
          <w:tcPr>
            <w:tcW w:type="dxa" w:w="348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6.7 Duplicate Profile Detection</w:t>
            </w:r>
          </w:p>
        </w:tc>
      </w:tr>
      <w:tr>
        <w:tc>
          <w:tcPr>
            <w:tcW w:type="dxa" w:w="24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Assessment Cheating</w:t>
            </w:r>
          </w:p>
        </w:tc>
        <w:tc>
          <w:tcPr>
            <w:tcW w:type="dxa" w:w="348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6.6 Assessment Cheating Detection</w:t>
            </w:r>
          </w:p>
        </w:tc>
        <w:tc>
          <w:tcPr>
            <w:tcW w:type="dxa" w:w="348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6.10 Remote Exam Proctoring</w:t>
            </w:r>
          </w:p>
        </w:tc>
      </w:tr>
      <w:tr>
        <w:tc>
          <w:tcPr>
            <w:tcW w:type="dxa" w:w="24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Code/Project Copying</w:t>
            </w:r>
          </w:p>
        </w:tc>
        <w:tc>
          <w:tcPr>
            <w:tcW w:type="dxa" w:w="348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6.5 Code Plagiarism Detection</w:t>
            </w:r>
          </w:p>
        </w:tc>
        <w:tc>
          <w:tcPr>
            <w:tcW w:type="dxa" w:w="348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6.4 Project Plagiarism Detection</w:t>
            </w:r>
          </w:p>
        </w:tc>
      </w:tr>
      <w:tr>
        <w:tc>
          <w:tcPr>
            <w:tcW w:type="dxa" w:w="240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bCs/>
                <w:color w:val="991B1B"/>
                <w:sz w:val="20"/>
                <w:szCs w:val="20"/>
              </w:rPr>
              <w:t xml:space="preserve">Fake Accounts</w:t>
            </w:r>
          </w:p>
        </w:tc>
        <w:tc>
          <w:tcPr>
            <w:tcW w:type="dxa" w:w="348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6.8 Fake Account Detection</w:t>
            </w:r>
          </w:p>
        </w:tc>
        <w:tc>
          <w:tcPr>
            <w:tcW w:type="dxa" w:w="3480"/>
            <w:tcBorders>
              <w:top w:val="single" w:color="FECACA" w:sz="1"/>
              <w:left w:val="single" w:color="FECACA" w:sz="1"/>
              <w:bottom w:val="single" w:color="FECACA" w:sz="1"/>
              <w:right w:val="single" w:color="FECACA" w:sz="1"/>
            </w:tcBorders>
            <w:shd w:fill="FEE2E2"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6.7 Duplicate Profile Detection</w:t>
            </w:r>
          </w:p>
        </w:tc>
      </w:tr>
      <w:tr>
        <w:tc>
          <w:tcPr>
            <w:tcW w:type="dxa" w:w="240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bCs/>
                <w:color w:val="991B1B"/>
                <w:sz w:val="20"/>
                <w:szCs w:val="20"/>
              </w:rPr>
              <w:t xml:space="preserve">Systemic Manipulation</w:t>
            </w:r>
          </w:p>
        </w:tc>
        <w:tc>
          <w:tcPr>
            <w:tcW w:type="dxa" w:w="348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6.9 Suspicious Behaviour Monitoring</w:t>
            </w:r>
          </w:p>
        </w:tc>
        <w:tc>
          <w:tcPr>
            <w:tcW w:type="dxa" w:w="3480"/>
            <w:tcBorders>
              <w:top w:val="single" w:color="FECACA" w:sz="1"/>
              <w:left w:val="single" w:color="FECACA" w:sz="1"/>
              <w:bottom w:val="single" w:color="FECACA" w:sz="1"/>
              <w:right w:val="single" w:color="FECACA" w:sz="1"/>
            </w:tcBorders>
            <w:shd w:fill="FFF5F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6.8 Fake Account Detection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FECACA" w:sz="1"/>
              <w:right w:val="single" w:color="FECACA"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Platform Principle:  </w:t>
            </w:r>
            <w:r>
              <w:rPr>
                <w:rFonts w:ascii="Arial" w:cs="Arial" w:eastAsia="Arial" w:hAnsi="Arial"/>
                <w:color w:val="374151"/>
                <w:sz w:val="20"/>
                <w:szCs w:val="20"/>
              </w:rPr>
              <w:t xml:space="preserve">Fraud prevention at EcoSkiller is non-punitive by default. The system's first response to any detected anomaly is to flag for review — not to penalise. This design prevents innocent candidates from being harmed by false positives while maintaining a high deterrent effect against genuine fraud attempts.</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2626" w:sz="4" w:space="1"/>
      </w:pBdr>
      <w:tabs>
        <w:tab w:val="right" w:pos="9026"/>
      </w:tabs>
      <w:spacing w:before="120" w:after="0"/>
    </w:pPr>
    <w:r>
      <w:rPr>
        <w:rFonts w:ascii="Arial" w:cs="Arial" w:eastAsia="Arial" w:hAnsi="Arial"/>
        <w:color w:val="6B7280"/>
        <w:sz w:val="18"/>
        <w:szCs w:val="18"/>
      </w:rPr>
      <w:t xml:space="preserve">Confidential — EcoSkiller Internal Document  |  March 2026</w:t>
    </w:r>
    <w:r>
      <w:rPr>
        <w:rFonts w:ascii="Arial" w:cs="Arial" w:eastAsia="Arial" w:hAnsi="Arial"/>
        <w:color w:val="6B7280"/>
        <w:sz w:val="18"/>
        <w:szCs w:val="18"/>
      </w:rPr>
      <w:t xml:space="preserve">	Page </w:t>
    </w:r>
    <w:r>
      <w:rPr>
        <w:rFonts w:ascii="Arial" w:cs="Arial" w:eastAsia="Arial" w:hAnsi="Arial"/>
        <w:b/>
        <w:bCs/>
        <w:color w:val="DC262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2626" w:sz="4" w:space="1"/>
      </w:pBdr>
      <w:spacing w:before="0" w:after="120"/>
    </w:pPr>
    <w:r>
      <w:rPr>
        <w:rFonts w:ascii="Arial" w:cs="Arial" w:eastAsia="Arial" w:hAnsi="Arial"/>
        <w:color w:val="6B7280"/>
        <w:sz w:val="18"/>
        <w:szCs w:val="18"/>
      </w:rPr>
      <w:t xml:space="preserve">EcoSkiller  |  Anti-Fraud &amp; Integrity Layer</w:t>
    </w:r>
    <w:r>
      <w:rPr>
        <w:rFonts w:ascii="Arial" w:cs="Arial" w:eastAsia="Arial" w:hAnsi="Arial"/>
        <w:b/>
        <w:bCs/>
        <w:color w:val="DC2626"/>
        <w:sz w:val="18"/>
        <w:szCs w:val="18"/>
      </w:rPr>
      <w:t xml:space="preserve">   |   Module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B1F4B"/>
      <w:sz w:val="30"/>
      <w:szCs w:val="30"/>
    </w:rPr>
  </w:style>
  <w:style w:type="paragraph" w:styleId="Heading2">
    <w:name w:val="Heading 2"/>
    <w:basedOn w:val="Normal"/>
    <w:next w:val="Normal"/>
    <w:qFormat/>
    <w:pPr>
      <w:spacing w:before="220" w:after="80"/>
      <w:outlineLvl w:val="1"/>
    </w:pPr>
    <w:rPr>
      <w:rFonts w:ascii="Arial" w:cs="Arial" w:eastAsia="Arial" w:hAnsi="Arial"/>
      <w:b/>
      <w:bCs/>
      <w:color w:val="0B1F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2026-03-09T13:13:52.748Z</dcterms:created>
  <dcterms:modified xsi:type="dcterms:W3CDTF">2026-03-09T13:13:52.749Z</dcterms:modified>
</cp:coreProperties>
</file>

<file path=docProps/custom.xml><?xml version="1.0" encoding="utf-8"?>
<Properties xmlns="http://schemas.openxmlformats.org/officeDocument/2006/custom-properties" xmlns:vt="http://schemas.openxmlformats.org/officeDocument/2006/docPropsVTypes"/>
</file>