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jc w:val="center"/>
      </w:pPr>
      <w:r>
        <w:rPr>
          <w:rFonts w:ascii="Arial" w:cs="Arial" w:eastAsia="Arial" w:hAnsi="Arial"/>
          <w:b/>
          <w:bCs/>
          <w:color w:val="0B1F4B"/>
          <w:sz w:val="64"/>
          <w:szCs w:val="64"/>
        </w:rPr>
        <w:t xml:space="preserve">ECOSKILLER</w:t>
      </w:r>
    </w:p>
    <w:p>
      <w:pPr>
        <w:spacing w:before="80" w:after="0"/>
        <w:jc w:val="center"/>
      </w:pPr>
      <w:r>
        <w:rPr>
          <w:rFonts w:ascii="Arial" w:cs="Arial" w:eastAsia="Arial" w:hAnsi="Arial"/>
          <w:color w:val="1A56DB"/>
          <w:sz w:val="28"/>
          <w:szCs w:val="28"/>
        </w:rPr>
        <w:t xml:space="preserve">Talent Operations Platform</w:t>
      </w:r>
    </w:p>
    <w:p>
      <w:pPr>
        <w:spacing w:before="560" w:after="0"/>
        <w:jc w:val="center"/>
      </w:pPr>
      <w:r>
        <w:rPr>
          <w:rFonts w:ascii="Arial" w:cs="Arial" w:eastAsia="Arial" w:hAnsi="Arial"/>
          <w:b/>
          <w:bCs/>
          <w:color w:val="0B1F4B"/>
          <w:sz w:val="52"/>
          <w:szCs w:val="52"/>
        </w:rPr>
        <w:t xml:space="preserve">CAMPUS HIRING</w:t>
      </w:r>
    </w:p>
    <w:p>
      <w:pPr>
        <w:spacing w:before="80" w:after="0"/>
        <w:jc w:val="center"/>
      </w:pPr>
      <w:r>
        <w:rPr>
          <w:rFonts w:ascii="Arial" w:cs="Arial" w:eastAsia="Arial" w:hAnsi="Arial"/>
          <w:b/>
          <w:bCs/>
          <w:color w:val="059669"/>
          <w:sz w:val="52"/>
          <w:szCs w:val="52"/>
        </w:rPr>
        <w:t xml:space="preserve">PROGRAMS</w:t>
      </w:r>
    </w:p>
    <w:p>
      <w:pPr>
        <w:spacing w:before="100" w:after="800"/>
        <w:jc w:val="center"/>
      </w:pPr>
      <w:r>
        <w:rPr>
          <w:rFonts w:ascii="Arial" w:cs="Arial" w:eastAsia="Arial" w:hAnsi="Arial"/>
          <w:i/>
          <w:iCs/>
          <w:color w:val="6B7280"/>
          <w:sz w:val="24"/>
          <w:szCs w:val="24"/>
        </w:rPr>
        <w:t xml:space="preserve">Complete Feature Specification Document</w:t>
      </w:r>
    </w:p>
    <w:p>
      <w:pPr>
        <w:spacing w:before="0" w:after="60"/>
        <w:jc w:val="center"/>
      </w:pPr>
      <w:r>
        <w:rPr>
          <w:rFonts w:ascii="Arial" w:cs="Arial" w:eastAsia="Arial" w:hAnsi="Arial"/>
          <w:color w:val="6B7280"/>
          <w:sz w:val="20"/>
          <w:szCs w:val="20"/>
        </w:rPr>
        <w:t xml:space="preserve">Module 7  |  10 Features  |  Version 1.0  |  March 2026</w:t>
      </w:r>
    </w:p>
    <w:p>
      <w:pPr>
        <w:spacing w:before="0" w:after="0"/>
        <w:jc w:val="center"/>
      </w:pPr>
      <w:r>
        <w:rPr>
          <w:rFonts w:ascii="Arial" w:cs="Arial" w:eastAsia="Arial" w:hAnsi="Arial"/>
          <w:b/>
          <w:bCs/>
          <w:color w:val="DC2626"/>
          <w:sz w:val="20"/>
          <w:szCs w:val="20"/>
        </w:rPr>
        <w:t xml:space="preserve">Confidential — EcoSkiller Internal Documentation</w:t>
      </w:r>
    </w:p>
    <w:p>
      <w:r>
        <w:br w:type="page"/>
      </w:r>
    </w:p>
    <w:p>
      <w:pPr>
        <w:pStyle w:val="Heading1"/>
        <w:spacing w:before="360" w:after="120"/>
      </w:pPr>
      <w:r>
        <w:rPr>
          <w:rFonts w:ascii="Arial" w:cs="Arial" w:eastAsia="Arial" w:hAnsi="Arial"/>
          <w:b/>
          <w:bCs/>
          <w:color w:val="0B1F4B"/>
          <w:sz w:val="30"/>
          <w:szCs w:val="30"/>
        </w:rPr>
        <w:t xml:space="preserve">MODULE OVERVIEW</w:t>
      </w:r>
    </w:p>
    <w:p>
      <w:pPr>
        <w:spacing w:before="0" w:after="140"/>
      </w:pPr>
      <w:r>
        <w:rPr>
          <w:rFonts w:ascii="Arial" w:cs="Arial" w:eastAsia="Arial" w:hAnsi="Arial"/>
          <w:color w:val="374151"/>
          <w:sz w:val="21"/>
          <w:szCs w:val="21"/>
        </w:rPr>
        <w:t xml:space="preserve">The Campus Hiring Programs module is EcoSkiller's dedicated infrastructure for institutional talent acquisition — the structured, relationship-driven process of recruiting directly from universities, engineering colleges, management institutions, and other academic settings. Campus hiring is fundamentally different from experienced-hire recruitment: it requires coordinating with institutional stakeholders, managing large cohorts simultaneously, and evaluating candidates at the beginning of their careers based on potential rather than existing accomplishment.</w:t>
      </w:r>
    </w:p>
    <w:p>
      <w:pPr>
        <w:spacing w:before="0" w:after="140"/>
      </w:pPr>
      <w:r>
        <w:rPr>
          <w:rFonts w:ascii="Arial" w:cs="Arial" w:eastAsia="Arial" w:hAnsi="Arial"/>
          <w:color w:val="374151"/>
          <w:sz w:val="21"/>
          <w:szCs w:val="21"/>
        </w:rPr>
        <w:t xml:space="preserve">This module addresses every dimension of campus hiring at scale — from establishing the institutional relationships that create a recurring talent pipeline, to running the logistical machinery of a 50-college placement drive, to building the long-term analytics capability that enables evidence-based institution investment decisions. The 10 features in this module are designed to work together as a complete campus recruitment operating system.</w:t>
      </w:r>
    </w:p>
    <w:p>
      <w:pPr>
        <w:spacing w:before="0" w:after="140"/>
      </w:pPr>
      <w:r>
        <w:rPr>
          <w:rFonts w:ascii="Arial" w:cs="Arial" w:eastAsia="Arial" w:hAnsi="Arial"/>
          <w:color w:val="374151"/>
          <w:sz w:val="21"/>
          <w:szCs w:val="21"/>
        </w:rPr>
        <w:t xml:space="preserve">EcoSkiller's campus hiring infrastructure is built around three core convictions: that universities are strategic partners, not just candidate sources; that the best campus hiring experiences benefit both the company and the students; and that data accumulated over multiple hiring cycles is the most valuable asset in any campus recruitment programme.</w:t>
      </w:r>
    </w:p>
    <w:p>
      <w:pPr>
        <w:spacing w:before="80" w:after="0"/>
      </w:pPr>
      <w:r>
        <w:t xml:space="preserve"/>
      </w:r>
    </w:p>
    <w:p>
      <w:pPr>
        <w:pBdr>
          <w:bottom w:val="single" w:color="059669" w:sz="3" w:space="1"/>
        </w:pBdr>
        <w:spacing w:before="80" w:after="80"/>
      </w:pPr>
      <w:r>
        <w:t xml:space="preserve"/>
      </w:r>
    </w:p>
    <w:p>
      <w:pPr>
        <w:pStyle w:val="Heading1"/>
        <w:spacing w:before="360" w:after="120"/>
      </w:pPr>
      <w:r>
        <w:rPr>
          <w:rFonts w:ascii="Arial" w:cs="Arial" w:eastAsia="Arial" w:hAnsi="Arial"/>
          <w:b/>
          <w:bCs/>
          <w:color w:val="0B1F4B"/>
          <w:sz w:val="30"/>
          <w:szCs w:val="30"/>
        </w:rPr>
        <w:t xml:space="preserve">FEATURE INDEX — ALL 10 FEATURES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900"/>
        <w:gridCol w:w="2200"/>
        <w:gridCol w:w="3540"/>
      </w:tblGrid>
      <w:tr>
        <w:trPr>
          <w:tblHeader/>
        </w:trPr>
        <w:tc>
          <w:tcPr>
            <w:tcW w:type="dxa" w:w="720"/>
            <w:tcBorders>
              <w:top w:val="single" w:color="A7F3D0" w:sz="1"/>
              <w:left w:val="single" w:color="A7F3D0" w:sz="1"/>
              <w:bottom w:val="single" w:color="A7F3D0" w:sz="1"/>
              <w:right w:val="single" w:color="A7F3D0"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w:t>
            </w:r>
          </w:p>
        </w:tc>
        <w:tc>
          <w:tcPr>
            <w:tcW w:type="dxa" w:w="2900"/>
            <w:tcBorders>
              <w:top w:val="single" w:color="A7F3D0" w:sz="1"/>
              <w:left w:val="single" w:color="A7F3D0" w:sz="1"/>
              <w:bottom w:val="single" w:color="A7F3D0" w:sz="1"/>
              <w:right w:val="single" w:color="A7F3D0"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Feature</w:t>
            </w:r>
          </w:p>
        </w:tc>
        <w:tc>
          <w:tcPr>
            <w:tcW w:type="dxa" w:w="2200"/>
            <w:tcBorders>
              <w:top w:val="single" w:color="A7F3D0" w:sz="1"/>
              <w:left w:val="single" w:color="A7F3D0" w:sz="1"/>
              <w:bottom w:val="single" w:color="A7F3D0" w:sz="1"/>
              <w:right w:val="single" w:color="A7F3D0"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Mechanism</w:t>
            </w:r>
          </w:p>
        </w:tc>
        <w:tc>
          <w:tcPr>
            <w:tcW w:type="dxa" w:w="3540"/>
            <w:tcBorders>
              <w:top w:val="single" w:color="A7F3D0" w:sz="1"/>
              <w:left w:val="single" w:color="A7F3D0" w:sz="1"/>
              <w:bottom w:val="single" w:color="A7F3D0" w:sz="1"/>
              <w:right w:val="single" w:color="A7F3D0"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Purpose</w:t>
            </w:r>
          </w:p>
        </w:tc>
      </w:tr>
      <w:tr>
        <w:tc>
          <w:tcPr>
            <w:tcW w:type="dxa" w:w="72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59669"/>
                <w:sz w:val="20"/>
                <w:szCs w:val="20"/>
              </w:rPr>
              <w:t xml:space="preserve">7.1</w:t>
            </w:r>
          </w:p>
        </w:tc>
        <w:tc>
          <w:tcPr>
            <w:tcW w:type="dxa" w:w="29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B1F4B"/>
                <w:sz w:val="20"/>
                <w:szCs w:val="20"/>
              </w:rPr>
              <w:t xml:space="preserve">Campus Hiring Campaign Creation</w:t>
            </w:r>
          </w:p>
        </w:tc>
        <w:tc>
          <w:tcPr>
            <w:tcW w:type="dxa" w:w="22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Structured Campaign Builder with Multi-College Targeting</w:t>
            </w:r>
          </w:p>
        </w:tc>
        <w:tc>
          <w:tcPr>
            <w:tcW w:type="dxa" w:w="354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Design, launch, and manage end-to-end campus hiring drives from a single command centre.</w:t>
            </w:r>
          </w:p>
        </w:tc>
      </w:tr>
      <w:tr>
        <w:tc>
          <w:tcPr>
            <w:tcW w:type="dxa" w:w="72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bCs/>
                <w:color w:val="059669"/>
                <w:sz w:val="20"/>
                <w:szCs w:val="20"/>
              </w:rPr>
              <w:t xml:space="preserve">7.2</w:t>
            </w:r>
          </w:p>
        </w:tc>
        <w:tc>
          <w:tcPr>
            <w:tcW w:type="dxa" w:w="290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bCs/>
                <w:color w:val="0B1F4B"/>
                <w:sz w:val="20"/>
                <w:szCs w:val="20"/>
              </w:rPr>
              <w:t xml:space="preserve">University Partnerships</w:t>
            </w:r>
          </w:p>
        </w:tc>
        <w:tc>
          <w:tcPr>
            <w:tcW w:type="dxa" w:w="220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Institutional MoU Framework + University Admin Portal</w:t>
            </w:r>
          </w:p>
        </w:tc>
        <w:tc>
          <w:tcPr>
            <w:tcW w:type="dxa" w:w="354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Establish formal, long-term hiring relationships with universities that streamline annual recruitment.</w:t>
            </w:r>
          </w:p>
        </w:tc>
      </w:tr>
      <w:tr>
        <w:tc>
          <w:tcPr>
            <w:tcW w:type="dxa" w:w="72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59669"/>
                <w:sz w:val="20"/>
                <w:szCs w:val="20"/>
              </w:rPr>
              <w:t xml:space="preserve">7.3</w:t>
            </w:r>
          </w:p>
        </w:tc>
        <w:tc>
          <w:tcPr>
            <w:tcW w:type="dxa" w:w="29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B1F4B"/>
                <w:sz w:val="20"/>
                <w:szCs w:val="20"/>
              </w:rPr>
              <w:t xml:space="preserve">College-Specific Hiring Drives</w:t>
            </w:r>
          </w:p>
        </w:tc>
        <w:tc>
          <w:tcPr>
            <w:tcW w:type="dxa" w:w="22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Institution-Scoped Campaign Configuration</w:t>
            </w:r>
          </w:p>
        </w:tc>
        <w:tc>
          <w:tcPr>
            <w:tcW w:type="dxa" w:w="354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Run targeted, customised hiring events tailored to the specific context of a single institution.</w:t>
            </w:r>
          </w:p>
        </w:tc>
      </w:tr>
      <w:tr>
        <w:tc>
          <w:tcPr>
            <w:tcW w:type="dxa" w:w="72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bCs/>
                <w:color w:val="059669"/>
                <w:sz w:val="20"/>
                <w:szCs w:val="20"/>
              </w:rPr>
              <w:t xml:space="preserve">7.4</w:t>
            </w:r>
          </w:p>
        </w:tc>
        <w:tc>
          <w:tcPr>
            <w:tcW w:type="dxa" w:w="290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bCs/>
                <w:color w:val="0B1F4B"/>
                <w:sz w:val="20"/>
                <w:szCs w:val="20"/>
              </w:rPr>
              <w:t xml:space="preserve">Graduate Trainee Programs</w:t>
            </w:r>
          </w:p>
        </w:tc>
        <w:tc>
          <w:tcPr>
            <w:tcW w:type="dxa" w:w="220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Structured Cohort Hiring + Multi-Stage Training Pipeline</w:t>
            </w:r>
          </w:p>
        </w:tc>
        <w:tc>
          <w:tcPr>
            <w:tcW w:type="dxa" w:w="354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Identify and hire cohorts of fresh graduates into structured onboarding and training programmes.</w:t>
            </w:r>
          </w:p>
        </w:tc>
      </w:tr>
      <w:tr>
        <w:tc>
          <w:tcPr>
            <w:tcW w:type="dxa" w:w="72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59669"/>
                <w:sz w:val="20"/>
                <w:szCs w:val="20"/>
              </w:rPr>
              <w:t xml:space="preserve">7.5</w:t>
            </w:r>
          </w:p>
        </w:tc>
        <w:tc>
          <w:tcPr>
            <w:tcW w:type="dxa" w:w="29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B1F4B"/>
                <w:sz w:val="20"/>
                <w:szCs w:val="20"/>
              </w:rPr>
              <w:t xml:space="preserve">Internship Recruitment Programs</w:t>
            </w:r>
          </w:p>
        </w:tc>
        <w:tc>
          <w:tcPr>
            <w:tcW w:type="dxa" w:w="22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Summer &amp; Winter Internship Campaign with Conversion Tracking</w:t>
            </w:r>
          </w:p>
        </w:tc>
        <w:tc>
          <w:tcPr>
            <w:tcW w:type="dxa" w:w="354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Source, assess, and select interns at scale, with structured tracking of intern-to-full-time conversion.</w:t>
            </w:r>
          </w:p>
        </w:tc>
      </w:tr>
      <w:tr>
        <w:tc>
          <w:tcPr>
            <w:tcW w:type="dxa" w:w="72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bCs/>
                <w:color w:val="059669"/>
                <w:sz w:val="20"/>
                <w:szCs w:val="20"/>
              </w:rPr>
              <w:t xml:space="preserve">7.6</w:t>
            </w:r>
          </w:p>
        </w:tc>
        <w:tc>
          <w:tcPr>
            <w:tcW w:type="dxa" w:w="290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bCs/>
                <w:color w:val="0B1F4B"/>
                <w:sz w:val="20"/>
                <w:szCs w:val="20"/>
              </w:rPr>
              <w:t xml:space="preserve">Hackathon-Based Hiring</w:t>
            </w:r>
          </w:p>
        </w:tc>
        <w:tc>
          <w:tcPr>
            <w:tcW w:type="dxa" w:w="220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Competition-Integrated Hiring Pipeline</w:t>
            </w:r>
          </w:p>
        </w:tc>
        <w:tc>
          <w:tcPr>
            <w:tcW w:type="dxa" w:w="354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Use hackathons as the primary hiring filter to identify problem-solvers and builders under real-world conditions.</w:t>
            </w:r>
          </w:p>
        </w:tc>
      </w:tr>
      <w:tr>
        <w:tc>
          <w:tcPr>
            <w:tcW w:type="dxa" w:w="72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59669"/>
                <w:sz w:val="20"/>
                <w:szCs w:val="20"/>
              </w:rPr>
              <w:t xml:space="preserve">7.7</w:t>
            </w:r>
          </w:p>
        </w:tc>
        <w:tc>
          <w:tcPr>
            <w:tcW w:type="dxa" w:w="29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B1F4B"/>
                <w:sz w:val="20"/>
                <w:szCs w:val="20"/>
              </w:rPr>
              <w:t xml:space="preserve">Coding Challenge Recruitment</w:t>
            </w:r>
          </w:p>
        </w:tc>
        <w:tc>
          <w:tcPr>
            <w:tcW w:type="dxa" w:w="22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Skill-Specific Challenge Funnels with Auto-Shortlisting</w:t>
            </w:r>
          </w:p>
        </w:tc>
        <w:tc>
          <w:tcPr>
            <w:tcW w:type="dxa" w:w="354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Use targeted coding challenges as the primary technical screening layer for engineering roles.</w:t>
            </w:r>
          </w:p>
        </w:tc>
      </w:tr>
      <w:tr>
        <w:tc>
          <w:tcPr>
            <w:tcW w:type="dxa" w:w="72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bCs/>
                <w:color w:val="059669"/>
                <w:sz w:val="20"/>
                <w:szCs w:val="20"/>
              </w:rPr>
              <w:t xml:space="preserve">7.8</w:t>
            </w:r>
          </w:p>
        </w:tc>
        <w:tc>
          <w:tcPr>
            <w:tcW w:type="dxa" w:w="290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bCs/>
                <w:color w:val="0B1F4B"/>
                <w:sz w:val="20"/>
                <w:szCs w:val="20"/>
              </w:rPr>
              <w:t xml:space="preserve">Pre-Placement Offers (PPO)</w:t>
            </w:r>
          </w:p>
        </w:tc>
        <w:tc>
          <w:tcPr>
            <w:tcW w:type="dxa" w:w="220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Intern Performance → Offer Decision Workflow</w:t>
            </w:r>
          </w:p>
        </w:tc>
        <w:tc>
          <w:tcPr>
            <w:tcW w:type="dxa" w:w="354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Convert high-performing interns into confirmed full-time employees before they enter the open job market.</w:t>
            </w:r>
          </w:p>
        </w:tc>
      </w:tr>
      <w:tr>
        <w:tc>
          <w:tcPr>
            <w:tcW w:type="dxa" w:w="72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59669"/>
                <w:sz w:val="20"/>
                <w:szCs w:val="20"/>
              </w:rPr>
              <w:t xml:space="preserve">7.9</w:t>
            </w:r>
          </w:p>
        </w:tc>
        <w:tc>
          <w:tcPr>
            <w:tcW w:type="dxa" w:w="29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B1F4B"/>
                <w:sz w:val="20"/>
                <w:szCs w:val="20"/>
              </w:rPr>
              <w:t xml:space="preserve">Campus Event Scheduling</w:t>
            </w:r>
          </w:p>
        </w:tc>
        <w:tc>
          <w:tcPr>
            <w:tcW w:type="dxa" w:w="22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Integrated Calendar + Multi-Stakeholder Coordination Engine</w:t>
            </w:r>
          </w:p>
        </w:tc>
        <w:tc>
          <w:tcPr>
            <w:tcW w:type="dxa" w:w="354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Coordinate all campus event logistics — across companies, institutions, and students — from a single scheduling interface.</w:t>
            </w:r>
          </w:p>
        </w:tc>
      </w:tr>
      <w:tr>
        <w:tc>
          <w:tcPr>
            <w:tcW w:type="dxa" w:w="72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bCs/>
                <w:color w:val="059669"/>
                <w:sz w:val="20"/>
                <w:szCs w:val="20"/>
              </w:rPr>
              <w:t xml:space="preserve">7.10</w:t>
            </w:r>
          </w:p>
        </w:tc>
        <w:tc>
          <w:tcPr>
            <w:tcW w:type="dxa" w:w="290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bCs/>
                <w:color w:val="0B1F4B"/>
                <w:sz w:val="20"/>
                <w:szCs w:val="20"/>
              </w:rPr>
              <w:t xml:space="preserve">University Talent Analytics</w:t>
            </w:r>
          </w:p>
        </w:tc>
        <w:tc>
          <w:tcPr>
            <w:tcW w:type="dxa" w:w="220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Institution-Level Performance Intelligence Dashboard</w:t>
            </w:r>
          </w:p>
        </w:tc>
        <w:tc>
          <w:tcPr>
            <w:tcW w:type="dxa" w:w="354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Generate data-driven insights about the quality, trends, and ROI of talent from each university partner.</w:t>
            </w:r>
          </w:p>
        </w:tc>
      </w:tr>
    </w:tbl>
    <w:p>
      <w:r>
        <w:br w:type="page"/>
      </w:r>
    </w:p>
    <w:p>
      <w:pPr>
        <w:spacing w:before="120" w:after="80"/>
      </w:pPr>
      <w:r>
        <w:rPr>
          <w:rFonts w:ascii="Arial" w:cs="Arial" w:eastAsia="Arial" w:hAnsi="Arial"/>
          <w:b/>
          <w:bCs/>
          <w:color w:val="6B7280"/>
          <w:sz w:val="28"/>
          <w:szCs w:val="28"/>
        </w:rPr>
        <w:t xml:space="preserve">Feature 7.1  </w:t>
      </w:r>
      <w:r>
        <w:rPr>
          <w:rFonts w:ascii="Arial" w:cs="Arial" w:eastAsia="Arial" w:hAnsi="Arial"/>
          <w:b/>
          <w:bCs/>
          <w:color w:val="0B1F4B"/>
          <w:sz w:val="28"/>
          <w:szCs w:val="28"/>
        </w:rPr>
        <w:t xml:space="preserve">Campus Hiring Campaign Creation</w:t>
      </w:r>
    </w:p>
    <w:p>
      <w:pPr>
        <w:spacing w:before="0" w:after="60"/>
      </w:pPr>
      <w:r>
        <w:rPr>
          <w:rFonts w:ascii="Arial" w:cs="Arial" w:eastAsia="Arial" w:hAnsi="Arial"/>
          <w:b/>
          <w:bCs/>
          <w:color w:val="059669"/>
          <w:sz w:val="21"/>
          <w:szCs w:val="21"/>
        </w:rPr>
        <w:t xml:space="preserve">Mechanism:  </w:t>
      </w:r>
      <w:r>
        <w:rPr>
          <w:rFonts w:ascii="Arial" w:cs="Arial" w:eastAsia="Arial" w:hAnsi="Arial"/>
          <w:color w:val="374151"/>
          <w:sz w:val="21"/>
          <w:szCs w:val="21"/>
        </w:rPr>
        <w:t xml:space="preserve">Structured Campaign Builder with Multi-College Targeting</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4"/>
              <w:left w:val="single" w:color="065F46" w:sz="8"/>
              <w:bottom w:val="single" w:color="A7F3D0" w:sz="1"/>
              <w:right w:val="single" w:color="A7F3D0" w:sz="1"/>
            </w:tcBorders>
            <w:shd w:fill="D1FAE5" w:val="clear"/>
            <w:tcMar>
              <w:top w:type="dxa" w:w="120"/>
              <w:left w:type="dxa" w:w="200"/>
              <w:bottom w:type="dxa" w:w="120"/>
              <w:right w:type="dxa" w:w="160"/>
            </w:tcMar>
          </w:tcPr>
          <w:p>
            <w:r>
              <w:rPr>
                <w:rFonts w:ascii="Arial" w:cs="Arial" w:eastAsia="Arial" w:hAnsi="Arial"/>
                <w:b/>
                <w:bCs/>
                <w:color w:val="065F46"/>
                <w:sz w:val="20"/>
                <w:szCs w:val="20"/>
              </w:rPr>
              <w:t xml:space="preserve">Purpose:  </w:t>
            </w:r>
            <w:r>
              <w:rPr>
                <w:rFonts w:ascii="Arial" w:cs="Arial" w:eastAsia="Arial" w:hAnsi="Arial"/>
                <w:color w:val="374151"/>
                <w:sz w:val="20"/>
                <w:szCs w:val="20"/>
              </w:rPr>
              <w:t xml:space="preserve">Design, launch, and manage end-to-end campus hiring drives from a single command centre.</w:t>
            </w:r>
          </w:p>
        </w:tc>
      </w:tr>
    </w:tbl>
    <w:p>
      <w:pPr>
        <w:spacing w:before="120" w:after="0"/>
      </w:pPr>
      <w:r>
        <w:t xml:space="preserve"/>
      </w:r>
    </w:p>
    <w:p>
      <w:pPr>
        <w:pStyle w:val="Heading2"/>
        <w:spacing w:before="220" w:after="80"/>
      </w:pPr>
      <w:r>
        <w:rPr>
          <w:rFonts w:ascii="Arial" w:cs="Arial" w:eastAsia="Arial" w:hAnsi="Arial"/>
          <w:b/>
          <w:bCs/>
          <w:color w:val="0B1F4B"/>
          <w:sz w:val="24"/>
          <w:szCs w:val="24"/>
        </w:rPr>
        <w:t xml:space="preserve">Overview</w:t>
      </w:r>
    </w:p>
    <w:p>
      <w:pPr>
        <w:spacing w:before="0" w:after="140"/>
      </w:pPr>
      <w:r>
        <w:rPr>
          <w:rFonts w:ascii="Arial" w:cs="Arial" w:eastAsia="Arial" w:hAnsi="Arial"/>
          <w:color w:val="374151"/>
          <w:sz w:val="21"/>
          <w:szCs w:val="21"/>
        </w:rPr>
        <w:t xml:space="preserve">Campus Hiring Campaign Creation is the master control feature that allows recruiters to architect an entire campus hiring drive as a structured, time-bound campaign. Rather than managing each college visit, assessment slot, and job posting independently, this feature consolidates all campaign elements into a unified workflow that can be configured once and executed across dozens of institutions simultaneously.</w:t>
      </w:r>
    </w:p>
    <w:p>
      <w:pPr>
        <w:pStyle w:val="Heading2"/>
        <w:spacing w:before="220" w:after="80"/>
      </w:pPr>
      <w:r>
        <w:rPr>
          <w:rFonts w:ascii="Arial" w:cs="Arial" w:eastAsia="Arial" w:hAnsi="Arial"/>
          <w:b/>
          <w:bCs/>
          <w:color w:val="0B1F4B"/>
          <w:sz w:val="24"/>
          <w:szCs w:val="24"/>
        </w:rPr>
        <w:t xml:space="preserve">Detailed Description</w:t>
      </w:r>
    </w:p>
    <w:p>
      <w:pPr>
        <w:spacing w:before="0" w:after="140"/>
      </w:pPr>
      <w:r>
        <w:rPr>
          <w:rFonts w:ascii="Arial" w:cs="Arial" w:eastAsia="Arial" w:hAnsi="Arial"/>
          <w:color w:val="374151"/>
          <w:sz w:val="21"/>
          <w:szCs w:val="21"/>
        </w:rPr>
        <w:t xml:space="preserve">A campus hiring campaign is a container that holds all associated elements: target universities, job roles being offered, eligibility criteria, assessment pipeline stages, event calendar, offer timeline, and communication templates. The campaign builder walks the recruiter through each of these elements in a structured 7-step setup wizard. Once a campaign is configured, it can be cloned for future hiring cycles — saving the entire configuration and requiring only date and cohort updates for the next year's drive.</w:t>
      </w:r>
    </w:p>
    <w:p>
      <w:pPr>
        <w:spacing w:before="0" w:after="140"/>
      </w:pPr>
      <w:r>
        <w:rPr>
          <w:rFonts w:ascii="Arial" w:cs="Arial" w:eastAsia="Arial" w:hAnsi="Arial"/>
          <w:color w:val="374151"/>
          <w:sz w:val="21"/>
          <w:szCs w:val="21"/>
        </w:rPr>
        <w:t xml:space="preserve">Campaign targeting is multi-dimensional. Recruiters can target by institution type (IITs, NITs, Tier-2 engineering colleges, management institutions, liberal arts colleges), by geography (all colleges in Maharashtra, or all colleges within 200 km of the company's Bengaluru office), by department and specialisation (only Computer Science, Information Technology, and Electronics and Communication students), by CGPA threshold (minimum 7.0 or 8.5 depending on role), and by graduation year (2025 passouts only, or 2025 + 2026 final-year students).</w:t>
      </w:r>
    </w:p>
    <w:p>
      <w:pPr>
        <w:spacing w:before="0" w:after="140"/>
      </w:pPr>
      <w:r>
        <w:rPr>
          <w:rFonts w:ascii="Arial" w:cs="Arial" w:eastAsia="Arial" w:hAnsi="Arial"/>
          <w:color w:val="374151"/>
          <w:sz w:val="21"/>
          <w:szCs w:val="21"/>
        </w:rPr>
        <w:t xml:space="preserve">The campaign dashboard provides a real-time overview of all active campaigns, with progress indicators showing applications received, assessments completed, students shortlisted, offers extended, and offers accepted — across all participating institutions simultaneously. A campaign health score (0–100) is computed daily based on engagement rate, application velocity, and conversion rates at each funnel stage, alerting the recruiter if a campaign is underperforming against the set targets.</w:t>
      </w:r>
    </w:p>
    <w:p>
      <w:pPr>
        <w:pStyle w:val="Heading2"/>
        <w:spacing w:before="220" w:after="80"/>
      </w:pPr>
      <w:r>
        <w:rPr>
          <w:rFonts w:ascii="Arial" w:cs="Arial" w:eastAsia="Arial" w:hAnsi="Arial"/>
          <w:b/>
          <w:bCs/>
          <w:color w:val="0B1F4B"/>
          <w:sz w:val="24"/>
          <w:szCs w:val="24"/>
        </w:rPr>
        <w:t xml:space="preserve">Feature Attributes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7F3D0" w:sz="1"/>
              <w:left w:val="single" w:color="A7F3D0" w:sz="1"/>
              <w:bottom w:val="single" w:color="A7F3D0" w:sz="1"/>
              <w:right w:val="single" w:color="A7F3D0"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Attribute</w:t>
            </w:r>
          </w:p>
        </w:tc>
        <w:tc>
          <w:tcPr>
            <w:tcW w:type="dxa" w:w="6560"/>
            <w:tcBorders>
              <w:top w:val="single" w:color="A7F3D0" w:sz="1"/>
              <w:left w:val="single" w:color="A7F3D0" w:sz="1"/>
              <w:bottom w:val="single" w:color="A7F3D0" w:sz="1"/>
              <w:right w:val="single" w:color="A7F3D0"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Specification &amp; Behaviour</w:t>
            </w:r>
          </w:p>
        </w:tc>
      </w:tr>
      <w:tr>
        <w:tc>
          <w:tcPr>
            <w:tcW w:type="dxa" w:w="28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65F46"/>
                <w:sz w:val="20"/>
                <w:szCs w:val="20"/>
              </w:rPr>
              <w:t xml:space="preserve">Campaign Elements</w:t>
            </w:r>
          </w:p>
        </w:tc>
        <w:tc>
          <w:tcPr>
            <w:tcW w:type="dxa" w:w="656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Universities, roles, eligibility, assessment stages, calendar, offer timeline, templates</w:t>
            </w:r>
          </w:p>
        </w:tc>
      </w:tr>
      <w:tr>
        <w:tc>
          <w:tcPr>
            <w:tcW w:type="dxa" w:w="280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bCs/>
                <w:color w:val="065F46"/>
                <w:sz w:val="20"/>
                <w:szCs w:val="20"/>
              </w:rPr>
              <w:t xml:space="preserve">Targeting Dimensions</w:t>
            </w:r>
          </w:p>
        </w:tc>
        <w:tc>
          <w:tcPr>
            <w:tcW w:type="dxa" w:w="656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Institution type, geography, department, CGPA, graduation year</w:t>
            </w:r>
          </w:p>
        </w:tc>
      </w:tr>
      <w:tr>
        <w:tc>
          <w:tcPr>
            <w:tcW w:type="dxa" w:w="28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65F46"/>
                <w:sz w:val="20"/>
                <w:szCs w:val="20"/>
              </w:rPr>
              <w:t xml:space="preserve">Setup Wizard</w:t>
            </w:r>
          </w:p>
        </w:tc>
        <w:tc>
          <w:tcPr>
            <w:tcW w:type="dxa" w:w="656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7-step guided campaign builder with validation at each step</w:t>
            </w:r>
          </w:p>
        </w:tc>
      </w:tr>
      <w:tr>
        <w:tc>
          <w:tcPr>
            <w:tcW w:type="dxa" w:w="280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bCs/>
                <w:color w:val="065F46"/>
                <w:sz w:val="20"/>
                <w:szCs w:val="20"/>
              </w:rPr>
              <w:t xml:space="preserve">Campaign Cloning</w:t>
            </w:r>
          </w:p>
        </w:tc>
        <w:tc>
          <w:tcPr>
            <w:tcW w:type="dxa" w:w="656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Full configuration reusable for future cycles with date updates only</w:t>
            </w:r>
          </w:p>
        </w:tc>
      </w:tr>
      <w:tr>
        <w:tc>
          <w:tcPr>
            <w:tcW w:type="dxa" w:w="28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65F46"/>
                <w:sz w:val="20"/>
                <w:szCs w:val="20"/>
              </w:rPr>
              <w:t xml:space="preserve">Dashboard KPIs</w:t>
            </w:r>
          </w:p>
        </w:tc>
        <w:tc>
          <w:tcPr>
            <w:tcW w:type="dxa" w:w="656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Applications, assessments, shortlists, offers, acceptances — per institution and aggregate</w:t>
            </w:r>
          </w:p>
        </w:tc>
      </w:tr>
      <w:tr>
        <w:tc>
          <w:tcPr>
            <w:tcW w:type="dxa" w:w="280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bCs/>
                <w:color w:val="065F46"/>
                <w:sz w:val="20"/>
                <w:szCs w:val="20"/>
              </w:rPr>
              <w:t xml:space="preserve">Health Score</w:t>
            </w:r>
          </w:p>
        </w:tc>
        <w:tc>
          <w:tcPr>
            <w:tcW w:type="dxa" w:w="656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0–100 daily campaign performance score with underperformance alerts</w:t>
            </w:r>
          </w:p>
        </w:tc>
      </w:tr>
      <w:tr>
        <w:tc>
          <w:tcPr>
            <w:tcW w:type="dxa" w:w="28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65F46"/>
                <w:sz w:val="20"/>
                <w:szCs w:val="20"/>
              </w:rPr>
              <w:t xml:space="preserve">Multi-Role Support</w:t>
            </w:r>
          </w:p>
        </w:tc>
        <w:tc>
          <w:tcPr>
            <w:tcW w:type="dxa" w:w="656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Single campaign can cover multiple job roles with different eligibility criteria</w:t>
            </w:r>
          </w:p>
        </w:tc>
      </w:tr>
    </w:tbl>
    <w:p>
      <w:pPr>
        <w:spacing w:before="160" w:after="0"/>
      </w:pPr>
      <w:r>
        <w:t xml:space="preserve"/>
      </w:r>
    </w:p>
    <w:p>
      <w:pPr>
        <w:pStyle w:val="Heading2"/>
        <w:spacing w:before="220" w:after="80"/>
      </w:pPr>
      <w:r>
        <w:rPr>
          <w:rFonts w:ascii="Arial" w:cs="Arial" w:eastAsia="Arial" w:hAnsi="Arial"/>
          <w:b/>
          <w:bCs/>
          <w:color w:val="0B1F4B"/>
          <w:sz w:val="24"/>
          <w:szCs w:val="24"/>
        </w:rPr>
        <w:t xml:space="preserve">Use Case Examples</w:t>
      </w:r>
    </w:p>
    <w:p>
      <w:pPr>
        <w:pStyle w:val="ListParagraph"/>
        <w:numPr>
          <w:ilvl w:val="0"/>
          <w:numId w:val="2"/>
        </w:numPr>
        <w:spacing w:before="40" w:after="40"/>
      </w:pPr>
      <w:r>
        <w:rPr>
          <w:rFonts w:ascii="Arial" w:cs="Arial" w:eastAsia="Arial" w:hAnsi="Arial"/>
          <w:color w:val="374151"/>
          <w:sz w:val="21"/>
          <w:szCs w:val="21"/>
        </w:rPr>
        <w:t xml:space="preserve">A large IT company launches its annual campus drive targeting 45 engineering colleges across South India — configuring the entire campaign in 2 hours and then managing all 45 colleges from one dashboard.</w:t>
      </w:r>
    </w:p>
    <w:p>
      <w:pPr>
        <w:pStyle w:val="ListParagraph"/>
        <w:numPr>
          <w:ilvl w:val="0"/>
          <w:numId w:val="2"/>
        </w:numPr>
        <w:spacing w:before="40" w:after="40"/>
      </w:pPr>
      <w:r>
        <w:rPr>
          <w:rFonts w:ascii="Arial" w:cs="Arial" w:eastAsia="Arial" w:hAnsi="Arial"/>
          <w:color w:val="374151"/>
          <w:sz w:val="21"/>
          <w:szCs w:val="21"/>
        </w:rPr>
        <w:t xml:space="preserve">A fintech startup clones last year's campus campaign, updates the graduation year to 2026, adjusts the salary range, and launches in 20 minutes rather than rebuilding from scratch.</w:t>
      </w:r>
    </w:p>
    <w:p>
      <w:pPr>
        <w:pStyle w:val="ListParagraph"/>
        <w:numPr>
          <w:ilvl w:val="0"/>
          <w:numId w:val="2"/>
        </w:numPr>
        <w:spacing w:before="40" w:after="40"/>
      </w:pPr>
      <w:r>
        <w:rPr>
          <w:rFonts w:ascii="Arial" w:cs="Arial" w:eastAsia="Arial" w:hAnsi="Arial"/>
          <w:color w:val="374151"/>
          <w:sz w:val="21"/>
          <w:szCs w:val="21"/>
        </w:rPr>
        <w:t xml:space="preserve">A recruiter's campaign health score drops to 42 after week 1 — the dashboard highlights a specific college where application velocity is low, prompting the recruiter to schedule an on-campus awareness session.</w:t>
      </w:r>
    </w:p>
    <w:p>
      <w:pPr>
        <w:spacing w:before="80" w:after="0"/>
      </w:pPr>
      <w:r>
        <w:t xml:space="preserve"/>
      </w:r>
    </w:p>
    <w:p>
      <w:pPr>
        <w:pBdr>
          <w:bottom w:val="single" w:color="059669" w:sz="3" w:space="1"/>
        </w:pBdr>
        <w:spacing w:before="80" w:after="80"/>
      </w:pPr>
      <w:r>
        <w:t xml:space="preserve"/>
      </w:r>
    </w:p>
    <w:p>
      <w:pPr>
        <w:spacing w:before="40" w:after="0"/>
      </w:pPr>
      <w:r>
        <w:t xml:space="preserve"/>
      </w:r>
    </w:p>
    <w:p>
      <w:pPr>
        <w:spacing w:before="120" w:after="80"/>
      </w:pPr>
      <w:r>
        <w:rPr>
          <w:rFonts w:ascii="Arial" w:cs="Arial" w:eastAsia="Arial" w:hAnsi="Arial"/>
          <w:b/>
          <w:bCs/>
          <w:color w:val="6B7280"/>
          <w:sz w:val="28"/>
          <w:szCs w:val="28"/>
        </w:rPr>
        <w:t xml:space="preserve">Feature 7.2  </w:t>
      </w:r>
      <w:r>
        <w:rPr>
          <w:rFonts w:ascii="Arial" w:cs="Arial" w:eastAsia="Arial" w:hAnsi="Arial"/>
          <w:b/>
          <w:bCs/>
          <w:color w:val="0B1F4B"/>
          <w:sz w:val="28"/>
          <w:szCs w:val="28"/>
        </w:rPr>
        <w:t xml:space="preserve">University Partnerships</w:t>
      </w:r>
    </w:p>
    <w:p>
      <w:pPr>
        <w:spacing w:before="0" w:after="60"/>
      </w:pPr>
      <w:r>
        <w:rPr>
          <w:rFonts w:ascii="Arial" w:cs="Arial" w:eastAsia="Arial" w:hAnsi="Arial"/>
          <w:b/>
          <w:bCs/>
          <w:color w:val="059669"/>
          <w:sz w:val="21"/>
          <w:szCs w:val="21"/>
        </w:rPr>
        <w:t xml:space="preserve">Mechanism:  </w:t>
      </w:r>
      <w:r>
        <w:rPr>
          <w:rFonts w:ascii="Arial" w:cs="Arial" w:eastAsia="Arial" w:hAnsi="Arial"/>
          <w:color w:val="374151"/>
          <w:sz w:val="21"/>
          <w:szCs w:val="21"/>
        </w:rPr>
        <w:t xml:space="preserve">Institutional MoU Framework + University Admin Portal</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4"/>
              <w:left w:val="single" w:color="065F46" w:sz="8"/>
              <w:bottom w:val="single" w:color="A7F3D0" w:sz="1"/>
              <w:right w:val="single" w:color="A7F3D0" w:sz="1"/>
            </w:tcBorders>
            <w:shd w:fill="D1FAE5" w:val="clear"/>
            <w:tcMar>
              <w:top w:type="dxa" w:w="120"/>
              <w:left w:type="dxa" w:w="200"/>
              <w:bottom w:type="dxa" w:w="120"/>
              <w:right w:type="dxa" w:w="160"/>
            </w:tcMar>
          </w:tcPr>
          <w:p>
            <w:r>
              <w:rPr>
                <w:rFonts w:ascii="Arial" w:cs="Arial" w:eastAsia="Arial" w:hAnsi="Arial"/>
                <w:b/>
                <w:bCs/>
                <w:color w:val="065F46"/>
                <w:sz w:val="20"/>
                <w:szCs w:val="20"/>
              </w:rPr>
              <w:t xml:space="preserve">Purpose:  </w:t>
            </w:r>
            <w:r>
              <w:rPr>
                <w:rFonts w:ascii="Arial" w:cs="Arial" w:eastAsia="Arial" w:hAnsi="Arial"/>
                <w:color w:val="374151"/>
                <w:sz w:val="20"/>
                <w:szCs w:val="20"/>
              </w:rPr>
              <w:t xml:space="preserve">Establish formal, long-term hiring relationships with universities that streamline annual recruitment.</w:t>
            </w:r>
          </w:p>
        </w:tc>
      </w:tr>
    </w:tbl>
    <w:p>
      <w:pPr>
        <w:spacing w:before="120" w:after="0"/>
      </w:pPr>
      <w:r>
        <w:t xml:space="preserve"/>
      </w:r>
    </w:p>
    <w:p>
      <w:pPr>
        <w:pStyle w:val="Heading2"/>
        <w:spacing w:before="220" w:after="80"/>
      </w:pPr>
      <w:r>
        <w:rPr>
          <w:rFonts w:ascii="Arial" w:cs="Arial" w:eastAsia="Arial" w:hAnsi="Arial"/>
          <w:b/>
          <w:bCs/>
          <w:color w:val="0B1F4B"/>
          <w:sz w:val="24"/>
          <w:szCs w:val="24"/>
        </w:rPr>
        <w:t xml:space="preserve">Overview</w:t>
      </w:r>
    </w:p>
    <w:p>
      <w:pPr>
        <w:spacing w:before="0" w:after="140"/>
      </w:pPr>
      <w:r>
        <w:rPr>
          <w:rFonts w:ascii="Arial" w:cs="Arial" w:eastAsia="Arial" w:hAnsi="Arial"/>
          <w:color w:val="374151"/>
          <w:sz w:val="21"/>
          <w:szCs w:val="21"/>
        </w:rPr>
        <w:t xml:space="preserve">University Partnerships is the relationship management infrastructure that enables companies to build formal, recurring hiring relationships with educational institutions. A partnership goes beyond a one-time campus visit — it creates a structured ongoing relationship with dedicated communication channels, data-sharing agreements, and priority access to graduating talent.</w:t>
      </w:r>
    </w:p>
    <w:p>
      <w:pPr>
        <w:pStyle w:val="Heading2"/>
        <w:spacing w:before="220" w:after="80"/>
      </w:pPr>
      <w:r>
        <w:rPr>
          <w:rFonts w:ascii="Arial" w:cs="Arial" w:eastAsia="Arial" w:hAnsi="Arial"/>
          <w:b/>
          <w:bCs/>
          <w:color w:val="0B1F4B"/>
          <w:sz w:val="24"/>
          <w:szCs w:val="24"/>
        </w:rPr>
        <w:t xml:space="preserve">Detailed Description</w:t>
      </w:r>
    </w:p>
    <w:p>
      <w:pPr>
        <w:spacing w:before="0" w:after="140"/>
      </w:pPr>
      <w:r>
        <w:rPr>
          <w:rFonts w:ascii="Arial" w:cs="Arial" w:eastAsia="Arial" w:hAnsi="Arial"/>
          <w:color w:val="374151"/>
          <w:sz w:val="21"/>
          <w:szCs w:val="21"/>
        </w:rPr>
        <w:t xml:space="preserve">The partnership process begins with an EcoSkiller-facilitated outreach to the university's Training and Placement (T&amp;P) cell. Once a university accepts a partnership invitation, the institution is onboarded through the University Admin Portal — a dedicated interface for T&amp;P coordinators to manage their institution's presence on the EcoSkiller platform. T&amp;P coordinators can view all companies that have partnered with their institution, manage student eligibility for each company's hiring drives, upload placement statistics, and communicate with company recruiters directly through the platform.</w:t>
      </w:r>
    </w:p>
    <w:p>
      <w:pPr>
        <w:spacing w:before="0" w:after="140"/>
      </w:pPr>
      <w:r>
        <w:rPr>
          <w:rFonts w:ascii="Arial" w:cs="Arial" w:eastAsia="Arial" w:hAnsi="Arial"/>
          <w:color w:val="374151"/>
          <w:sz w:val="21"/>
          <w:szCs w:val="21"/>
        </w:rPr>
        <w:t xml:space="preserve">Partnership tiers define the depth of the relationship. Tier 1 (Standard Partnership) provides priority notification for campus drives, a dedicated company profile page visible to all students at the institution, and access to the institution's anonymised placement analytics. Tier 2 (Preferred Partnership) adds pre-placement interaction access (companies can host webinars, workshops, and information sessions for students before the formal hiring round), early access to final-year student profiles before they are visible to the general recruiter pool, and co-branded campus events. Tier 3 (Strategic Partnership) adds curriculum advisory input, funded hackathon or competition hosting at the institution, and placement guarantee programme participation.</w:t>
      </w:r>
    </w:p>
    <w:p>
      <w:pPr>
        <w:spacing w:before="0" w:after="140"/>
      </w:pPr>
      <w:r>
        <w:rPr>
          <w:rFonts w:ascii="Arial" w:cs="Arial" w:eastAsia="Arial" w:hAnsi="Arial"/>
          <w:color w:val="374151"/>
          <w:sz w:val="21"/>
          <w:szCs w:val="21"/>
        </w:rPr>
        <w:t xml:space="preserve">The platform maintains a Partnership Health Dashboard that tracks the engagement level of each institutional relationship — measuring metrics such as annual hire volume from the institution, placement rate of the institution's students across all partner companies, response time of the T&amp;P cell to company outreach, and student satisfaction with the hiring experience. This ensures that both companies and institutions can make informed decisions about continuing, upgrading, or ending partnerships.</w:t>
      </w:r>
    </w:p>
    <w:p>
      <w:pPr>
        <w:pStyle w:val="Heading2"/>
        <w:spacing w:before="220" w:after="80"/>
      </w:pPr>
      <w:r>
        <w:rPr>
          <w:rFonts w:ascii="Arial" w:cs="Arial" w:eastAsia="Arial" w:hAnsi="Arial"/>
          <w:b/>
          <w:bCs/>
          <w:color w:val="0B1F4B"/>
          <w:sz w:val="24"/>
          <w:szCs w:val="24"/>
        </w:rPr>
        <w:t xml:space="preserve">Feature Attributes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7F3D0" w:sz="1"/>
              <w:left w:val="single" w:color="A7F3D0" w:sz="1"/>
              <w:bottom w:val="single" w:color="A7F3D0" w:sz="1"/>
              <w:right w:val="single" w:color="A7F3D0"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Attribute</w:t>
            </w:r>
          </w:p>
        </w:tc>
        <w:tc>
          <w:tcPr>
            <w:tcW w:type="dxa" w:w="6560"/>
            <w:tcBorders>
              <w:top w:val="single" w:color="A7F3D0" w:sz="1"/>
              <w:left w:val="single" w:color="A7F3D0" w:sz="1"/>
              <w:bottom w:val="single" w:color="A7F3D0" w:sz="1"/>
              <w:right w:val="single" w:color="A7F3D0"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Specification &amp; Behaviour</w:t>
            </w:r>
          </w:p>
        </w:tc>
      </w:tr>
      <w:tr>
        <w:tc>
          <w:tcPr>
            <w:tcW w:type="dxa" w:w="28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65F46"/>
                <w:sz w:val="20"/>
                <w:szCs w:val="20"/>
              </w:rPr>
              <w:t xml:space="preserve">Onboarding</w:t>
            </w:r>
          </w:p>
        </w:tc>
        <w:tc>
          <w:tcPr>
            <w:tcW w:type="dxa" w:w="656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EcoSkiller-facilitated T&amp;P cell invitation and University Admin Portal setup</w:t>
            </w:r>
          </w:p>
        </w:tc>
      </w:tr>
      <w:tr>
        <w:tc>
          <w:tcPr>
            <w:tcW w:type="dxa" w:w="280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bCs/>
                <w:color w:val="065F46"/>
                <w:sz w:val="20"/>
                <w:szCs w:val="20"/>
              </w:rPr>
              <w:t xml:space="preserve">Partnership Tiers</w:t>
            </w:r>
          </w:p>
        </w:tc>
        <w:tc>
          <w:tcPr>
            <w:tcW w:type="dxa" w:w="656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Tier 1: Standard / Tier 2: Preferred / Tier 3: Strategic</w:t>
            </w:r>
          </w:p>
        </w:tc>
      </w:tr>
      <w:tr>
        <w:tc>
          <w:tcPr>
            <w:tcW w:type="dxa" w:w="28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65F46"/>
                <w:sz w:val="20"/>
                <w:szCs w:val="20"/>
              </w:rPr>
              <w:t xml:space="preserve">Tier 2 Benefits</w:t>
            </w:r>
          </w:p>
        </w:tc>
        <w:tc>
          <w:tcPr>
            <w:tcW w:type="dxa" w:w="656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Pre-placement events, early student profile access, co-branded events</w:t>
            </w:r>
          </w:p>
        </w:tc>
      </w:tr>
      <w:tr>
        <w:tc>
          <w:tcPr>
            <w:tcW w:type="dxa" w:w="280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bCs/>
                <w:color w:val="065F46"/>
                <w:sz w:val="20"/>
                <w:szCs w:val="20"/>
              </w:rPr>
              <w:t xml:space="preserve">Tier 3 Benefits</w:t>
            </w:r>
          </w:p>
        </w:tc>
        <w:tc>
          <w:tcPr>
            <w:tcW w:type="dxa" w:w="656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Curriculum advisory, funded hackathons, placement guarantee participation</w:t>
            </w:r>
          </w:p>
        </w:tc>
      </w:tr>
      <w:tr>
        <w:tc>
          <w:tcPr>
            <w:tcW w:type="dxa" w:w="28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65F46"/>
                <w:sz w:val="20"/>
                <w:szCs w:val="20"/>
              </w:rPr>
              <w:t xml:space="preserve">T&amp;P Portal</w:t>
            </w:r>
          </w:p>
        </w:tc>
        <w:tc>
          <w:tcPr>
            <w:tcW w:type="dxa" w:w="656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Dedicated interface for T&amp;P coordinators to manage their institution's hiring activity</w:t>
            </w:r>
          </w:p>
        </w:tc>
      </w:tr>
      <w:tr>
        <w:tc>
          <w:tcPr>
            <w:tcW w:type="dxa" w:w="280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bCs/>
                <w:color w:val="065F46"/>
                <w:sz w:val="20"/>
                <w:szCs w:val="20"/>
              </w:rPr>
              <w:t xml:space="preserve">Health Dashboard</w:t>
            </w:r>
          </w:p>
        </w:tc>
        <w:tc>
          <w:tcPr>
            <w:tcW w:type="dxa" w:w="656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Annual hire volume, placement rate, response time, student satisfaction metrics</w:t>
            </w:r>
          </w:p>
        </w:tc>
      </w:tr>
      <w:tr>
        <w:tc>
          <w:tcPr>
            <w:tcW w:type="dxa" w:w="28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65F46"/>
                <w:sz w:val="20"/>
                <w:szCs w:val="20"/>
              </w:rPr>
              <w:t xml:space="preserve">Multi-Company View</w:t>
            </w:r>
          </w:p>
        </w:tc>
        <w:tc>
          <w:tcPr>
            <w:tcW w:type="dxa" w:w="656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T&amp;P coordinators see all company partners in a single consolidated dashboard</w:t>
            </w:r>
          </w:p>
        </w:tc>
      </w:tr>
    </w:tbl>
    <w:p>
      <w:pPr>
        <w:spacing w:before="160" w:after="0"/>
      </w:pPr>
      <w:r>
        <w:t xml:space="preserve"/>
      </w:r>
    </w:p>
    <w:p>
      <w:pPr>
        <w:pStyle w:val="Heading2"/>
        <w:spacing w:before="220" w:after="80"/>
      </w:pPr>
      <w:r>
        <w:rPr>
          <w:rFonts w:ascii="Arial" w:cs="Arial" w:eastAsia="Arial" w:hAnsi="Arial"/>
          <w:b/>
          <w:bCs/>
          <w:color w:val="0B1F4B"/>
          <w:sz w:val="24"/>
          <w:szCs w:val="24"/>
        </w:rPr>
        <w:t xml:space="preserve">Use Case Examples</w:t>
      </w:r>
    </w:p>
    <w:p>
      <w:pPr>
        <w:pStyle w:val="ListParagraph"/>
        <w:numPr>
          <w:ilvl w:val="0"/>
          <w:numId w:val="2"/>
        </w:numPr>
        <w:spacing w:before="40" w:after="40"/>
      </w:pPr>
      <w:r>
        <w:rPr>
          <w:rFonts w:ascii="Arial" w:cs="Arial" w:eastAsia="Arial" w:hAnsi="Arial"/>
          <w:color w:val="374151"/>
          <w:sz w:val="21"/>
          <w:szCs w:val="21"/>
        </w:rPr>
        <w:t xml:space="preserve">A product company upgrades its relationship with IIT Bombay from Tier 1 to Tier 2 — gaining early profile access to final-year CS students and hosting a pre-placement workshop on product thinking.</w:t>
      </w:r>
    </w:p>
    <w:p>
      <w:pPr>
        <w:pStyle w:val="ListParagraph"/>
        <w:numPr>
          <w:ilvl w:val="0"/>
          <w:numId w:val="2"/>
        </w:numPr>
        <w:spacing w:before="40" w:after="40"/>
      </w:pPr>
      <w:r>
        <w:rPr>
          <w:rFonts w:ascii="Arial" w:cs="Arial" w:eastAsia="Arial" w:hAnsi="Arial"/>
          <w:color w:val="374151"/>
          <w:sz w:val="21"/>
          <w:szCs w:val="21"/>
        </w:rPr>
        <w:t xml:space="preserve">A T&amp;P coordinator at a Tier-2 NIT uses the University Admin Portal to review 12 active company partnerships, manage student eligibility lists for each company, and communicate placement statistics to partners.</w:t>
      </w:r>
    </w:p>
    <w:p>
      <w:pPr>
        <w:pStyle w:val="ListParagraph"/>
        <w:numPr>
          <w:ilvl w:val="0"/>
          <w:numId w:val="2"/>
        </w:numPr>
        <w:spacing w:before="40" w:after="40"/>
      </w:pPr>
      <w:r>
        <w:rPr>
          <w:rFonts w:ascii="Arial" w:cs="Arial" w:eastAsia="Arial" w:hAnsi="Arial"/>
          <w:color w:val="374151"/>
          <w:sz w:val="21"/>
          <w:szCs w:val="21"/>
        </w:rPr>
        <w:t xml:space="preserve">A company's Partnership Health Dashboard shows declining hire volume from one institution over 3 years — prompting an outreach conversation with the T&amp;P cell to understand and address the relationship gap.</w:t>
      </w:r>
    </w:p>
    <w:p>
      <w:pPr>
        <w:spacing w:before="80" w:after="0"/>
      </w:pPr>
      <w:r>
        <w:t xml:space="preserve"/>
      </w:r>
    </w:p>
    <w:p>
      <w:pPr>
        <w:pBdr>
          <w:bottom w:val="single" w:color="059669" w:sz="3" w:space="1"/>
        </w:pBdr>
        <w:spacing w:before="80" w:after="80"/>
      </w:pPr>
      <w:r>
        <w:t xml:space="preserve"/>
      </w:r>
    </w:p>
    <w:p>
      <w:pPr>
        <w:spacing w:before="40" w:after="0"/>
      </w:pPr>
      <w:r>
        <w:t xml:space="preserve"/>
      </w:r>
    </w:p>
    <w:p>
      <w:pPr>
        <w:spacing w:before="120" w:after="80"/>
      </w:pPr>
      <w:r>
        <w:rPr>
          <w:rFonts w:ascii="Arial" w:cs="Arial" w:eastAsia="Arial" w:hAnsi="Arial"/>
          <w:b/>
          <w:bCs/>
          <w:color w:val="6B7280"/>
          <w:sz w:val="28"/>
          <w:szCs w:val="28"/>
        </w:rPr>
        <w:t xml:space="preserve">Feature 7.3  </w:t>
      </w:r>
      <w:r>
        <w:rPr>
          <w:rFonts w:ascii="Arial" w:cs="Arial" w:eastAsia="Arial" w:hAnsi="Arial"/>
          <w:b/>
          <w:bCs/>
          <w:color w:val="0B1F4B"/>
          <w:sz w:val="28"/>
          <w:szCs w:val="28"/>
        </w:rPr>
        <w:t xml:space="preserve">College-Specific Hiring Drives</w:t>
      </w:r>
    </w:p>
    <w:p>
      <w:pPr>
        <w:spacing w:before="0" w:after="60"/>
      </w:pPr>
      <w:r>
        <w:rPr>
          <w:rFonts w:ascii="Arial" w:cs="Arial" w:eastAsia="Arial" w:hAnsi="Arial"/>
          <w:b/>
          <w:bCs/>
          <w:color w:val="059669"/>
          <w:sz w:val="21"/>
          <w:szCs w:val="21"/>
        </w:rPr>
        <w:t xml:space="preserve">Mechanism:  </w:t>
      </w:r>
      <w:r>
        <w:rPr>
          <w:rFonts w:ascii="Arial" w:cs="Arial" w:eastAsia="Arial" w:hAnsi="Arial"/>
          <w:color w:val="374151"/>
          <w:sz w:val="21"/>
          <w:szCs w:val="21"/>
        </w:rPr>
        <w:t xml:space="preserve">Institution-Scoped Campaign Configuration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4"/>
              <w:left w:val="single" w:color="065F46" w:sz="8"/>
              <w:bottom w:val="single" w:color="A7F3D0" w:sz="1"/>
              <w:right w:val="single" w:color="A7F3D0" w:sz="1"/>
            </w:tcBorders>
            <w:shd w:fill="D1FAE5" w:val="clear"/>
            <w:tcMar>
              <w:top w:type="dxa" w:w="120"/>
              <w:left w:type="dxa" w:w="200"/>
              <w:bottom w:type="dxa" w:w="120"/>
              <w:right w:type="dxa" w:w="160"/>
            </w:tcMar>
          </w:tcPr>
          <w:p>
            <w:r>
              <w:rPr>
                <w:rFonts w:ascii="Arial" w:cs="Arial" w:eastAsia="Arial" w:hAnsi="Arial"/>
                <w:b/>
                <w:bCs/>
                <w:color w:val="065F46"/>
                <w:sz w:val="20"/>
                <w:szCs w:val="20"/>
              </w:rPr>
              <w:t xml:space="preserve">Purpose:  </w:t>
            </w:r>
            <w:r>
              <w:rPr>
                <w:rFonts w:ascii="Arial" w:cs="Arial" w:eastAsia="Arial" w:hAnsi="Arial"/>
                <w:color w:val="374151"/>
                <w:sz w:val="20"/>
                <w:szCs w:val="20"/>
              </w:rPr>
              <w:t xml:space="preserve">Run targeted, customised hiring events tailored to the specific context of a single institution.</w:t>
            </w:r>
          </w:p>
        </w:tc>
      </w:tr>
    </w:tbl>
    <w:p>
      <w:pPr>
        <w:spacing w:before="120" w:after="0"/>
      </w:pPr>
      <w:r>
        <w:t xml:space="preserve"/>
      </w:r>
    </w:p>
    <w:p>
      <w:pPr>
        <w:pStyle w:val="Heading2"/>
        <w:spacing w:before="220" w:after="80"/>
      </w:pPr>
      <w:r>
        <w:rPr>
          <w:rFonts w:ascii="Arial" w:cs="Arial" w:eastAsia="Arial" w:hAnsi="Arial"/>
          <w:b/>
          <w:bCs/>
          <w:color w:val="0B1F4B"/>
          <w:sz w:val="24"/>
          <w:szCs w:val="24"/>
        </w:rPr>
        <w:t xml:space="preserve">Overview</w:t>
      </w:r>
    </w:p>
    <w:p>
      <w:pPr>
        <w:spacing w:before="0" w:after="140"/>
      </w:pPr>
      <w:r>
        <w:rPr>
          <w:rFonts w:ascii="Arial" w:cs="Arial" w:eastAsia="Arial" w:hAnsi="Arial"/>
          <w:color w:val="374151"/>
          <w:sz w:val="21"/>
          <w:szCs w:val="21"/>
        </w:rPr>
        <w:t xml:space="preserve">College-Specific Hiring Drives are focused, institution-scoped recruitment events that are customised to the academic calendar, student profile, and departmental composition of a single college. Unlike broad multi-college campaigns, college-specific drives allow for the highest level of precision and personalisation in the campus hiring experience.</w:t>
      </w:r>
    </w:p>
    <w:p>
      <w:pPr>
        <w:pStyle w:val="Heading2"/>
        <w:spacing w:before="220" w:after="80"/>
      </w:pPr>
      <w:r>
        <w:rPr>
          <w:rFonts w:ascii="Arial" w:cs="Arial" w:eastAsia="Arial" w:hAnsi="Arial"/>
          <w:b/>
          <w:bCs/>
          <w:color w:val="0B1F4B"/>
          <w:sz w:val="24"/>
          <w:szCs w:val="24"/>
        </w:rPr>
        <w:t xml:space="preserve">Detailed Description</w:t>
      </w:r>
    </w:p>
    <w:p>
      <w:pPr>
        <w:spacing w:before="0" w:after="140"/>
      </w:pPr>
      <w:r>
        <w:rPr>
          <w:rFonts w:ascii="Arial" w:cs="Arial" w:eastAsia="Arial" w:hAnsi="Arial"/>
          <w:color w:val="374151"/>
          <w:sz w:val="21"/>
          <w:szCs w:val="21"/>
        </w:rPr>
        <w:t xml:space="preserve">Every college has a unique ecosystem: different department strengths, academic calendars, student skill profiles, T&amp;P process preferences, and cultural dynamics. A one-size-fits-all campus drive template fails to account for these differences. College-Specific Drives allow recruiters to configure every element of the hiring event to match the institution's context — eligibility criteria specific to the college's grading system, assessment difficulty calibrated to the college's historical student performance distribution, and event scheduling aligned with the college's academic calendar and exam schedule.</w:t>
      </w:r>
    </w:p>
    <w:p>
      <w:pPr>
        <w:spacing w:before="0" w:after="140"/>
      </w:pPr>
      <w:r>
        <w:rPr>
          <w:rFonts w:ascii="Arial" w:cs="Arial" w:eastAsia="Arial" w:hAnsi="Arial"/>
          <w:color w:val="374151"/>
          <w:sz w:val="21"/>
          <w:szCs w:val="21"/>
        </w:rPr>
        <w:t xml:space="preserve">The drive configuration interface pulls in the institution's profile data (available through the University Partnership framework) to pre-populate relevant defaults: the college's department structure, approximate student headcount per department, historical placement statistics, typical CGPA distribution, and the T&amp;P coordinator's preferred communication format. This context saves recruiters significant research time and ensures that the drive is configured appropriately from the outset.</w:t>
      </w:r>
    </w:p>
    <w:p>
      <w:pPr>
        <w:spacing w:before="0" w:after="140"/>
      </w:pPr>
      <w:r>
        <w:rPr>
          <w:rFonts w:ascii="Arial" w:cs="Arial" w:eastAsia="Arial" w:hAnsi="Arial"/>
          <w:color w:val="374151"/>
          <w:sz w:val="21"/>
          <w:szCs w:val="21"/>
        </w:rPr>
        <w:t xml:space="preserve">On-campus event management is integrated into the drive configuration. Recruiters can schedule pre-placement talks, aptitude test sessions, coding rounds, interview panels, and offer ceremonies — with automated calendar invites sent to registered students, automated room and facility booking requests sent to the T&amp;P coordinator, and automated logistics reminders sent to the company's visiting team. The entire event day is orchestrated through the platform, with real-time attendance tracking and status updates.</w:t>
      </w:r>
    </w:p>
    <w:p>
      <w:pPr>
        <w:pStyle w:val="Heading2"/>
        <w:spacing w:before="220" w:after="80"/>
      </w:pPr>
      <w:r>
        <w:rPr>
          <w:rFonts w:ascii="Arial" w:cs="Arial" w:eastAsia="Arial" w:hAnsi="Arial"/>
          <w:b/>
          <w:bCs/>
          <w:color w:val="0B1F4B"/>
          <w:sz w:val="24"/>
          <w:szCs w:val="24"/>
        </w:rPr>
        <w:t xml:space="preserve">Feature Attributes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7F3D0" w:sz="1"/>
              <w:left w:val="single" w:color="A7F3D0" w:sz="1"/>
              <w:bottom w:val="single" w:color="A7F3D0" w:sz="1"/>
              <w:right w:val="single" w:color="A7F3D0"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Attribute</w:t>
            </w:r>
          </w:p>
        </w:tc>
        <w:tc>
          <w:tcPr>
            <w:tcW w:type="dxa" w:w="6560"/>
            <w:tcBorders>
              <w:top w:val="single" w:color="A7F3D0" w:sz="1"/>
              <w:left w:val="single" w:color="A7F3D0" w:sz="1"/>
              <w:bottom w:val="single" w:color="A7F3D0" w:sz="1"/>
              <w:right w:val="single" w:color="A7F3D0"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Specification &amp; Behaviour</w:t>
            </w:r>
          </w:p>
        </w:tc>
      </w:tr>
      <w:tr>
        <w:tc>
          <w:tcPr>
            <w:tcW w:type="dxa" w:w="28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65F46"/>
                <w:sz w:val="20"/>
                <w:szCs w:val="20"/>
              </w:rPr>
              <w:t xml:space="preserve">Institution Prefill</w:t>
            </w:r>
          </w:p>
        </w:tc>
        <w:tc>
          <w:tcPr>
            <w:tcW w:type="dxa" w:w="656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College profile data auto-populates drive defaults (departments, headcount, CGPA distribution)</w:t>
            </w:r>
          </w:p>
        </w:tc>
      </w:tr>
      <w:tr>
        <w:tc>
          <w:tcPr>
            <w:tcW w:type="dxa" w:w="280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bCs/>
                <w:color w:val="065F46"/>
                <w:sz w:val="20"/>
                <w:szCs w:val="20"/>
              </w:rPr>
              <w:t xml:space="preserve">Custom Eligibility</w:t>
            </w:r>
          </w:p>
        </w:tc>
        <w:tc>
          <w:tcPr>
            <w:tcW w:type="dxa" w:w="656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Eligibility criteria configurable per institution's grading and department structure</w:t>
            </w:r>
          </w:p>
        </w:tc>
      </w:tr>
      <w:tr>
        <w:tc>
          <w:tcPr>
            <w:tcW w:type="dxa" w:w="28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65F46"/>
                <w:sz w:val="20"/>
                <w:szCs w:val="20"/>
              </w:rPr>
              <w:t xml:space="preserve">Difficulty Calibration</w:t>
            </w:r>
          </w:p>
        </w:tc>
        <w:tc>
          <w:tcPr>
            <w:tcW w:type="dxa" w:w="656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Assessment difficulty adjusted to college's historical student performance benchmark</w:t>
            </w:r>
          </w:p>
        </w:tc>
      </w:tr>
      <w:tr>
        <w:tc>
          <w:tcPr>
            <w:tcW w:type="dxa" w:w="280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bCs/>
                <w:color w:val="065F46"/>
                <w:sz w:val="20"/>
                <w:szCs w:val="20"/>
              </w:rPr>
              <w:t xml:space="preserve">Calendar Alignment</w:t>
            </w:r>
          </w:p>
        </w:tc>
        <w:tc>
          <w:tcPr>
            <w:tcW w:type="dxa" w:w="656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Drive scheduling validates against institution's academic calendar and exam dates</w:t>
            </w:r>
          </w:p>
        </w:tc>
      </w:tr>
      <w:tr>
        <w:tc>
          <w:tcPr>
            <w:tcW w:type="dxa" w:w="28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65F46"/>
                <w:sz w:val="20"/>
                <w:szCs w:val="20"/>
              </w:rPr>
              <w:t xml:space="preserve">Event Scheduling</w:t>
            </w:r>
          </w:p>
        </w:tc>
        <w:tc>
          <w:tcPr>
            <w:tcW w:type="dxa" w:w="656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Pre-placement talks, aptitude tests, coding rounds, interviews, offer ceremony</w:t>
            </w:r>
          </w:p>
        </w:tc>
      </w:tr>
      <w:tr>
        <w:tc>
          <w:tcPr>
            <w:tcW w:type="dxa" w:w="280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bCs/>
                <w:color w:val="065F46"/>
                <w:sz w:val="20"/>
                <w:szCs w:val="20"/>
              </w:rPr>
              <w:t xml:space="preserve">Logistics Automation</w:t>
            </w:r>
          </w:p>
        </w:tc>
        <w:tc>
          <w:tcPr>
            <w:tcW w:type="dxa" w:w="656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Auto-invites to students, facility booking requests to T&amp;P, logistics reminders to company team</w:t>
            </w:r>
          </w:p>
        </w:tc>
      </w:tr>
      <w:tr>
        <w:tc>
          <w:tcPr>
            <w:tcW w:type="dxa" w:w="28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65F46"/>
                <w:sz w:val="20"/>
                <w:szCs w:val="20"/>
              </w:rPr>
              <w:t xml:space="preserve">Attendance Tracking</w:t>
            </w:r>
          </w:p>
        </w:tc>
        <w:tc>
          <w:tcPr>
            <w:tcW w:type="dxa" w:w="656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Real-time check-in and status tracking for all event sessions on drive day</w:t>
            </w:r>
          </w:p>
        </w:tc>
      </w:tr>
    </w:tbl>
    <w:p>
      <w:pPr>
        <w:spacing w:before="160" w:after="0"/>
      </w:pPr>
      <w:r>
        <w:t xml:space="preserve"/>
      </w:r>
    </w:p>
    <w:p>
      <w:pPr>
        <w:pStyle w:val="Heading2"/>
        <w:spacing w:before="220" w:after="80"/>
      </w:pPr>
      <w:r>
        <w:rPr>
          <w:rFonts w:ascii="Arial" w:cs="Arial" w:eastAsia="Arial" w:hAnsi="Arial"/>
          <w:b/>
          <w:bCs/>
          <w:color w:val="0B1F4B"/>
          <w:sz w:val="24"/>
          <w:szCs w:val="24"/>
        </w:rPr>
        <w:t xml:space="preserve">Use Case Examples</w:t>
      </w:r>
    </w:p>
    <w:p>
      <w:pPr>
        <w:pStyle w:val="ListParagraph"/>
        <w:numPr>
          <w:ilvl w:val="0"/>
          <w:numId w:val="2"/>
        </w:numPr>
        <w:spacing w:before="40" w:after="40"/>
      </w:pPr>
      <w:r>
        <w:rPr>
          <w:rFonts w:ascii="Arial" w:cs="Arial" w:eastAsia="Arial" w:hAnsi="Arial"/>
          <w:color w:val="374151"/>
          <w:sz w:val="21"/>
          <w:szCs w:val="21"/>
        </w:rPr>
        <w:t xml:space="preserve">A company configures a specific drive for VIT Vellore — using VIT's 10-point GPA system for eligibility (minimum 8.0), calibrating the assessment to VIT's historically strong CS cohort, and aligning the event dates to avoid VIT's mid-semester exams.</w:t>
      </w:r>
    </w:p>
    <w:p>
      <w:pPr>
        <w:pStyle w:val="ListParagraph"/>
        <w:numPr>
          <w:ilvl w:val="0"/>
          <w:numId w:val="2"/>
        </w:numPr>
        <w:spacing w:before="40" w:after="40"/>
      </w:pPr>
      <w:r>
        <w:rPr>
          <w:rFonts w:ascii="Arial" w:cs="Arial" w:eastAsia="Arial" w:hAnsi="Arial"/>
          <w:color w:val="374151"/>
          <w:sz w:val="21"/>
          <w:szCs w:val="21"/>
        </w:rPr>
        <w:t xml:space="preserve">Automated calendar invites are sent to 340 eligible students 2 weeks, 3 days, and 12 hours before the event — eliminating the T&amp;P coordinator's manual reminder work entirely.</w:t>
      </w:r>
    </w:p>
    <w:p>
      <w:pPr>
        <w:pStyle w:val="ListParagraph"/>
        <w:numPr>
          <w:ilvl w:val="0"/>
          <w:numId w:val="2"/>
        </w:numPr>
        <w:spacing w:before="40" w:after="40"/>
      </w:pPr>
      <w:r>
        <w:rPr>
          <w:rFonts w:ascii="Arial" w:cs="Arial" w:eastAsia="Arial" w:hAnsi="Arial"/>
          <w:color w:val="374151"/>
          <w:sz w:val="21"/>
          <w:szCs w:val="21"/>
        </w:rPr>
        <w:t xml:space="preserve">On drive day, the recruiter's mobile dashboard shows real-time check-in rates by session — 280 of 340 students have checked in for the aptitude round, with 60 absences flagged for follow-up.</w:t>
      </w:r>
    </w:p>
    <w:p>
      <w:pPr>
        <w:spacing w:before="80" w:after="0"/>
      </w:pPr>
      <w:r>
        <w:t xml:space="preserve"/>
      </w:r>
    </w:p>
    <w:p>
      <w:pPr>
        <w:pBdr>
          <w:bottom w:val="single" w:color="059669" w:sz="3" w:space="1"/>
        </w:pBdr>
        <w:spacing w:before="80" w:after="80"/>
      </w:pPr>
      <w:r>
        <w:t xml:space="preserve"/>
      </w:r>
    </w:p>
    <w:p>
      <w:pPr>
        <w:spacing w:before="40" w:after="0"/>
      </w:pPr>
      <w:r>
        <w:t xml:space="preserve"/>
      </w:r>
    </w:p>
    <w:p>
      <w:pPr>
        <w:spacing w:before="120" w:after="80"/>
      </w:pPr>
      <w:r>
        <w:rPr>
          <w:rFonts w:ascii="Arial" w:cs="Arial" w:eastAsia="Arial" w:hAnsi="Arial"/>
          <w:b/>
          <w:bCs/>
          <w:color w:val="6B7280"/>
          <w:sz w:val="28"/>
          <w:szCs w:val="28"/>
        </w:rPr>
        <w:t xml:space="preserve">Feature 7.4  </w:t>
      </w:r>
      <w:r>
        <w:rPr>
          <w:rFonts w:ascii="Arial" w:cs="Arial" w:eastAsia="Arial" w:hAnsi="Arial"/>
          <w:b/>
          <w:bCs/>
          <w:color w:val="0B1F4B"/>
          <w:sz w:val="28"/>
          <w:szCs w:val="28"/>
        </w:rPr>
        <w:t xml:space="preserve">Graduate Trainee Programs</w:t>
      </w:r>
    </w:p>
    <w:p>
      <w:pPr>
        <w:spacing w:before="0" w:after="60"/>
      </w:pPr>
      <w:r>
        <w:rPr>
          <w:rFonts w:ascii="Arial" w:cs="Arial" w:eastAsia="Arial" w:hAnsi="Arial"/>
          <w:b/>
          <w:bCs/>
          <w:color w:val="059669"/>
          <w:sz w:val="21"/>
          <w:szCs w:val="21"/>
        </w:rPr>
        <w:t xml:space="preserve">Mechanism:  </w:t>
      </w:r>
      <w:r>
        <w:rPr>
          <w:rFonts w:ascii="Arial" w:cs="Arial" w:eastAsia="Arial" w:hAnsi="Arial"/>
          <w:color w:val="374151"/>
          <w:sz w:val="21"/>
          <w:szCs w:val="21"/>
        </w:rPr>
        <w:t xml:space="preserve">Structured Cohort Hiring + Multi-Stage Training Pipeline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4"/>
              <w:left w:val="single" w:color="065F46" w:sz="8"/>
              <w:bottom w:val="single" w:color="A7F3D0" w:sz="1"/>
              <w:right w:val="single" w:color="A7F3D0" w:sz="1"/>
            </w:tcBorders>
            <w:shd w:fill="D1FAE5" w:val="clear"/>
            <w:tcMar>
              <w:top w:type="dxa" w:w="120"/>
              <w:left w:type="dxa" w:w="200"/>
              <w:bottom w:type="dxa" w:w="120"/>
              <w:right w:type="dxa" w:w="160"/>
            </w:tcMar>
          </w:tcPr>
          <w:p>
            <w:r>
              <w:rPr>
                <w:rFonts w:ascii="Arial" w:cs="Arial" w:eastAsia="Arial" w:hAnsi="Arial"/>
                <w:b/>
                <w:bCs/>
                <w:color w:val="065F46"/>
                <w:sz w:val="20"/>
                <w:szCs w:val="20"/>
              </w:rPr>
              <w:t xml:space="preserve">Purpose:  </w:t>
            </w:r>
            <w:r>
              <w:rPr>
                <w:rFonts w:ascii="Arial" w:cs="Arial" w:eastAsia="Arial" w:hAnsi="Arial"/>
                <w:color w:val="374151"/>
                <w:sz w:val="20"/>
                <w:szCs w:val="20"/>
              </w:rPr>
              <w:t xml:space="preserve">Identify and hire cohorts of fresh graduates into structured onboarding and training programmes.</w:t>
            </w:r>
          </w:p>
        </w:tc>
      </w:tr>
    </w:tbl>
    <w:p>
      <w:pPr>
        <w:spacing w:before="120" w:after="0"/>
      </w:pPr>
      <w:r>
        <w:t xml:space="preserve"/>
      </w:r>
    </w:p>
    <w:p>
      <w:pPr>
        <w:pStyle w:val="Heading2"/>
        <w:spacing w:before="220" w:after="80"/>
      </w:pPr>
      <w:r>
        <w:rPr>
          <w:rFonts w:ascii="Arial" w:cs="Arial" w:eastAsia="Arial" w:hAnsi="Arial"/>
          <w:b/>
          <w:bCs/>
          <w:color w:val="0B1F4B"/>
          <w:sz w:val="24"/>
          <w:szCs w:val="24"/>
        </w:rPr>
        <w:t xml:space="preserve">Overview</w:t>
      </w:r>
    </w:p>
    <w:p>
      <w:pPr>
        <w:spacing w:before="0" w:after="140"/>
      </w:pPr>
      <w:r>
        <w:rPr>
          <w:rFonts w:ascii="Arial" w:cs="Arial" w:eastAsia="Arial" w:hAnsi="Arial"/>
          <w:color w:val="374151"/>
          <w:sz w:val="21"/>
          <w:szCs w:val="21"/>
        </w:rPr>
        <w:t xml:space="preserve">Graduate Trainee Programs is a specialised hiring workflow for companies that recruit fresh graduates into structured 6–24 month training and development programmes — including Management Trainee, Engineer Trainee, Associate Consultant, and similar cohort-based entry programmes that require a distinct multi-stage selection process.</w:t>
      </w:r>
    </w:p>
    <w:p>
      <w:pPr>
        <w:pStyle w:val="Heading2"/>
        <w:spacing w:before="220" w:after="80"/>
      </w:pPr>
      <w:r>
        <w:rPr>
          <w:rFonts w:ascii="Arial" w:cs="Arial" w:eastAsia="Arial" w:hAnsi="Arial"/>
          <w:b/>
          <w:bCs/>
          <w:color w:val="0B1F4B"/>
          <w:sz w:val="24"/>
          <w:szCs w:val="24"/>
        </w:rPr>
        <w:t xml:space="preserve">Detailed Description</w:t>
      </w:r>
    </w:p>
    <w:p>
      <w:pPr>
        <w:spacing w:before="0" w:after="140"/>
      </w:pPr>
      <w:r>
        <w:rPr>
          <w:rFonts w:ascii="Arial" w:cs="Arial" w:eastAsia="Arial" w:hAnsi="Arial"/>
          <w:color w:val="374151"/>
          <w:sz w:val="21"/>
          <w:szCs w:val="21"/>
        </w:rPr>
        <w:t xml:space="preserve">Graduate Trainee hiring has fundamentally different characteristics from experienced-hire recruitment. The selection criteria weight potential and learning aptitude over existing technical depth. The process typically involves larger cohorts, more structured assessment stages, and a longer pre-offer engagement period. EcoSkiller's Graduate Trainee Programs feature is built specifically for this context.</w:t>
      </w:r>
    </w:p>
    <w:p>
      <w:pPr>
        <w:spacing w:before="0" w:after="140"/>
      </w:pPr>
      <w:r>
        <w:rPr>
          <w:rFonts w:ascii="Arial" w:cs="Arial" w:eastAsia="Arial" w:hAnsi="Arial"/>
          <w:color w:val="374151"/>
          <w:sz w:val="21"/>
          <w:szCs w:val="21"/>
        </w:rPr>
        <w:t xml:space="preserve">The programme configuration allows companies to define the full training programme structure within the platform: programme name, duration, rotation schedule, expected post-programme role, and compensation trajectory. This programme information is displayed to candidates during the application process — a significant differentiator, as candidates applying for trainee roles are making a long-term commitment and want to understand exactly what the programme entails before investing time in the selection process.</w:t>
      </w:r>
    </w:p>
    <w:p>
      <w:pPr>
        <w:spacing w:before="0" w:after="140"/>
      </w:pPr>
      <w:r>
        <w:rPr>
          <w:rFonts w:ascii="Arial" w:cs="Arial" w:eastAsia="Arial" w:hAnsi="Arial"/>
          <w:color w:val="374151"/>
          <w:sz w:val="21"/>
          <w:szCs w:val="21"/>
        </w:rPr>
        <w:t xml:space="preserve">The selection pipeline for graduate trainee programmes typically involves 4–7 stages: Application Screening (CGPA, degree, branch), Aptitude and Reasoning Assessment, Technical or Domain Assessment, Group Discussion, Personal Interview Round 1, Personal Interview Round 2 (HR), and Offer. The platform supports all of these stages natively, with automated candidate advancement and rejection communication at each stage. Cohort targets can be set per programme and per stage — the system alerts recruiters when a stage is over- or under-yielding relative to the cohort target.</w:t>
      </w:r>
    </w:p>
    <w:p>
      <w:pPr>
        <w:pStyle w:val="Heading2"/>
        <w:spacing w:before="220" w:after="80"/>
      </w:pPr>
      <w:r>
        <w:rPr>
          <w:rFonts w:ascii="Arial" w:cs="Arial" w:eastAsia="Arial" w:hAnsi="Arial"/>
          <w:b/>
          <w:bCs/>
          <w:color w:val="0B1F4B"/>
          <w:sz w:val="24"/>
          <w:szCs w:val="24"/>
        </w:rPr>
        <w:t xml:space="preserve">Feature Attributes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7F3D0" w:sz="1"/>
              <w:left w:val="single" w:color="A7F3D0" w:sz="1"/>
              <w:bottom w:val="single" w:color="A7F3D0" w:sz="1"/>
              <w:right w:val="single" w:color="A7F3D0"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Attribute</w:t>
            </w:r>
          </w:p>
        </w:tc>
        <w:tc>
          <w:tcPr>
            <w:tcW w:type="dxa" w:w="6560"/>
            <w:tcBorders>
              <w:top w:val="single" w:color="A7F3D0" w:sz="1"/>
              <w:left w:val="single" w:color="A7F3D0" w:sz="1"/>
              <w:bottom w:val="single" w:color="A7F3D0" w:sz="1"/>
              <w:right w:val="single" w:color="A7F3D0"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Specification &amp; Behaviour</w:t>
            </w:r>
          </w:p>
        </w:tc>
      </w:tr>
      <w:tr>
        <w:tc>
          <w:tcPr>
            <w:tcW w:type="dxa" w:w="28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65F46"/>
                <w:sz w:val="20"/>
                <w:szCs w:val="20"/>
              </w:rPr>
              <w:t xml:space="preserve">Programme Profile</w:t>
            </w:r>
          </w:p>
        </w:tc>
        <w:tc>
          <w:tcPr>
            <w:tcW w:type="dxa" w:w="656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Programme name, duration, rotation schedule, post-programme role, compensation trajectory</w:t>
            </w:r>
          </w:p>
        </w:tc>
      </w:tr>
      <w:tr>
        <w:tc>
          <w:tcPr>
            <w:tcW w:type="dxa" w:w="280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bCs/>
                <w:color w:val="065F46"/>
                <w:sz w:val="20"/>
                <w:szCs w:val="20"/>
              </w:rPr>
              <w:t xml:space="preserve">Selection Pipeline</w:t>
            </w:r>
          </w:p>
        </w:tc>
        <w:tc>
          <w:tcPr>
            <w:tcW w:type="dxa" w:w="656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4–7 configurable stages: aptitude, technical, GD, interview rounds</w:t>
            </w:r>
          </w:p>
        </w:tc>
      </w:tr>
      <w:tr>
        <w:tc>
          <w:tcPr>
            <w:tcW w:type="dxa" w:w="28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65F46"/>
                <w:sz w:val="20"/>
                <w:szCs w:val="20"/>
              </w:rPr>
              <w:t xml:space="preserve">Cohort Targeting</w:t>
            </w:r>
          </w:p>
        </w:tc>
        <w:tc>
          <w:tcPr>
            <w:tcW w:type="dxa" w:w="656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Per-stage cohort target with yield alerts when off-target</w:t>
            </w:r>
          </w:p>
        </w:tc>
      </w:tr>
      <w:tr>
        <w:tc>
          <w:tcPr>
            <w:tcW w:type="dxa" w:w="280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bCs/>
                <w:color w:val="065F46"/>
                <w:sz w:val="20"/>
                <w:szCs w:val="20"/>
              </w:rPr>
              <w:t xml:space="preserve">Candidate Visibility</w:t>
            </w:r>
          </w:p>
        </w:tc>
        <w:tc>
          <w:tcPr>
            <w:tcW w:type="dxa" w:w="656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Full programme details shown to candidates during application</w:t>
            </w:r>
          </w:p>
        </w:tc>
      </w:tr>
      <w:tr>
        <w:tc>
          <w:tcPr>
            <w:tcW w:type="dxa" w:w="28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65F46"/>
                <w:sz w:val="20"/>
                <w:szCs w:val="20"/>
              </w:rPr>
              <w:t xml:space="preserve">Automated Comms</w:t>
            </w:r>
          </w:p>
        </w:tc>
        <w:tc>
          <w:tcPr>
            <w:tcW w:type="dxa" w:w="656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Advancement and rejection notifications automated at each pipeline stage</w:t>
            </w:r>
          </w:p>
        </w:tc>
      </w:tr>
      <w:tr>
        <w:tc>
          <w:tcPr>
            <w:tcW w:type="dxa" w:w="280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bCs/>
                <w:color w:val="065F46"/>
                <w:sz w:val="20"/>
                <w:szCs w:val="20"/>
              </w:rPr>
              <w:t xml:space="preserve">Multi-Programme</w:t>
            </w:r>
          </w:p>
        </w:tc>
        <w:tc>
          <w:tcPr>
            <w:tcW w:type="dxa" w:w="656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Run Engineer Trainee, Management Trainee, and Tech Analyst programmes simultaneously</w:t>
            </w:r>
          </w:p>
        </w:tc>
      </w:tr>
      <w:tr>
        <w:tc>
          <w:tcPr>
            <w:tcW w:type="dxa" w:w="28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65F46"/>
                <w:sz w:val="20"/>
                <w:szCs w:val="20"/>
              </w:rPr>
              <w:t xml:space="preserve">Retention Analytics</w:t>
            </w:r>
          </w:p>
        </w:tc>
        <w:tc>
          <w:tcPr>
            <w:tcW w:type="dxa" w:w="656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Track post-joining programme completion and placement rate of hired trainees</w:t>
            </w:r>
          </w:p>
        </w:tc>
      </w:tr>
    </w:tbl>
    <w:p>
      <w:pPr>
        <w:spacing w:before="160" w:after="0"/>
      </w:pPr>
      <w:r>
        <w:t xml:space="preserve"/>
      </w:r>
    </w:p>
    <w:p>
      <w:pPr>
        <w:pStyle w:val="Heading2"/>
        <w:spacing w:before="220" w:after="80"/>
      </w:pPr>
      <w:r>
        <w:rPr>
          <w:rFonts w:ascii="Arial" w:cs="Arial" w:eastAsia="Arial" w:hAnsi="Arial"/>
          <w:b/>
          <w:bCs/>
          <w:color w:val="0B1F4B"/>
          <w:sz w:val="24"/>
          <w:szCs w:val="24"/>
        </w:rPr>
        <w:t xml:space="preserve">Use Case Examples</w:t>
      </w:r>
    </w:p>
    <w:p>
      <w:pPr>
        <w:pStyle w:val="ListParagraph"/>
        <w:numPr>
          <w:ilvl w:val="0"/>
          <w:numId w:val="2"/>
        </w:numPr>
        <w:spacing w:before="40" w:after="40"/>
      </w:pPr>
      <w:r>
        <w:rPr>
          <w:rFonts w:ascii="Arial" w:cs="Arial" w:eastAsia="Arial" w:hAnsi="Arial"/>
          <w:color w:val="374151"/>
          <w:sz w:val="21"/>
          <w:szCs w:val="21"/>
        </w:rPr>
        <w:t xml:space="preserve">A conglomerate runs Management Trainee and Engineer Trainee programmes simultaneously from a single campaign — with separate eligibility criteria, assessment types, and selection panel assignments for each programme.</w:t>
      </w:r>
    </w:p>
    <w:p>
      <w:pPr>
        <w:pStyle w:val="ListParagraph"/>
        <w:numPr>
          <w:ilvl w:val="0"/>
          <w:numId w:val="2"/>
        </w:numPr>
        <w:spacing w:before="40" w:after="40"/>
      </w:pPr>
      <w:r>
        <w:rPr>
          <w:rFonts w:ascii="Arial" w:cs="Arial" w:eastAsia="Arial" w:hAnsi="Arial"/>
          <w:color w:val="374151"/>
          <w:sz w:val="21"/>
          <w:szCs w:val="21"/>
        </w:rPr>
        <w:t xml:space="preserve">After Stage 2 (Technical Assessment), the cohort yield is 340 candidates against a target of 250 for Stage 3. The system alerts the recruiter, who adjusts the Stage 3 invitation list to stay on track for the final cohort target of 120.</w:t>
      </w:r>
    </w:p>
    <w:p>
      <w:pPr>
        <w:pStyle w:val="ListParagraph"/>
        <w:numPr>
          <w:ilvl w:val="0"/>
          <w:numId w:val="2"/>
        </w:numPr>
        <w:spacing w:before="40" w:after="40"/>
      </w:pPr>
      <w:r>
        <w:rPr>
          <w:rFonts w:ascii="Arial" w:cs="Arial" w:eastAsia="Arial" w:hAnsi="Arial"/>
          <w:color w:val="374151"/>
          <w:sz w:val="21"/>
          <w:szCs w:val="21"/>
        </w:rPr>
        <w:t xml:space="preserve">A candidate applying to the Management Trainee programme reads the full programme details — 18-month programme, 3 rotations across Business Development, Operations, and Finance, ending with a confirmed AM-level offer — and completes the application with full programme commitment.</w:t>
      </w:r>
    </w:p>
    <w:p>
      <w:pPr>
        <w:spacing w:before="80" w:after="0"/>
      </w:pPr>
      <w:r>
        <w:t xml:space="preserve"/>
      </w:r>
    </w:p>
    <w:p>
      <w:pPr>
        <w:pBdr>
          <w:bottom w:val="single" w:color="059669" w:sz="3" w:space="1"/>
        </w:pBdr>
        <w:spacing w:before="80" w:after="80"/>
      </w:pPr>
      <w:r>
        <w:t xml:space="preserve"/>
      </w:r>
    </w:p>
    <w:p>
      <w:pPr>
        <w:spacing w:before="40" w:after="0"/>
      </w:pPr>
      <w:r>
        <w:t xml:space="preserve"/>
      </w:r>
    </w:p>
    <w:p>
      <w:pPr>
        <w:spacing w:before="120" w:after="80"/>
      </w:pPr>
      <w:r>
        <w:rPr>
          <w:rFonts w:ascii="Arial" w:cs="Arial" w:eastAsia="Arial" w:hAnsi="Arial"/>
          <w:b/>
          <w:bCs/>
          <w:color w:val="6B7280"/>
          <w:sz w:val="28"/>
          <w:szCs w:val="28"/>
        </w:rPr>
        <w:t xml:space="preserve">Feature 7.5  </w:t>
      </w:r>
      <w:r>
        <w:rPr>
          <w:rFonts w:ascii="Arial" w:cs="Arial" w:eastAsia="Arial" w:hAnsi="Arial"/>
          <w:b/>
          <w:bCs/>
          <w:color w:val="0B1F4B"/>
          <w:sz w:val="28"/>
          <w:szCs w:val="28"/>
        </w:rPr>
        <w:t xml:space="preserve">Internship Recruitment Programs</w:t>
      </w:r>
    </w:p>
    <w:p>
      <w:pPr>
        <w:spacing w:before="0" w:after="60"/>
      </w:pPr>
      <w:r>
        <w:rPr>
          <w:rFonts w:ascii="Arial" w:cs="Arial" w:eastAsia="Arial" w:hAnsi="Arial"/>
          <w:b/>
          <w:bCs/>
          <w:color w:val="059669"/>
          <w:sz w:val="21"/>
          <w:szCs w:val="21"/>
        </w:rPr>
        <w:t xml:space="preserve">Mechanism:  </w:t>
      </w:r>
      <w:r>
        <w:rPr>
          <w:rFonts w:ascii="Arial" w:cs="Arial" w:eastAsia="Arial" w:hAnsi="Arial"/>
          <w:color w:val="374151"/>
          <w:sz w:val="21"/>
          <w:szCs w:val="21"/>
        </w:rPr>
        <w:t xml:space="preserve">Summer &amp; Winter Internship Campaign with Conversion Tracking</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4"/>
              <w:left w:val="single" w:color="065F46" w:sz="8"/>
              <w:bottom w:val="single" w:color="A7F3D0" w:sz="1"/>
              <w:right w:val="single" w:color="A7F3D0" w:sz="1"/>
            </w:tcBorders>
            <w:shd w:fill="D1FAE5" w:val="clear"/>
            <w:tcMar>
              <w:top w:type="dxa" w:w="120"/>
              <w:left w:type="dxa" w:w="200"/>
              <w:bottom w:type="dxa" w:w="120"/>
              <w:right w:type="dxa" w:w="160"/>
            </w:tcMar>
          </w:tcPr>
          <w:p>
            <w:r>
              <w:rPr>
                <w:rFonts w:ascii="Arial" w:cs="Arial" w:eastAsia="Arial" w:hAnsi="Arial"/>
                <w:b/>
                <w:bCs/>
                <w:color w:val="065F46"/>
                <w:sz w:val="20"/>
                <w:szCs w:val="20"/>
              </w:rPr>
              <w:t xml:space="preserve">Purpose:  </w:t>
            </w:r>
            <w:r>
              <w:rPr>
                <w:rFonts w:ascii="Arial" w:cs="Arial" w:eastAsia="Arial" w:hAnsi="Arial"/>
                <w:color w:val="374151"/>
                <w:sz w:val="20"/>
                <w:szCs w:val="20"/>
              </w:rPr>
              <w:t xml:space="preserve">Source, assess, and select interns at scale, with structured tracking of intern-to-full-time conversion.</w:t>
            </w:r>
          </w:p>
        </w:tc>
      </w:tr>
    </w:tbl>
    <w:p>
      <w:pPr>
        <w:spacing w:before="120" w:after="0"/>
      </w:pPr>
      <w:r>
        <w:t xml:space="preserve"/>
      </w:r>
    </w:p>
    <w:p>
      <w:pPr>
        <w:pStyle w:val="Heading2"/>
        <w:spacing w:before="220" w:after="80"/>
      </w:pPr>
      <w:r>
        <w:rPr>
          <w:rFonts w:ascii="Arial" w:cs="Arial" w:eastAsia="Arial" w:hAnsi="Arial"/>
          <w:b/>
          <w:bCs/>
          <w:color w:val="0B1F4B"/>
          <w:sz w:val="24"/>
          <w:szCs w:val="24"/>
        </w:rPr>
        <w:t xml:space="preserve">Overview</w:t>
      </w:r>
    </w:p>
    <w:p>
      <w:pPr>
        <w:spacing w:before="0" w:after="140"/>
      </w:pPr>
      <w:r>
        <w:rPr>
          <w:rFonts w:ascii="Arial" w:cs="Arial" w:eastAsia="Arial" w:hAnsi="Arial"/>
          <w:color w:val="374151"/>
          <w:sz w:val="21"/>
          <w:szCs w:val="21"/>
        </w:rPr>
        <w:t xml:space="preserve">Internship Recruitment Programs is a dedicated hiring workflow for summer and winter internship drives — the most common campus engagement mechanism and often the primary pipeline for full-time Graduate Trainee hiring. The feature manages the complete lifecycle from internship position definition through candidate selection, onboarding, performance tracking during the internship, and pre-placement offer management.</w:t>
      </w:r>
    </w:p>
    <w:p>
      <w:pPr>
        <w:pStyle w:val="Heading2"/>
        <w:spacing w:before="220" w:after="80"/>
      </w:pPr>
      <w:r>
        <w:rPr>
          <w:rFonts w:ascii="Arial" w:cs="Arial" w:eastAsia="Arial" w:hAnsi="Arial"/>
          <w:b/>
          <w:bCs/>
          <w:color w:val="0B1F4B"/>
          <w:sz w:val="24"/>
          <w:szCs w:val="24"/>
        </w:rPr>
        <w:t xml:space="preserve">Detailed Description</w:t>
      </w:r>
    </w:p>
    <w:p>
      <w:pPr>
        <w:spacing w:before="0" w:after="140"/>
      </w:pPr>
      <w:r>
        <w:rPr>
          <w:rFonts w:ascii="Arial" w:cs="Arial" w:eastAsia="Arial" w:hAnsi="Arial"/>
          <w:color w:val="374151"/>
          <w:sz w:val="21"/>
          <w:szCs w:val="21"/>
        </w:rPr>
        <w:t xml:space="preserve">Internship recruitment on EcoSkiller begins with Internship Position Definition — a structured form that captures role title, department, project scope, required skills and pre-requisites, stipend range, location, duration (2 months, 4 months, or 6 months), remote or on-site designation, and the conversion pathway (does this internship lead to a Pre-Placement Offer upon successful completion?). This level of detail is published to candidates, enabling better self-selection and significantly reducing the screening burden for recruiters.</w:t>
      </w:r>
    </w:p>
    <w:p>
      <w:pPr>
        <w:spacing w:before="0" w:after="140"/>
      </w:pPr>
      <w:r>
        <w:rPr>
          <w:rFonts w:ascii="Arial" w:cs="Arial" w:eastAsia="Arial" w:hAnsi="Arial"/>
          <w:color w:val="374151"/>
          <w:sz w:val="21"/>
          <w:szCs w:val="21"/>
        </w:rPr>
        <w:t xml:space="preserve">The assessment pipeline for internship candidates is typically lighter than for full-time roles — often involving a skills-based coding or domain test, a single interview round, and a portfolio review. The platform's Internship Assessment Templates are pre-configured for common internship types (Frontend Development Internship, Data Science Internship, Business Development Internship, Design Internship) with appropriate assessment stages and evaluation rubrics.</w:t>
      </w:r>
    </w:p>
    <w:p>
      <w:pPr>
        <w:spacing w:before="0" w:after="140"/>
      </w:pPr>
      <w:r>
        <w:rPr>
          <w:rFonts w:ascii="Arial" w:cs="Arial" w:eastAsia="Arial" w:hAnsi="Arial"/>
          <w:color w:val="374151"/>
          <w:sz w:val="21"/>
          <w:szCs w:val="21"/>
        </w:rPr>
        <w:t xml:space="preserve">Intern Performance Tracking is the post-selection component that closes the internship recruitment loop. Companies can define performance milestone checkpoints for interns (30-day, 60-day, and 90-day reviews) within the platform. Intern supervisors log performance ratings and notes at each checkpoint. At the end of the internship period, the system consolidates the performance record and presents it alongside the candidate's EcoSkiller profile for the Pre-Placement Offer decision — ensuring that the offer decision is based on actual observed performance, not just interview impressions.</w:t>
      </w:r>
    </w:p>
    <w:p>
      <w:pPr>
        <w:pStyle w:val="Heading2"/>
        <w:spacing w:before="220" w:after="80"/>
      </w:pPr>
      <w:r>
        <w:rPr>
          <w:rFonts w:ascii="Arial" w:cs="Arial" w:eastAsia="Arial" w:hAnsi="Arial"/>
          <w:b/>
          <w:bCs/>
          <w:color w:val="0B1F4B"/>
          <w:sz w:val="24"/>
          <w:szCs w:val="24"/>
        </w:rPr>
        <w:t xml:space="preserve">Feature Attributes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7F3D0" w:sz="1"/>
              <w:left w:val="single" w:color="A7F3D0" w:sz="1"/>
              <w:bottom w:val="single" w:color="A7F3D0" w:sz="1"/>
              <w:right w:val="single" w:color="A7F3D0"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Attribute</w:t>
            </w:r>
          </w:p>
        </w:tc>
        <w:tc>
          <w:tcPr>
            <w:tcW w:type="dxa" w:w="6560"/>
            <w:tcBorders>
              <w:top w:val="single" w:color="A7F3D0" w:sz="1"/>
              <w:left w:val="single" w:color="A7F3D0" w:sz="1"/>
              <w:bottom w:val="single" w:color="A7F3D0" w:sz="1"/>
              <w:right w:val="single" w:color="A7F3D0"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Specification &amp; Behaviour</w:t>
            </w:r>
          </w:p>
        </w:tc>
      </w:tr>
      <w:tr>
        <w:tc>
          <w:tcPr>
            <w:tcW w:type="dxa" w:w="28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65F46"/>
                <w:sz w:val="20"/>
                <w:szCs w:val="20"/>
              </w:rPr>
              <w:t xml:space="preserve">Position Detail</w:t>
            </w:r>
          </w:p>
        </w:tc>
        <w:tc>
          <w:tcPr>
            <w:tcW w:type="dxa" w:w="656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Role, project scope, skills, stipend, duration, location, conversion pathway</w:t>
            </w:r>
          </w:p>
        </w:tc>
      </w:tr>
      <w:tr>
        <w:tc>
          <w:tcPr>
            <w:tcW w:type="dxa" w:w="280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bCs/>
                <w:color w:val="065F46"/>
                <w:sz w:val="20"/>
                <w:szCs w:val="20"/>
              </w:rPr>
              <w:t xml:space="preserve">Assessment Templates</w:t>
            </w:r>
          </w:p>
        </w:tc>
        <w:tc>
          <w:tcPr>
            <w:tcW w:type="dxa" w:w="656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Pre-built pipelines for Frontend, Data, BD, Design, and other common internship types</w:t>
            </w:r>
          </w:p>
        </w:tc>
      </w:tr>
      <w:tr>
        <w:tc>
          <w:tcPr>
            <w:tcW w:type="dxa" w:w="28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65F46"/>
                <w:sz w:val="20"/>
                <w:szCs w:val="20"/>
              </w:rPr>
              <w:t xml:space="preserve">Internship Duration</w:t>
            </w:r>
          </w:p>
        </w:tc>
        <w:tc>
          <w:tcPr>
            <w:tcW w:type="dxa" w:w="656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2-month, 4-month, and 6-month configurations; custom duration supported</w:t>
            </w:r>
          </w:p>
        </w:tc>
      </w:tr>
      <w:tr>
        <w:tc>
          <w:tcPr>
            <w:tcW w:type="dxa" w:w="280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bCs/>
                <w:color w:val="065F46"/>
                <w:sz w:val="20"/>
                <w:szCs w:val="20"/>
              </w:rPr>
              <w:t xml:space="preserve">Performance Tracking</w:t>
            </w:r>
          </w:p>
        </w:tc>
        <w:tc>
          <w:tcPr>
            <w:tcW w:type="dxa" w:w="656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30 / 60 / 90-day milestone checkpoints with supervisor ratings</w:t>
            </w:r>
          </w:p>
        </w:tc>
      </w:tr>
      <w:tr>
        <w:tc>
          <w:tcPr>
            <w:tcW w:type="dxa" w:w="28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65F46"/>
                <w:sz w:val="20"/>
                <w:szCs w:val="20"/>
              </w:rPr>
              <w:t xml:space="preserve">PPO Integration</w:t>
            </w:r>
          </w:p>
        </w:tc>
        <w:tc>
          <w:tcPr>
            <w:tcW w:type="dxa" w:w="656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Performance record surfaced alongside profile for PPO decision</w:t>
            </w:r>
          </w:p>
        </w:tc>
      </w:tr>
      <w:tr>
        <w:tc>
          <w:tcPr>
            <w:tcW w:type="dxa" w:w="280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bCs/>
                <w:color w:val="065F46"/>
                <w:sz w:val="20"/>
                <w:szCs w:val="20"/>
              </w:rPr>
              <w:t xml:space="preserve">Cohort Analytics</w:t>
            </w:r>
          </w:p>
        </w:tc>
        <w:tc>
          <w:tcPr>
            <w:tcW w:type="dxa" w:w="656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Performance distribution across all interns in the cohort</w:t>
            </w:r>
          </w:p>
        </w:tc>
      </w:tr>
      <w:tr>
        <w:tc>
          <w:tcPr>
            <w:tcW w:type="dxa" w:w="28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65F46"/>
                <w:sz w:val="20"/>
                <w:szCs w:val="20"/>
              </w:rPr>
              <w:t xml:space="preserve">Conversion Reporting</w:t>
            </w:r>
          </w:p>
        </w:tc>
        <w:tc>
          <w:tcPr>
            <w:tcW w:type="dxa" w:w="656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Intern-to-full-time offer rate tracked per institution and per programme</w:t>
            </w:r>
          </w:p>
        </w:tc>
      </w:tr>
    </w:tbl>
    <w:p>
      <w:pPr>
        <w:spacing w:before="160" w:after="0"/>
      </w:pPr>
      <w:r>
        <w:t xml:space="preserve"/>
      </w:r>
    </w:p>
    <w:p>
      <w:pPr>
        <w:pStyle w:val="Heading2"/>
        <w:spacing w:before="220" w:after="80"/>
      </w:pPr>
      <w:r>
        <w:rPr>
          <w:rFonts w:ascii="Arial" w:cs="Arial" w:eastAsia="Arial" w:hAnsi="Arial"/>
          <w:b/>
          <w:bCs/>
          <w:color w:val="0B1F4B"/>
          <w:sz w:val="24"/>
          <w:szCs w:val="24"/>
        </w:rPr>
        <w:t xml:space="preserve">Use Case Examples</w:t>
      </w:r>
    </w:p>
    <w:p>
      <w:pPr>
        <w:pStyle w:val="ListParagraph"/>
        <w:numPr>
          <w:ilvl w:val="0"/>
          <w:numId w:val="2"/>
        </w:numPr>
        <w:spacing w:before="40" w:after="40"/>
      </w:pPr>
      <w:r>
        <w:rPr>
          <w:rFonts w:ascii="Arial" w:cs="Arial" w:eastAsia="Arial" w:hAnsi="Arial"/>
          <w:color w:val="374151"/>
          <w:sz w:val="21"/>
          <w:szCs w:val="21"/>
        </w:rPr>
        <w:t xml:space="preserve">A tech company publishes 12 internship positions with full project scope descriptions — qualified candidates self-select based on actual project details, improving application quality and reducing unqualified applications by 40%.</w:t>
      </w:r>
    </w:p>
    <w:p>
      <w:pPr>
        <w:pStyle w:val="ListParagraph"/>
        <w:numPr>
          <w:ilvl w:val="0"/>
          <w:numId w:val="2"/>
        </w:numPr>
        <w:spacing w:before="40" w:after="40"/>
      </w:pPr>
      <w:r>
        <w:rPr>
          <w:rFonts w:ascii="Arial" w:cs="Arial" w:eastAsia="Arial" w:hAnsi="Arial"/>
          <w:color w:val="374151"/>
          <w:sz w:val="21"/>
          <w:szCs w:val="21"/>
        </w:rPr>
        <w:t xml:space="preserve">An intern's 60-day review logged by their supervisor shows exceptional performance. The platform surfaces this record automatically when the PPO decision round opens — the offer decision is made in 10 minutes.</w:t>
      </w:r>
    </w:p>
    <w:p>
      <w:pPr>
        <w:pStyle w:val="ListParagraph"/>
        <w:numPr>
          <w:ilvl w:val="0"/>
          <w:numId w:val="2"/>
        </w:numPr>
        <w:spacing w:before="40" w:after="40"/>
      </w:pPr>
      <w:r>
        <w:rPr>
          <w:rFonts w:ascii="Arial" w:cs="Arial" w:eastAsia="Arial" w:hAnsi="Arial"/>
          <w:color w:val="374151"/>
          <w:sz w:val="21"/>
          <w:szCs w:val="21"/>
        </w:rPr>
        <w:t xml:space="preserve">A company's conversion report shows that interns from Institution A have a 78% PPO acceptance rate while those from Institution B have only 31% — informing next year's institution prioritisation strategy.</w:t>
      </w:r>
    </w:p>
    <w:p>
      <w:pPr>
        <w:spacing w:before="80" w:after="0"/>
      </w:pPr>
      <w:r>
        <w:t xml:space="preserve"/>
      </w:r>
    </w:p>
    <w:p>
      <w:pPr>
        <w:pBdr>
          <w:bottom w:val="single" w:color="059669" w:sz="3" w:space="1"/>
        </w:pBdr>
        <w:spacing w:before="80" w:after="80"/>
      </w:pPr>
      <w:r>
        <w:t xml:space="preserve"/>
      </w:r>
    </w:p>
    <w:p>
      <w:pPr>
        <w:spacing w:before="40" w:after="0"/>
      </w:pPr>
      <w:r>
        <w:t xml:space="preserve"/>
      </w:r>
    </w:p>
    <w:p>
      <w:pPr>
        <w:spacing w:before="120" w:after="80"/>
      </w:pPr>
      <w:r>
        <w:rPr>
          <w:rFonts w:ascii="Arial" w:cs="Arial" w:eastAsia="Arial" w:hAnsi="Arial"/>
          <w:b/>
          <w:bCs/>
          <w:color w:val="6B7280"/>
          <w:sz w:val="28"/>
          <w:szCs w:val="28"/>
        </w:rPr>
        <w:t xml:space="preserve">Feature 7.6  </w:t>
      </w:r>
      <w:r>
        <w:rPr>
          <w:rFonts w:ascii="Arial" w:cs="Arial" w:eastAsia="Arial" w:hAnsi="Arial"/>
          <w:b/>
          <w:bCs/>
          <w:color w:val="0B1F4B"/>
          <w:sz w:val="28"/>
          <w:szCs w:val="28"/>
        </w:rPr>
        <w:t xml:space="preserve">Hackathon-Based Hiring</w:t>
      </w:r>
    </w:p>
    <w:p>
      <w:pPr>
        <w:spacing w:before="0" w:after="60"/>
      </w:pPr>
      <w:r>
        <w:rPr>
          <w:rFonts w:ascii="Arial" w:cs="Arial" w:eastAsia="Arial" w:hAnsi="Arial"/>
          <w:b/>
          <w:bCs/>
          <w:color w:val="059669"/>
          <w:sz w:val="21"/>
          <w:szCs w:val="21"/>
        </w:rPr>
        <w:t xml:space="preserve">Mechanism:  </w:t>
      </w:r>
      <w:r>
        <w:rPr>
          <w:rFonts w:ascii="Arial" w:cs="Arial" w:eastAsia="Arial" w:hAnsi="Arial"/>
          <w:color w:val="374151"/>
          <w:sz w:val="21"/>
          <w:szCs w:val="21"/>
        </w:rPr>
        <w:t xml:space="preserve">Competition-Integrated Hiring Pipeline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4"/>
              <w:left w:val="single" w:color="065F46" w:sz="8"/>
              <w:bottom w:val="single" w:color="A7F3D0" w:sz="1"/>
              <w:right w:val="single" w:color="A7F3D0" w:sz="1"/>
            </w:tcBorders>
            <w:shd w:fill="D1FAE5" w:val="clear"/>
            <w:tcMar>
              <w:top w:type="dxa" w:w="120"/>
              <w:left w:type="dxa" w:w="200"/>
              <w:bottom w:type="dxa" w:w="120"/>
              <w:right w:type="dxa" w:w="160"/>
            </w:tcMar>
          </w:tcPr>
          <w:p>
            <w:r>
              <w:rPr>
                <w:rFonts w:ascii="Arial" w:cs="Arial" w:eastAsia="Arial" w:hAnsi="Arial"/>
                <w:b/>
                <w:bCs/>
                <w:color w:val="065F46"/>
                <w:sz w:val="20"/>
                <w:szCs w:val="20"/>
              </w:rPr>
              <w:t xml:space="preserve">Purpose:  </w:t>
            </w:r>
            <w:r>
              <w:rPr>
                <w:rFonts w:ascii="Arial" w:cs="Arial" w:eastAsia="Arial" w:hAnsi="Arial"/>
                <w:color w:val="374151"/>
                <w:sz w:val="20"/>
                <w:szCs w:val="20"/>
              </w:rPr>
              <w:t xml:space="preserve">Use hackathons as the primary hiring filter to identify problem-solvers and builders under real-world conditions.</w:t>
            </w:r>
          </w:p>
        </w:tc>
      </w:tr>
    </w:tbl>
    <w:p>
      <w:pPr>
        <w:spacing w:before="120" w:after="0"/>
      </w:pPr>
      <w:r>
        <w:t xml:space="preserve"/>
      </w:r>
    </w:p>
    <w:p>
      <w:pPr>
        <w:pStyle w:val="Heading2"/>
        <w:spacing w:before="220" w:after="80"/>
      </w:pPr>
      <w:r>
        <w:rPr>
          <w:rFonts w:ascii="Arial" w:cs="Arial" w:eastAsia="Arial" w:hAnsi="Arial"/>
          <w:b/>
          <w:bCs/>
          <w:color w:val="0B1F4B"/>
          <w:sz w:val="24"/>
          <w:szCs w:val="24"/>
        </w:rPr>
        <w:t xml:space="preserve">Overview</w:t>
      </w:r>
    </w:p>
    <w:p>
      <w:pPr>
        <w:spacing w:before="0" w:after="140"/>
      </w:pPr>
      <w:r>
        <w:rPr>
          <w:rFonts w:ascii="Arial" w:cs="Arial" w:eastAsia="Arial" w:hAnsi="Arial"/>
          <w:color w:val="374151"/>
          <w:sz w:val="21"/>
          <w:szCs w:val="21"/>
        </w:rPr>
        <w:t xml:space="preserve">Hackathon-Based Hiring transforms the traditional hackathon from a brand engagement event into a primary hiring pipeline. Rather than hosting hackathons separately from hiring and then hoping participants apply for open roles, this feature directly connects hackathon performance to hiring outcomes — allowing recruiters to observe candidates building real solutions under time pressure before making any hiring decision.</w:t>
      </w:r>
    </w:p>
    <w:p>
      <w:pPr>
        <w:pStyle w:val="Heading2"/>
        <w:spacing w:before="220" w:after="80"/>
      </w:pPr>
      <w:r>
        <w:rPr>
          <w:rFonts w:ascii="Arial" w:cs="Arial" w:eastAsia="Arial" w:hAnsi="Arial"/>
          <w:b/>
          <w:bCs/>
          <w:color w:val="0B1F4B"/>
          <w:sz w:val="24"/>
          <w:szCs w:val="24"/>
        </w:rPr>
        <w:t xml:space="preserve">Detailed Description</w:t>
      </w:r>
    </w:p>
    <w:p>
      <w:pPr>
        <w:spacing w:before="0" w:after="140"/>
      </w:pPr>
      <w:r>
        <w:rPr>
          <w:rFonts w:ascii="Arial" w:cs="Arial" w:eastAsia="Arial" w:hAnsi="Arial"/>
          <w:color w:val="374151"/>
          <w:sz w:val="21"/>
          <w:szCs w:val="21"/>
        </w:rPr>
        <w:t xml:space="preserve">A hackathon hiring campaign begins with the creation of a Hackathon Event on the EcoSkiller platform. The event configuration includes theme and problem statement library, team formation rules (solo or team of 2–4), eligibility criteria (institution, degree, graduation year, skill prerequisites), judging criteria and weightings, prize structure, and — critically — the connected hiring programme that outstanding performers will be automatically channelled into.</w:t>
      </w:r>
    </w:p>
    <w:p>
      <w:pPr>
        <w:spacing w:before="0" w:after="140"/>
      </w:pPr>
      <w:r>
        <w:rPr>
          <w:rFonts w:ascii="Arial" w:cs="Arial" w:eastAsia="Arial" w:hAnsi="Arial"/>
          <w:color w:val="374151"/>
          <w:sz w:val="21"/>
          <w:szCs w:val="21"/>
        </w:rPr>
        <w:t xml:space="preserve">The hackathon platform provides teams with a virtual workspace: a shared code repository, a project documentation interface, a real-time collaboration environment, and a submission portal where teams submit their final product, source code, and a 3-minute video demo. All submissions are timestamped and the submission record is immutable — preventing last-minute replacement of work. Judges (company employees, platform mentors, or AI evaluation for technical criteria) score submissions against the published rubric.</w:t>
      </w:r>
    </w:p>
    <w:p>
      <w:pPr>
        <w:spacing w:before="0" w:after="140"/>
      </w:pPr>
      <w:r>
        <w:rPr>
          <w:rFonts w:ascii="Arial" w:cs="Arial" w:eastAsia="Arial" w:hAnsi="Arial"/>
          <w:color w:val="374151"/>
          <w:sz w:val="21"/>
          <w:szCs w:val="21"/>
        </w:rPr>
        <w:t xml:space="preserve">The Hire Pipeline Integration is the critical differentiator. Recruiters can configure a performance threshold — for example, 'Top 20 teams are automatically moved to the Fast-Track Interview Pipeline for [Job Role].' Shortlisted teams receive a hiring track notification alongside their hackathon result, and the platform transitions them directly into the structured interview pipeline without requiring a separate job application. This dramatically reduces friction and captures highly motivated candidates at their peak interest moment — immediately after a positive competitive experience.</w:t>
      </w:r>
    </w:p>
    <w:p>
      <w:pPr>
        <w:pStyle w:val="Heading2"/>
        <w:spacing w:before="220" w:after="80"/>
      </w:pPr>
      <w:r>
        <w:rPr>
          <w:rFonts w:ascii="Arial" w:cs="Arial" w:eastAsia="Arial" w:hAnsi="Arial"/>
          <w:b/>
          <w:bCs/>
          <w:color w:val="0B1F4B"/>
          <w:sz w:val="24"/>
          <w:szCs w:val="24"/>
        </w:rPr>
        <w:t xml:space="preserve">Feature Attributes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7F3D0" w:sz="1"/>
              <w:left w:val="single" w:color="A7F3D0" w:sz="1"/>
              <w:bottom w:val="single" w:color="A7F3D0" w:sz="1"/>
              <w:right w:val="single" w:color="A7F3D0"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Attribute</w:t>
            </w:r>
          </w:p>
        </w:tc>
        <w:tc>
          <w:tcPr>
            <w:tcW w:type="dxa" w:w="6560"/>
            <w:tcBorders>
              <w:top w:val="single" w:color="A7F3D0" w:sz="1"/>
              <w:left w:val="single" w:color="A7F3D0" w:sz="1"/>
              <w:bottom w:val="single" w:color="A7F3D0" w:sz="1"/>
              <w:right w:val="single" w:color="A7F3D0"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Specification &amp; Behaviour</w:t>
            </w:r>
          </w:p>
        </w:tc>
      </w:tr>
      <w:tr>
        <w:tc>
          <w:tcPr>
            <w:tcW w:type="dxa" w:w="28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65F46"/>
                <w:sz w:val="20"/>
                <w:szCs w:val="20"/>
              </w:rPr>
              <w:t xml:space="preserve">Event Setup</w:t>
            </w:r>
          </w:p>
        </w:tc>
        <w:tc>
          <w:tcPr>
            <w:tcW w:type="dxa" w:w="656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Theme, problem statements, team rules, eligibility, judging criteria, prizes, hiring link</w:t>
            </w:r>
          </w:p>
        </w:tc>
      </w:tr>
      <w:tr>
        <w:tc>
          <w:tcPr>
            <w:tcW w:type="dxa" w:w="280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bCs/>
                <w:color w:val="065F46"/>
                <w:sz w:val="20"/>
                <w:szCs w:val="20"/>
              </w:rPr>
              <w:t xml:space="preserve">Virtual Workspace</w:t>
            </w:r>
          </w:p>
        </w:tc>
        <w:tc>
          <w:tcPr>
            <w:tcW w:type="dxa" w:w="656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Shared repository, documentation, real-time collaboration, submission portal</w:t>
            </w:r>
          </w:p>
        </w:tc>
      </w:tr>
      <w:tr>
        <w:tc>
          <w:tcPr>
            <w:tcW w:type="dxa" w:w="28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65F46"/>
                <w:sz w:val="20"/>
                <w:szCs w:val="20"/>
              </w:rPr>
              <w:t xml:space="preserve">Submission Record</w:t>
            </w:r>
          </w:p>
        </w:tc>
        <w:tc>
          <w:tcPr>
            <w:tcW w:type="dxa" w:w="656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Timestamped, immutable submission with code, documentation, and video demo</w:t>
            </w:r>
          </w:p>
        </w:tc>
      </w:tr>
      <w:tr>
        <w:tc>
          <w:tcPr>
            <w:tcW w:type="dxa" w:w="280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bCs/>
                <w:color w:val="065F46"/>
                <w:sz w:val="20"/>
                <w:szCs w:val="20"/>
              </w:rPr>
              <w:t xml:space="preserve">Judging Modes</w:t>
            </w:r>
          </w:p>
        </w:tc>
        <w:tc>
          <w:tcPr>
            <w:tcW w:type="dxa" w:w="656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Company judges / EcoSkiller mentors / AI technical evaluation / hybrid</w:t>
            </w:r>
          </w:p>
        </w:tc>
      </w:tr>
      <w:tr>
        <w:tc>
          <w:tcPr>
            <w:tcW w:type="dxa" w:w="28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65F46"/>
                <w:sz w:val="20"/>
                <w:szCs w:val="20"/>
              </w:rPr>
              <w:t xml:space="preserve">Hire Threshold</w:t>
            </w:r>
          </w:p>
        </w:tc>
        <w:tc>
          <w:tcPr>
            <w:tcW w:type="dxa" w:w="656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Configurable performance cutoff for automatic pipeline entry</w:t>
            </w:r>
          </w:p>
        </w:tc>
      </w:tr>
      <w:tr>
        <w:tc>
          <w:tcPr>
            <w:tcW w:type="dxa" w:w="280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bCs/>
                <w:color w:val="065F46"/>
                <w:sz w:val="20"/>
                <w:szCs w:val="20"/>
              </w:rPr>
              <w:t xml:space="preserve">Pipeline Integration</w:t>
            </w:r>
          </w:p>
        </w:tc>
        <w:tc>
          <w:tcPr>
            <w:tcW w:type="dxa" w:w="656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Top performers transitioned directly into interview pipeline — no separate application</w:t>
            </w:r>
          </w:p>
        </w:tc>
      </w:tr>
      <w:tr>
        <w:tc>
          <w:tcPr>
            <w:tcW w:type="dxa" w:w="28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65F46"/>
                <w:sz w:val="20"/>
                <w:szCs w:val="20"/>
              </w:rPr>
              <w:t xml:space="preserve">Team-to-Individual</w:t>
            </w:r>
          </w:p>
        </w:tc>
        <w:tc>
          <w:tcPr>
            <w:tcW w:type="dxa" w:w="656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Individual member profiles within shortlisted teams are surfaced for individual evaluation</w:t>
            </w:r>
          </w:p>
        </w:tc>
      </w:tr>
    </w:tbl>
    <w:p>
      <w:pPr>
        <w:spacing w:before="160" w:after="0"/>
      </w:pPr>
      <w:r>
        <w:t xml:space="preserve"/>
      </w:r>
    </w:p>
    <w:p>
      <w:pPr>
        <w:pStyle w:val="Heading2"/>
        <w:spacing w:before="220" w:after="80"/>
      </w:pPr>
      <w:r>
        <w:rPr>
          <w:rFonts w:ascii="Arial" w:cs="Arial" w:eastAsia="Arial" w:hAnsi="Arial"/>
          <w:b/>
          <w:bCs/>
          <w:color w:val="0B1F4B"/>
          <w:sz w:val="24"/>
          <w:szCs w:val="24"/>
        </w:rPr>
        <w:t xml:space="preserve">Use Case Examples</w:t>
      </w:r>
    </w:p>
    <w:p>
      <w:pPr>
        <w:pStyle w:val="ListParagraph"/>
        <w:numPr>
          <w:ilvl w:val="0"/>
          <w:numId w:val="2"/>
        </w:numPr>
        <w:spacing w:before="40" w:after="40"/>
      </w:pPr>
      <w:r>
        <w:rPr>
          <w:rFonts w:ascii="Arial" w:cs="Arial" w:eastAsia="Arial" w:hAnsi="Arial"/>
          <w:color w:val="374151"/>
          <w:sz w:val="21"/>
          <w:szCs w:val="21"/>
        </w:rPr>
        <w:t xml:space="preserve">A startup hosts a 48-hour FinTech hackathon. The top 15 teams are automatically moved to the Fast-Track Interview Pipeline for Backend Engineer roles — candidates go from hackathon submission to first interview in 72 hours.</w:t>
      </w:r>
    </w:p>
    <w:p>
      <w:pPr>
        <w:pStyle w:val="ListParagraph"/>
        <w:numPr>
          <w:ilvl w:val="0"/>
          <w:numId w:val="2"/>
        </w:numPr>
        <w:spacing w:before="40" w:after="40"/>
      </w:pPr>
      <w:r>
        <w:rPr>
          <w:rFonts w:ascii="Arial" w:cs="Arial" w:eastAsia="Arial" w:hAnsi="Arial"/>
          <w:color w:val="374151"/>
          <w:sz w:val="21"/>
          <w:szCs w:val="21"/>
        </w:rPr>
        <w:t xml:space="preserve">An MNC uses a hackathon as Stage 1 of their Graduate Trainee selection — replacing the traditional aptitude test with a product-building challenge that better reflects the actual work candidates will do.</w:t>
      </w:r>
    </w:p>
    <w:p>
      <w:pPr>
        <w:pStyle w:val="ListParagraph"/>
        <w:numPr>
          <w:ilvl w:val="0"/>
          <w:numId w:val="2"/>
        </w:numPr>
        <w:spacing w:before="40" w:after="40"/>
      </w:pPr>
      <w:r>
        <w:rPr>
          <w:rFonts w:ascii="Arial" w:cs="Arial" w:eastAsia="Arial" w:hAnsi="Arial"/>
          <w:color w:val="374151"/>
          <w:sz w:val="21"/>
          <w:szCs w:val="21"/>
        </w:rPr>
        <w:t xml:space="preserve">A recruiter reviews individual profiles within a top-performing team — identifying that one team member drove 80% of the technical implementation and prioritising that individual for senior-track consideration.</w:t>
      </w:r>
    </w:p>
    <w:p>
      <w:pPr>
        <w:spacing w:before="80" w:after="0"/>
      </w:pPr>
      <w:r>
        <w:t xml:space="preserve"/>
      </w:r>
    </w:p>
    <w:p>
      <w:pPr>
        <w:pBdr>
          <w:bottom w:val="single" w:color="059669" w:sz="3" w:space="1"/>
        </w:pBdr>
        <w:spacing w:before="80" w:after="80"/>
      </w:pPr>
      <w:r>
        <w:t xml:space="preserve"/>
      </w:r>
    </w:p>
    <w:p>
      <w:pPr>
        <w:spacing w:before="40" w:after="0"/>
      </w:pPr>
      <w:r>
        <w:t xml:space="preserve"/>
      </w:r>
    </w:p>
    <w:p>
      <w:pPr>
        <w:spacing w:before="120" w:after="80"/>
      </w:pPr>
      <w:r>
        <w:rPr>
          <w:rFonts w:ascii="Arial" w:cs="Arial" w:eastAsia="Arial" w:hAnsi="Arial"/>
          <w:b/>
          <w:bCs/>
          <w:color w:val="6B7280"/>
          <w:sz w:val="28"/>
          <w:szCs w:val="28"/>
        </w:rPr>
        <w:t xml:space="preserve">Feature 7.7  </w:t>
      </w:r>
      <w:r>
        <w:rPr>
          <w:rFonts w:ascii="Arial" w:cs="Arial" w:eastAsia="Arial" w:hAnsi="Arial"/>
          <w:b/>
          <w:bCs/>
          <w:color w:val="0B1F4B"/>
          <w:sz w:val="28"/>
          <w:szCs w:val="28"/>
        </w:rPr>
        <w:t xml:space="preserve">Coding Challenge Recruitment</w:t>
      </w:r>
    </w:p>
    <w:p>
      <w:pPr>
        <w:spacing w:before="0" w:after="60"/>
      </w:pPr>
      <w:r>
        <w:rPr>
          <w:rFonts w:ascii="Arial" w:cs="Arial" w:eastAsia="Arial" w:hAnsi="Arial"/>
          <w:b/>
          <w:bCs/>
          <w:color w:val="059669"/>
          <w:sz w:val="21"/>
          <w:szCs w:val="21"/>
        </w:rPr>
        <w:t xml:space="preserve">Mechanism:  </w:t>
      </w:r>
      <w:r>
        <w:rPr>
          <w:rFonts w:ascii="Arial" w:cs="Arial" w:eastAsia="Arial" w:hAnsi="Arial"/>
          <w:color w:val="374151"/>
          <w:sz w:val="21"/>
          <w:szCs w:val="21"/>
        </w:rPr>
        <w:t xml:space="preserve">Skill-Specific Challenge Funnels with Auto-Shortlisting</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4"/>
              <w:left w:val="single" w:color="065F46" w:sz="8"/>
              <w:bottom w:val="single" w:color="A7F3D0" w:sz="1"/>
              <w:right w:val="single" w:color="A7F3D0" w:sz="1"/>
            </w:tcBorders>
            <w:shd w:fill="D1FAE5" w:val="clear"/>
            <w:tcMar>
              <w:top w:type="dxa" w:w="120"/>
              <w:left w:type="dxa" w:w="200"/>
              <w:bottom w:type="dxa" w:w="120"/>
              <w:right w:type="dxa" w:w="160"/>
            </w:tcMar>
          </w:tcPr>
          <w:p>
            <w:r>
              <w:rPr>
                <w:rFonts w:ascii="Arial" w:cs="Arial" w:eastAsia="Arial" w:hAnsi="Arial"/>
                <w:b/>
                <w:bCs/>
                <w:color w:val="065F46"/>
                <w:sz w:val="20"/>
                <w:szCs w:val="20"/>
              </w:rPr>
              <w:t xml:space="preserve">Purpose:  </w:t>
            </w:r>
            <w:r>
              <w:rPr>
                <w:rFonts w:ascii="Arial" w:cs="Arial" w:eastAsia="Arial" w:hAnsi="Arial"/>
                <w:color w:val="374151"/>
                <w:sz w:val="20"/>
                <w:szCs w:val="20"/>
              </w:rPr>
              <w:t xml:space="preserve">Use targeted coding challenges as the primary technical screening layer for engineering roles.</w:t>
            </w:r>
          </w:p>
        </w:tc>
      </w:tr>
    </w:tbl>
    <w:p>
      <w:pPr>
        <w:spacing w:before="120" w:after="0"/>
      </w:pPr>
      <w:r>
        <w:t xml:space="preserve"/>
      </w:r>
    </w:p>
    <w:p>
      <w:pPr>
        <w:pStyle w:val="Heading2"/>
        <w:spacing w:before="220" w:after="80"/>
      </w:pPr>
      <w:r>
        <w:rPr>
          <w:rFonts w:ascii="Arial" w:cs="Arial" w:eastAsia="Arial" w:hAnsi="Arial"/>
          <w:b/>
          <w:bCs/>
          <w:color w:val="0B1F4B"/>
          <w:sz w:val="24"/>
          <w:szCs w:val="24"/>
        </w:rPr>
        <w:t xml:space="preserve">Overview</w:t>
      </w:r>
    </w:p>
    <w:p>
      <w:pPr>
        <w:spacing w:before="0" w:after="140"/>
      </w:pPr>
      <w:r>
        <w:rPr>
          <w:rFonts w:ascii="Arial" w:cs="Arial" w:eastAsia="Arial" w:hAnsi="Arial"/>
          <w:color w:val="374151"/>
          <w:sz w:val="21"/>
          <w:szCs w:val="21"/>
        </w:rPr>
        <w:t xml:space="preserve">Coding Challenge Recruitment deploys structured technical challenges as the first substantive screening stage in the engineering hiring funnel. It replaces generic resume screening for technical roles with an objective, skill-specific performance test — ensuring that candidates who advance to interview stages have demonstrated actual coding ability on the platform.</w:t>
      </w:r>
    </w:p>
    <w:p>
      <w:pPr>
        <w:pStyle w:val="Heading2"/>
        <w:spacing w:before="220" w:after="80"/>
      </w:pPr>
      <w:r>
        <w:rPr>
          <w:rFonts w:ascii="Arial" w:cs="Arial" w:eastAsia="Arial" w:hAnsi="Arial"/>
          <w:b/>
          <w:bCs/>
          <w:color w:val="0B1F4B"/>
          <w:sz w:val="24"/>
          <w:szCs w:val="24"/>
        </w:rPr>
        <w:t xml:space="preserve">Detailed Description</w:t>
      </w:r>
    </w:p>
    <w:p>
      <w:pPr>
        <w:spacing w:before="0" w:after="140"/>
      </w:pPr>
      <w:r>
        <w:rPr>
          <w:rFonts w:ascii="Arial" w:cs="Arial" w:eastAsia="Arial" w:hAnsi="Arial"/>
          <w:color w:val="374151"/>
          <w:sz w:val="21"/>
          <w:szCs w:val="21"/>
        </w:rPr>
        <w:t xml:space="preserve">Coding Challenge Recruitment campaigns are built around a Challenge Set — a curated collection of 3–8 problems that collectively test the specific skills required for the target role. The EcoSkiller problem library contains 50,000+ categorised problems spanning data structures, algorithms, system design, database queries, front-end implementation, and domain-specific challenges. Recruiters can select problems from this library or compose custom problems using the platform's problem editor.</w:t>
      </w:r>
    </w:p>
    <w:p>
      <w:pPr>
        <w:spacing w:before="0" w:after="140"/>
      </w:pPr>
      <w:r>
        <w:rPr>
          <w:rFonts w:ascii="Arial" w:cs="Arial" w:eastAsia="Arial" w:hAnsi="Arial"/>
          <w:color w:val="374151"/>
          <w:sz w:val="21"/>
          <w:szCs w:val="21"/>
        </w:rPr>
        <w:t xml:space="preserve">Challenge difficulty is calibrated to role requirements. An entry-level software engineering challenge set might include 2 easy problems, 1 medium problem, and 1 hard problem — testing foundational ability with upside for exceptional candidates. A senior engineering challenge might include 1 medium problem and 3 hard problems plus a system design component. The platform's historical performance data on each problem enables accurate difficulty prediction and expected completion time estimation.</w:t>
      </w:r>
    </w:p>
    <w:p>
      <w:pPr>
        <w:spacing w:before="0" w:after="140"/>
      </w:pPr>
      <w:r>
        <w:rPr>
          <w:rFonts w:ascii="Arial" w:cs="Arial" w:eastAsia="Arial" w:hAnsi="Arial"/>
          <w:color w:val="374151"/>
          <w:sz w:val="21"/>
          <w:szCs w:val="21"/>
        </w:rPr>
        <w:t xml:space="preserve">Auto-Shortlisting Rules convert challenge performance directly into hiring pipeline decisions without requiring manual recruiter review of every submission. Recruiters configure rules such as: 'Candidates who solve 3 of 4 problems within 90 minutes AND score above 80 percentile are automatically moved to the phone screen stage.' Candidates who do not meet the threshold receive an automated, respectful rejection notification. This automation reduces recruiter screening time by 85–90% for high-volume technical roles while maintaining high precision in shortlist quality.</w:t>
      </w:r>
    </w:p>
    <w:p>
      <w:pPr>
        <w:pStyle w:val="Heading2"/>
        <w:spacing w:before="220" w:after="80"/>
      </w:pPr>
      <w:r>
        <w:rPr>
          <w:rFonts w:ascii="Arial" w:cs="Arial" w:eastAsia="Arial" w:hAnsi="Arial"/>
          <w:b/>
          <w:bCs/>
          <w:color w:val="0B1F4B"/>
          <w:sz w:val="24"/>
          <w:szCs w:val="24"/>
        </w:rPr>
        <w:t xml:space="preserve">Feature Attributes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7F3D0" w:sz="1"/>
              <w:left w:val="single" w:color="A7F3D0" w:sz="1"/>
              <w:bottom w:val="single" w:color="A7F3D0" w:sz="1"/>
              <w:right w:val="single" w:color="A7F3D0"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Attribute</w:t>
            </w:r>
          </w:p>
        </w:tc>
        <w:tc>
          <w:tcPr>
            <w:tcW w:type="dxa" w:w="6560"/>
            <w:tcBorders>
              <w:top w:val="single" w:color="A7F3D0" w:sz="1"/>
              <w:left w:val="single" w:color="A7F3D0" w:sz="1"/>
              <w:bottom w:val="single" w:color="A7F3D0" w:sz="1"/>
              <w:right w:val="single" w:color="A7F3D0"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Specification &amp; Behaviour</w:t>
            </w:r>
          </w:p>
        </w:tc>
      </w:tr>
      <w:tr>
        <w:tc>
          <w:tcPr>
            <w:tcW w:type="dxa" w:w="28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65F46"/>
                <w:sz w:val="20"/>
                <w:szCs w:val="20"/>
              </w:rPr>
              <w:t xml:space="preserve">Problem Library</w:t>
            </w:r>
          </w:p>
        </w:tc>
        <w:tc>
          <w:tcPr>
            <w:tcW w:type="dxa" w:w="656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50,000+ problems across DSA, algorithms, system design, SQL, frontend, domain-specific</w:t>
            </w:r>
          </w:p>
        </w:tc>
      </w:tr>
      <w:tr>
        <w:tc>
          <w:tcPr>
            <w:tcW w:type="dxa" w:w="280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bCs/>
                <w:color w:val="065F46"/>
                <w:sz w:val="20"/>
                <w:szCs w:val="20"/>
              </w:rPr>
              <w:t xml:space="preserve">Challenge Set</w:t>
            </w:r>
          </w:p>
        </w:tc>
        <w:tc>
          <w:tcPr>
            <w:tcW w:type="dxa" w:w="656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3–8 problems per challenge; custom problem composition supported</w:t>
            </w:r>
          </w:p>
        </w:tc>
      </w:tr>
      <w:tr>
        <w:tc>
          <w:tcPr>
            <w:tcW w:type="dxa" w:w="28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65F46"/>
                <w:sz w:val="20"/>
                <w:szCs w:val="20"/>
              </w:rPr>
              <w:t xml:space="preserve">Difficulty Tiers</w:t>
            </w:r>
          </w:p>
        </w:tc>
        <w:tc>
          <w:tcPr>
            <w:tcW w:type="dxa" w:w="656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Easy / Medium / Hard / Expert with calibrated expected solve times</w:t>
            </w:r>
          </w:p>
        </w:tc>
      </w:tr>
      <w:tr>
        <w:tc>
          <w:tcPr>
            <w:tcW w:type="dxa" w:w="280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bCs/>
                <w:color w:val="065F46"/>
                <w:sz w:val="20"/>
                <w:szCs w:val="20"/>
              </w:rPr>
              <w:t xml:space="preserve">Auto-Shortlisting</w:t>
            </w:r>
          </w:p>
        </w:tc>
        <w:tc>
          <w:tcPr>
            <w:tcW w:type="dxa" w:w="656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Rule-based automatic pipeline advancement based on solve count, score, and percentile</w:t>
            </w:r>
          </w:p>
        </w:tc>
      </w:tr>
      <w:tr>
        <w:tc>
          <w:tcPr>
            <w:tcW w:type="dxa" w:w="28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65F46"/>
                <w:sz w:val="20"/>
                <w:szCs w:val="20"/>
              </w:rPr>
              <w:t xml:space="preserve">Percentile Scoring</w:t>
            </w:r>
          </w:p>
        </w:tc>
        <w:tc>
          <w:tcPr>
            <w:tcW w:type="dxa" w:w="656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Performance scored relative to all candidates who have attempted same problems</w:t>
            </w:r>
          </w:p>
        </w:tc>
      </w:tr>
      <w:tr>
        <w:tc>
          <w:tcPr>
            <w:tcW w:type="dxa" w:w="280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bCs/>
                <w:color w:val="065F46"/>
                <w:sz w:val="20"/>
                <w:szCs w:val="20"/>
              </w:rPr>
              <w:t xml:space="preserve">Time Constraints</w:t>
            </w:r>
          </w:p>
        </w:tc>
        <w:tc>
          <w:tcPr>
            <w:tcW w:type="dxa" w:w="656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Per-problem and overall challenge time limits configurable</w:t>
            </w:r>
          </w:p>
        </w:tc>
      </w:tr>
      <w:tr>
        <w:tc>
          <w:tcPr>
            <w:tcW w:type="dxa" w:w="28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65F46"/>
                <w:sz w:val="20"/>
                <w:szCs w:val="20"/>
              </w:rPr>
              <w:t xml:space="preserve">Anti-Cheat Layer</w:t>
            </w:r>
          </w:p>
        </w:tc>
        <w:tc>
          <w:tcPr>
            <w:tcW w:type="dxa" w:w="656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Integrated with Module 6 code plagiarism and cheating detection</w:t>
            </w:r>
          </w:p>
        </w:tc>
      </w:tr>
    </w:tbl>
    <w:p>
      <w:pPr>
        <w:spacing w:before="160" w:after="0"/>
      </w:pPr>
      <w:r>
        <w:t xml:space="preserve"/>
      </w:r>
    </w:p>
    <w:p>
      <w:pPr>
        <w:pStyle w:val="Heading2"/>
        <w:spacing w:before="220" w:after="80"/>
      </w:pPr>
      <w:r>
        <w:rPr>
          <w:rFonts w:ascii="Arial" w:cs="Arial" w:eastAsia="Arial" w:hAnsi="Arial"/>
          <w:b/>
          <w:bCs/>
          <w:color w:val="0B1F4B"/>
          <w:sz w:val="24"/>
          <w:szCs w:val="24"/>
        </w:rPr>
        <w:t xml:space="preserve">Use Case Examples</w:t>
      </w:r>
    </w:p>
    <w:p>
      <w:pPr>
        <w:pStyle w:val="ListParagraph"/>
        <w:numPr>
          <w:ilvl w:val="0"/>
          <w:numId w:val="2"/>
        </w:numPr>
        <w:spacing w:before="40" w:after="40"/>
      </w:pPr>
      <w:r>
        <w:rPr>
          <w:rFonts w:ascii="Arial" w:cs="Arial" w:eastAsia="Arial" w:hAnsi="Arial"/>
          <w:color w:val="374151"/>
          <w:sz w:val="21"/>
          <w:szCs w:val="21"/>
        </w:rPr>
        <w:t xml:space="preserve">A company sends a 4-problem coding challenge to 2,400 campus applicants. Auto-shortlisting rules advance 186 candidates who solved 3+ problems above the 70th percentile — zero manual review required.</w:t>
      </w:r>
    </w:p>
    <w:p>
      <w:pPr>
        <w:pStyle w:val="ListParagraph"/>
        <w:numPr>
          <w:ilvl w:val="0"/>
          <w:numId w:val="2"/>
        </w:numPr>
        <w:spacing w:before="40" w:after="40"/>
      </w:pPr>
      <w:r>
        <w:rPr>
          <w:rFonts w:ascii="Arial" w:cs="Arial" w:eastAsia="Arial" w:hAnsi="Arial"/>
          <w:color w:val="374151"/>
          <w:sz w:val="21"/>
          <w:szCs w:val="21"/>
        </w:rPr>
        <w:t xml:space="preserve">A recruiter for a senior backend role composes a custom challenge with a database design problem and a distributed systems question not available in the standard library — testing specific architectural thinking.</w:t>
      </w:r>
    </w:p>
    <w:p>
      <w:pPr>
        <w:pStyle w:val="ListParagraph"/>
        <w:numPr>
          <w:ilvl w:val="0"/>
          <w:numId w:val="2"/>
        </w:numPr>
        <w:spacing w:before="40" w:after="40"/>
      </w:pPr>
      <w:r>
        <w:rPr>
          <w:rFonts w:ascii="Arial" w:cs="Arial" w:eastAsia="Arial" w:hAnsi="Arial"/>
          <w:color w:val="374151"/>
          <w:sz w:val="21"/>
          <w:szCs w:val="21"/>
        </w:rPr>
        <w:t xml:space="preserve">Challenge performance data shows that Problem 3 (a graph traversal problem) has an unexpectedly low solve rate among the target cohort — the recruiter replaces it with a better-calibrated problem for the next batch.</w:t>
      </w:r>
    </w:p>
    <w:p>
      <w:pPr>
        <w:spacing w:before="80" w:after="0"/>
      </w:pPr>
      <w:r>
        <w:t xml:space="preserve"/>
      </w:r>
    </w:p>
    <w:p>
      <w:pPr>
        <w:pBdr>
          <w:bottom w:val="single" w:color="059669" w:sz="3" w:space="1"/>
        </w:pBdr>
        <w:spacing w:before="80" w:after="80"/>
      </w:pPr>
      <w:r>
        <w:t xml:space="preserve"/>
      </w:r>
    </w:p>
    <w:p>
      <w:pPr>
        <w:spacing w:before="40" w:after="0"/>
      </w:pPr>
      <w:r>
        <w:t xml:space="preserve"/>
      </w:r>
    </w:p>
    <w:p>
      <w:pPr>
        <w:spacing w:before="120" w:after="80"/>
      </w:pPr>
      <w:r>
        <w:rPr>
          <w:rFonts w:ascii="Arial" w:cs="Arial" w:eastAsia="Arial" w:hAnsi="Arial"/>
          <w:b/>
          <w:bCs/>
          <w:color w:val="6B7280"/>
          <w:sz w:val="28"/>
          <w:szCs w:val="28"/>
        </w:rPr>
        <w:t xml:space="preserve">Feature 7.8  </w:t>
      </w:r>
      <w:r>
        <w:rPr>
          <w:rFonts w:ascii="Arial" w:cs="Arial" w:eastAsia="Arial" w:hAnsi="Arial"/>
          <w:b/>
          <w:bCs/>
          <w:color w:val="0B1F4B"/>
          <w:sz w:val="28"/>
          <w:szCs w:val="28"/>
        </w:rPr>
        <w:t xml:space="preserve">Pre-Placement Offers (PPO)</w:t>
      </w:r>
    </w:p>
    <w:p>
      <w:pPr>
        <w:spacing w:before="0" w:after="60"/>
      </w:pPr>
      <w:r>
        <w:rPr>
          <w:rFonts w:ascii="Arial" w:cs="Arial" w:eastAsia="Arial" w:hAnsi="Arial"/>
          <w:b/>
          <w:bCs/>
          <w:color w:val="059669"/>
          <w:sz w:val="21"/>
          <w:szCs w:val="21"/>
        </w:rPr>
        <w:t xml:space="preserve">Mechanism:  </w:t>
      </w:r>
      <w:r>
        <w:rPr>
          <w:rFonts w:ascii="Arial" w:cs="Arial" w:eastAsia="Arial" w:hAnsi="Arial"/>
          <w:color w:val="374151"/>
          <w:sz w:val="21"/>
          <w:szCs w:val="21"/>
        </w:rPr>
        <w:t xml:space="preserve">Intern Performance → Offer Decision Workflow</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4"/>
              <w:left w:val="single" w:color="065F46" w:sz="8"/>
              <w:bottom w:val="single" w:color="A7F3D0" w:sz="1"/>
              <w:right w:val="single" w:color="A7F3D0" w:sz="1"/>
            </w:tcBorders>
            <w:shd w:fill="D1FAE5" w:val="clear"/>
            <w:tcMar>
              <w:top w:type="dxa" w:w="120"/>
              <w:left w:type="dxa" w:w="200"/>
              <w:bottom w:type="dxa" w:w="120"/>
              <w:right w:type="dxa" w:w="160"/>
            </w:tcMar>
          </w:tcPr>
          <w:p>
            <w:r>
              <w:rPr>
                <w:rFonts w:ascii="Arial" w:cs="Arial" w:eastAsia="Arial" w:hAnsi="Arial"/>
                <w:b/>
                <w:bCs/>
                <w:color w:val="065F46"/>
                <w:sz w:val="20"/>
                <w:szCs w:val="20"/>
              </w:rPr>
              <w:t xml:space="preserve">Purpose:  </w:t>
            </w:r>
            <w:r>
              <w:rPr>
                <w:rFonts w:ascii="Arial" w:cs="Arial" w:eastAsia="Arial" w:hAnsi="Arial"/>
                <w:color w:val="374151"/>
                <w:sz w:val="20"/>
                <w:szCs w:val="20"/>
              </w:rPr>
              <w:t xml:space="preserve">Convert high-performing interns into confirmed full-time employees before they enter the open job market.</w:t>
            </w:r>
          </w:p>
        </w:tc>
      </w:tr>
    </w:tbl>
    <w:p>
      <w:pPr>
        <w:spacing w:before="120" w:after="0"/>
      </w:pPr>
      <w:r>
        <w:t xml:space="preserve"/>
      </w:r>
    </w:p>
    <w:p>
      <w:pPr>
        <w:pStyle w:val="Heading2"/>
        <w:spacing w:before="220" w:after="80"/>
      </w:pPr>
      <w:r>
        <w:rPr>
          <w:rFonts w:ascii="Arial" w:cs="Arial" w:eastAsia="Arial" w:hAnsi="Arial"/>
          <w:b/>
          <w:bCs/>
          <w:color w:val="0B1F4B"/>
          <w:sz w:val="24"/>
          <w:szCs w:val="24"/>
        </w:rPr>
        <w:t xml:space="preserve">Overview</w:t>
      </w:r>
    </w:p>
    <w:p>
      <w:pPr>
        <w:spacing w:before="0" w:after="140"/>
      </w:pPr>
      <w:r>
        <w:rPr>
          <w:rFonts w:ascii="Arial" w:cs="Arial" w:eastAsia="Arial" w:hAnsi="Arial"/>
          <w:color w:val="374151"/>
          <w:sz w:val="21"/>
          <w:szCs w:val="21"/>
        </w:rPr>
        <w:t xml:space="preserve">Pre-Placement Offers (PPOs) are full-time job offers extended to interns before the formal campus placement season begins. They represent the highest-conviction hiring decision a company makes — based on months of observed performance rather than hours of interview impressions. EcoSkiller's PPO module manages the full lifecycle from performance documentation through offer extension and acceptance tracking.</w:t>
      </w:r>
    </w:p>
    <w:p>
      <w:pPr>
        <w:pStyle w:val="Heading2"/>
        <w:spacing w:before="220" w:after="80"/>
      </w:pPr>
      <w:r>
        <w:rPr>
          <w:rFonts w:ascii="Arial" w:cs="Arial" w:eastAsia="Arial" w:hAnsi="Arial"/>
          <w:b/>
          <w:bCs/>
          <w:color w:val="0B1F4B"/>
          <w:sz w:val="24"/>
          <w:szCs w:val="24"/>
        </w:rPr>
        <w:t xml:space="preserve">Detailed Description</w:t>
      </w:r>
    </w:p>
    <w:p>
      <w:pPr>
        <w:spacing w:before="0" w:after="140"/>
      </w:pPr>
      <w:r>
        <w:rPr>
          <w:rFonts w:ascii="Arial" w:cs="Arial" w:eastAsia="Arial" w:hAnsi="Arial"/>
          <w:color w:val="374151"/>
          <w:sz w:val="21"/>
          <w:szCs w:val="21"/>
        </w:rPr>
        <w:t xml:space="preserve">The PPO decision workflow begins when an internship period is nearing completion (configurable trigger: 2 weeks before internship end date). The platform sends a PPO Review Initiation notification to the intern's supervisor and to the HR team. The supervisor accesses the intern's consolidated performance record — all checkpoint ratings, project contributions, and qualitative feedback logged during the internship period — and submits a PPO Recommendation (Recommend / Conditionally Recommend / Do Not Recommend) with written justification.</w:t>
      </w:r>
    </w:p>
    <w:p>
      <w:pPr>
        <w:spacing w:before="0" w:after="140"/>
      </w:pPr>
      <w:r>
        <w:rPr>
          <w:rFonts w:ascii="Arial" w:cs="Arial" w:eastAsia="Arial" w:hAnsi="Arial"/>
          <w:color w:val="374151"/>
          <w:sz w:val="21"/>
          <w:szCs w:val="21"/>
        </w:rPr>
        <w:t xml:space="preserve">HR reviews the supervisor recommendation alongside the intern's EcoSkiller profile, platform performance data, and any other assessment records accumulated during the internship. A PPO Approval Workflow routes the decision through the required approvers (typically HR Manager and Department Head) with configurable SLA timers that escalate if approvals are delayed. Approved PPOs trigger an automated offer letter generation using the company's PPO offer template, pre-populated with the candidate's name, role, compensation, joining date, and any conditions (graduation requirement, minimum CGPA).</w:t>
      </w:r>
    </w:p>
    <w:p>
      <w:pPr>
        <w:spacing w:before="0" w:after="140"/>
      </w:pPr>
      <w:r>
        <w:rPr>
          <w:rFonts w:ascii="Arial" w:cs="Arial" w:eastAsia="Arial" w:hAnsi="Arial"/>
          <w:color w:val="374151"/>
          <w:sz w:val="21"/>
          <w:szCs w:val="21"/>
        </w:rPr>
        <w:t xml:space="preserve">The candidate receives the offer through the EcoSkiller platform with a secure acceptance/declination interface. The acceptance deadline is configurable (typically 7–21 days). The platform sends automated reminders to the candidate as the deadline approaches. Upon acceptance, the candidate's status in the company's hiring system is updated to 'PPO Accepted', and the candidate's EcoSkiller profile is flagged as 'Placed — [Company Name]', preventing other companies from making redundant outreach.</w:t>
      </w:r>
    </w:p>
    <w:p>
      <w:pPr>
        <w:pStyle w:val="Heading2"/>
        <w:spacing w:before="220" w:after="80"/>
      </w:pPr>
      <w:r>
        <w:rPr>
          <w:rFonts w:ascii="Arial" w:cs="Arial" w:eastAsia="Arial" w:hAnsi="Arial"/>
          <w:b/>
          <w:bCs/>
          <w:color w:val="0B1F4B"/>
          <w:sz w:val="24"/>
          <w:szCs w:val="24"/>
        </w:rPr>
        <w:t xml:space="preserve">Feature Attributes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7F3D0" w:sz="1"/>
              <w:left w:val="single" w:color="A7F3D0" w:sz="1"/>
              <w:bottom w:val="single" w:color="A7F3D0" w:sz="1"/>
              <w:right w:val="single" w:color="A7F3D0"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Attribute</w:t>
            </w:r>
          </w:p>
        </w:tc>
        <w:tc>
          <w:tcPr>
            <w:tcW w:type="dxa" w:w="6560"/>
            <w:tcBorders>
              <w:top w:val="single" w:color="A7F3D0" w:sz="1"/>
              <w:left w:val="single" w:color="A7F3D0" w:sz="1"/>
              <w:bottom w:val="single" w:color="A7F3D0" w:sz="1"/>
              <w:right w:val="single" w:color="A7F3D0"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Specification &amp; Behaviour</w:t>
            </w:r>
          </w:p>
        </w:tc>
      </w:tr>
      <w:tr>
        <w:tc>
          <w:tcPr>
            <w:tcW w:type="dxa" w:w="28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65F46"/>
                <w:sz w:val="20"/>
                <w:szCs w:val="20"/>
              </w:rPr>
              <w:t xml:space="preserve">Review Trigger</w:t>
            </w:r>
          </w:p>
        </w:tc>
        <w:tc>
          <w:tcPr>
            <w:tcW w:type="dxa" w:w="656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Configurable: 1 / 2 / 4 weeks before internship end date</w:t>
            </w:r>
          </w:p>
        </w:tc>
      </w:tr>
      <w:tr>
        <w:tc>
          <w:tcPr>
            <w:tcW w:type="dxa" w:w="280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bCs/>
                <w:color w:val="065F46"/>
                <w:sz w:val="20"/>
                <w:szCs w:val="20"/>
              </w:rPr>
              <w:t xml:space="preserve">Performance Record</w:t>
            </w:r>
          </w:p>
        </w:tc>
        <w:tc>
          <w:tcPr>
            <w:tcW w:type="dxa" w:w="656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All checkpoint ratings, project notes, and qualitative feedback consolidated</w:t>
            </w:r>
          </w:p>
        </w:tc>
      </w:tr>
      <w:tr>
        <w:tc>
          <w:tcPr>
            <w:tcW w:type="dxa" w:w="28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65F46"/>
                <w:sz w:val="20"/>
                <w:szCs w:val="20"/>
              </w:rPr>
              <w:t xml:space="preserve">Supervisor Rating</w:t>
            </w:r>
          </w:p>
        </w:tc>
        <w:tc>
          <w:tcPr>
            <w:tcW w:type="dxa" w:w="656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Recommend / Conditionally Recommend / Do Not Recommend with written justification</w:t>
            </w:r>
          </w:p>
        </w:tc>
      </w:tr>
      <w:tr>
        <w:tc>
          <w:tcPr>
            <w:tcW w:type="dxa" w:w="280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bCs/>
                <w:color w:val="065F46"/>
                <w:sz w:val="20"/>
                <w:szCs w:val="20"/>
              </w:rPr>
              <w:t xml:space="preserve">Approval Workflow</w:t>
            </w:r>
          </w:p>
        </w:tc>
        <w:tc>
          <w:tcPr>
            <w:tcW w:type="dxa" w:w="656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Configurable multi-approver chain with SLA timers and escalation</w:t>
            </w:r>
          </w:p>
        </w:tc>
      </w:tr>
      <w:tr>
        <w:tc>
          <w:tcPr>
            <w:tcW w:type="dxa" w:w="28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65F46"/>
                <w:sz w:val="20"/>
                <w:szCs w:val="20"/>
              </w:rPr>
              <w:t xml:space="preserve">Offer Generation</w:t>
            </w:r>
          </w:p>
        </w:tc>
        <w:tc>
          <w:tcPr>
            <w:tcW w:type="dxa" w:w="656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Automated offer letter from company template with auto-populated fields</w:t>
            </w:r>
          </w:p>
        </w:tc>
      </w:tr>
      <w:tr>
        <w:tc>
          <w:tcPr>
            <w:tcW w:type="dxa" w:w="280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bCs/>
                <w:color w:val="065F46"/>
                <w:sz w:val="20"/>
                <w:szCs w:val="20"/>
              </w:rPr>
              <w:t xml:space="preserve">Acceptance Deadline</w:t>
            </w:r>
          </w:p>
        </w:tc>
        <w:tc>
          <w:tcPr>
            <w:tcW w:type="dxa" w:w="656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Configurable acceptance window (7–21 days) with automated reminders</w:t>
            </w:r>
          </w:p>
        </w:tc>
      </w:tr>
      <w:tr>
        <w:tc>
          <w:tcPr>
            <w:tcW w:type="dxa" w:w="28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65F46"/>
                <w:sz w:val="20"/>
                <w:szCs w:val="20"/>
              </w:rPr>
              <w:t xml:space="preserve">Placed Status</w:t>
            </w:r>
          </w:p>
        </w:tc>
        <w:tc>
          <w:tcPr>
            <w:tcW w:type="dxa" w:w="656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Accepted PPO candidates flagged as Placed — prevents redundant outreach from other companies</w:t>
            </w:r>
          </w:p>
        </w:tc>
      </w:tr>
    </w:tbl>
    <w:p>
      <w:pPr>
        <w:spacing w:before="160" w:after="0"/>
      </w:pPr>
      <w:r>
        <w:t xml:space="preserve"/>
      </w:r>
    </w:p>
    <w:p>
      <w:pPr>
        <w:pStyle w:val="Heading2"/>
        <w:spacing w:before="220" w:after="80"/>
      </w:pPr>
      <w:r>
        <w:rPr>
          <w:rFonts w:ascii="Arial" w:cs="Arial" w:eastAsia="Arial" w:hAnsi="Arial"/>
          <w:b/>
          <w:bCs/>
          <w:color w:val="0B1F4B"/>
          <w:sz w:val="24"/>
          <w:szCs w:val="24"/>
        </w:rPr>
        <w:t xml:space="preserve">Use Case Examples</w:t>
      </w:r>
    </w:p>
    <w:p>
      <w:pPr>
        <w:pStyle w:val="ListParagraph"/>
        <w:numPr>
          <w:ilvl w:val="0"/>
          <w:numId w:val="2"/>
        </w:numPr>
        <w:spacing w:before="40" w:after="40"/>
      </w:pPr>
      <w:r>
        <w:rPr>
          <w:rFonts w:ascii="Arial" w:cs="Arial" w:eastAsia="Arial" w:hAnsi="Arial"/>
          <w:color w:val="374151"/>
          <w:sz w:val="21"/>
          <w:szCs w:val="21"/>
        </w:rPr>
        <w:t xml:space="preserve">An intern's 90-day review shows exceptional performance. The supervisor submits a PPO Recommendation, the HR Manager approves in 4 hours, and the candidate receives a formal offer letter on the platform — all within 1 working day.</w:t>
      </w:r>
    </w:p>
    <w:p>
      <w:pPr>
        <w:pStyle w:val="ListParagraph"/>
        <w:numPr>
          <w:ilvl w:val="0"/>
          <w:numId w:val="2"/>
        </w:numPr>
        <w:spacing w:before="40" w:after="40"/>
      </w:pPr>
      <w:r>
        <w:rPr>
          <w:rFonts w:ascii="Arial" w:cs="Arial" w:eastAsia="Arial" w:hAnsi="Arial"/>
          <w:color w:val="374151"/>
          <w:sz w:val="21"/>
          <w:szCs w:val="21"/>
        </w:rPr>
        <w:t xml:space="preserve">A PPO approval has been in the Department Head's queue for 5 days without action. The system automatically escalates to the VP of Engineering — preventing the candidate from entering the open market due to internal delay.</w:t>
      </w:r>
    </w:p>
    <w:p>
      <w:pPr>
        <w:pStyle w:val="ListParagraph"/>
        <w:numPr>
          <w:ilvl w:val="0"/>
          <w:numId w:val="2"/>
        </w:numPr>
        <w:spacing w:before="40" w:after="40"/>
      </w:pPr>
      <w:r>
        <w:rPr>
          <w:rFonts w:ascii="Arial" w:cs="Arial" w:eastAsia="Arial" w:hAnsi="Arial"/>
          <w:color w:val="374151"/>
          <w:sz w:val="21"/>
          <w:szCs w:val="21"/>
        </w:rPr>
        <w:t xml:space="preserve">A candidate accepts a PPO. Their EcoSkiller profile is immediately updated to 'Placed — [Company]' — the 3 other companies that had shortlisted them see the status update and remove them from active pipelines without awkward outreach.</w:t>
      </w:r>
    </w:p>
    <w:p>
      <w:pPr>
        <w:spacing w:before="80" w:after="0"/>
      </w:pPr>
      <w:r>
        <w:t xml:space="preserve"/>
      </w:r>
    </w:p>
    <w:p>
      <w:pPr>
        <w:pBdr>
          <w:bottom w:val="single" w:color="059669" w:sz="3" w:space="1"/>
        </w:pBdr>
        <w:spacing w:before="80" w:after="80"/>
      </w:pPr>
      <w:r>
        <w:t xml:space="preserve"/>
      </w:r>
    </w:p>
    <w:p>
      <w:pPr>
        <w:spacing w:before="40" w:after="0"/>
      </w:pPr>
      <w:r>
        <w:t xml:space="preserve"/>
      </w:r>
    </w:p>
    <w:p>
      <w:pPr>
        <w:spacing w:before="120" w:after="80"/>
      </w:pPr>
      <w:r>
        <w:rPr>
          <w:rFonts w:ascii="Arial" w:cs="Arial" w:eastAsia="Arial" w:hAnsi="Arial"/>
          <w:b/>
          <w:bCs/>
          <w:color w:val="6B7280"/>
          <w:sz w:val="28"/>
          <w:szCs w:val="28"/>
        </w:rPr>
        <w:t xml:space="preserve">Feature 7.9  </w:t>
      </w:r>
      <w:r>
        <w:rPr>
          <w:rFonts w:ascii="Arial" w:cs="Arial" w:eastAsia="Arial" w:hAnsi="Arial"/>
          <w:b/>
          <w:bCs/>
          <w:color w:val="0B1F4B"/>
          <w:sz w:val="28"/>
          <w:szCs w:val="28"/>
        </w:rPr>
        <w:t xml:space="preserve">Campus Event Scheduling</w:t>
      </w:r>
    </w:p>
    <w:p>
      <w:pPr>
        <w:spacing w:before="0" w:after="60"/>
      </w:pPr>
      <w:r>
        <w:rPr>
          <w:rFonts w:ascii="Arial" w:cs="Arial" w:eastAsia="Arial" w:hAnsi="Arial"/>
          <w:b/>
          <w:bCs/>
          <w:color w:val="059669"/>
          <w:sz w:val="21"/>
          <w:szCs w:val="21"/>
        </w:rPr>
        <w:t xml:space="preserve">Mechanism:  </w:t>
      </w:r>
      <w:r>
        <w:rPr>
          <w:rFonts w:ascii="Arial" w:cs="Arial" w:eastAsia="Arial" w:hAnsi="Arial"/>
          <w:color w:val="374151"/>
          <w:sz w:val="21"/>
          <w:szCs w:val="21"/>
        </w:rPr>
        <w:t xml:space="preserve">Integrated Calendar + Multi-Stakeholder Coordination Engine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4"/>
              <w:left w:val="single" w:color="065F46" w:sz="8"/>
              <w:bottom w:val="single" w:color="A7F3D0" w:sz="1"/>
              <w:right w:val="single" w:color="A7F3D0" w:sz="1"/>
            </w:tcBorders>
            <w:shd w:fill="D1FAE5" w:val="clear"/>
            <w:tcMar>
              <w:top w:type="dxa" w:w="120"/>
              <w:left w:type="dxa" w:w="200"/>
              <w:bottom w:type="dxa" w:w="120"/>
              <w:right w:type="dxa" w:w="160"/>
            </w:tcMar>
          </w:tcPr>
          <w:p>
            <w:r>
              <w:rPr>
                <w:rFonts w:ascii="Arial" w:cs="Arial" w:eastAsia="Arial" w:hAnsi="Arial"/>
                <w:b/>
                <w:bCs/>
                <w:color w:val="065F46"/>
                <w:sz w:val="20"/>
                <w:szCs w:val="20"/>
              </w:rPr>
              <w:t xml:space="preserve">Purpose:  </w:t>
            </w:r>
            <w:r>
              <w:rPr>
                <w:rFonts w:ascii="Arial" w:cs="Arial" w:eastAsia="Arial" w:hAnsi="Arial"/>
                <w:color w:val="374151"/>
                <w:sz w:val="20"/>
                <w:szCs w:val="20"/>
              </w:rPr>
              <w:t xml:space="preserve">Coordinate all campus event logistics — across companies, institutions, and students — from a single scheduling interface.</w:t>
            </w:r>
          </w:p>
        </w:tc>
      </w:tr>
    </w:tbl>
    <w:p>
      <w:pPr>
        <w:spacing w:before="120" w:after="0"/>
      </w:pPr>
      <w:r>
        <w:t xml:space="preserve"/>
      </w:r>
    </w:p>
    <w:p>
      <w:pPr>
        <w:pStyle w:val="Heading2"/>
        <w:spacing w:before="220" w:after="80"/>
      </w:pPr>
      <w:r>
        <w:rPr>
          <w:rFonts w:ascii="Arial" w:cs="Arial" w:eastAsia="Arial" w:hAnsi="Arial"/>
          <w:b/>
          <w:bCs/>
          <w:color w:val="0B1F4B"/>
          <w:sz w:val="24"/>
          <w:szCs w:val="24"/>
        </w:rPr>
        <w:t xml:space="preserve">Overview</w:t>
      </w:r>
    </w:p>
    <w:p>
      <w:pPr>
        <w:spacing w:before="0" w:after="140"/>
      </w:pPr>
      <w:r>
        <w:rPr>
          <w:rFonts w:ascii="Arial" w:cs="Arial" w:eastAsia="Arial" w:hAnsi="Arial"/>
          <w:color w:val="374151"/>
          <w:sz w:val="21"/>
          <w:szCs w:val="21"/>
        </w:rPr>
        <w:t xml:space="preserve">Campus Event Scheduling is the logistics coordination layer that manages the calendar complexity of campus hiring — where multiple companies, multiple institutions, multiple departments, and thousands of students must be coordinated into a coherent, conflict-free schedule across a compressed placement season.</w:t>
      </w:r>
    </w:p>
    <w:p>
      <w:pPr>
        <w:pStyle w:val="Heading2"/>
        <w:spacing w:before="220" w:after="80"/>
      </w:pPr>
      <w:r>
        <w:rPr>
          <w:rFonts w:ascii="Arial" w:cs="Arial" w:eastAsia="Arial" w:hAnsi="Arial"/>
          <w:b/>
          <w:bCs/>
          <w:color w:val="0B1F4B"/>
          <w:sz w:val="24"/>
          <w:szCs w:val="24"/>
        </w:rPr>
        <w:t xml:space="preserve">Detailed Description</w:t>
      </w:r>
    </w:p>
    <w:p>
      <w:pPr>
        <w:spacing w:before="0" w:after="140"/>
      </w:pPr>
      <w:r>
        <w:rPr>
          <w:rFonts w:ascii="Arial" w:cs="Arial" w:eastAsia="Arial" w:hAnsi="Arial"/>
          <w:color w:val="374151"/>
          <w:sz w:val="21"/>
          <w:szCs w:val="21"/>
        </w:rPr>
        <w:t xml:space="preserve">The scheduling engine maintains a unified calendar that integrates three separate calendars: the Company Calendar (company team availability, other hiring commitments, interview panel schedules), the Institution Calendar (T&amp;P office events, academic holidays, exam schedules, other company drive dates) and the Student Calendar (registered student availability, other company application deadlines, academic submission dates). The engine automatically detects and flags conflicts when a proposed event clashes with any element in any of the three calendars.</w:t>
      </w:r>
    </w:p>
    <w:p>
      <w:pPr>
        <w:spacing w:before="0" w:after="140"/>
      </w:pPr>
      <w:r>
        <w:rPr>
          <w:rFonts w:ascii="Arial" w:cs="Arial" w:eastAsia="Arial" w:hAnsi="Arial"/>
          <w:color w:val="374151"/>
          <w:sz w:val="21"/>
          <w:szCs w:val="21"/>
        </w:rPr>
        <w:t xml:space="preserve">For multi-day or multi-session campus drives, the scheduling engine generates a complete Day-of-Drive Timeline — a minute-by-minute schedule covering all stages from student registration check-in through aptitude test, coding round, lunch break, interview panel sessions, and result announcement. This timeline is automatically distributed to all stakeholders: the company's visiting team receives their personalised schedule, the T&amp;P coordinator receives the full institutional schedule with room allocations, and registered students receive their personalised session schedule with reporting times.</w:t>
      </w:r>
    </w:p>
    <w:p>
      <w:pPr>
        <w:spacing w:before="0" w:after="140"/>
      </w:pPr>
      <w:r>
        <w:rPr>
          <w:rFonts w:ascii="Arial" w:cs="Arial" w:eastAsia="Arial" w:hAnsi="Arial"/>
          <w:color w:val="374151"/>
          <w:sz w:val="21"/>
          <w:szCs w:val="21"/>
        </w:rPr>
        <w:t xml:space="preserve">Virtual event scheduling handles remote campus drives with equal sophistication. Online assessment windows are scheduled with staggered start times to reduce server load, virtual interview rooms are created and distributed automatically, and timezone-adjusted schedules are generated for institutions in different time zones. Automated reminders are sent to students at 24 hours, 2 hours, and 30 minutes before each session.</w:t>
      </w:r>
    </w:p>
    <w:p>
      <w:pPr>
        <w:pStyle w:val="Heading2"/>
        <w:spacing w:before="220" w:after="80"/>
      </w:pPr>
      <w:r>
        <w:rPr>
          <w:rFonts w:ascii="Arial" w:cs="Arial" w:eastAsia="Arial" w:hAnsi="Arial"/>
          <w:b/>
          <w:bCs/>
          <w:color w:val="0B1F4B"/>
          <w:sz w:val="24"/>
          <w:szCs w:val="24"/>
        </w:rPr>
        <w:t xml:space="preserve">Feature Attributes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7F3D0" w:sz="1"/>
              <w:left w:val="single" w:color="A7F3D0" w:sz="1"/>
              <w:bottom w:val="single" w:color="A7F3D0" w:sz="1"/>
              <w:right w:val="single" w:color="A7F3D0"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Attribute</w:t>
            </w:r>
          </w:p>
        </w:tc>
        <w:tc>
          <w:tcPr>
            <w:tcW w:type="dxa" w:w="6560"/>
            <w:tcBorders>
              <w:top w:val="single" w:color="A7F3D0" w:sz="1"/>
              <w:left w:val="single" w:color="A7F3D0" w:sz="1"/>
              <w:bottom w:val="single" w:color="A7F3D0" w:sz="1"/>
              <w:right w:val="single" w:color="A7F3D0"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Specification &amp; Behaviour</w:t>
            </w:r>
          </w:p>
        </w:tc>
      </w:tr>
      <w:tr>
        <w:tc>
          <w:tcPr>
            <w:tcW w:type="dxa" w:w="28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65F46"/>
                <w:sz w:val="20"/>
                <w:szCs w:val="20"/>
              </w:rPr>
              <w:t xml:space="preserve">Calendar Integration</w:t>
            </w:r>
          </w:p>
        </w:tc>
        <w:tc>
          <w:tcPr>
            <w:tcW w:type="dxa" w:w="656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Company, institution, and student calendars unified — conflicts auto-detected</w:t>
            </w:r>
          </w:p>
        </w:tc>
      </w:tr>
      <w:tr>
        <w:tc>
          <w:tcPr>
            <w:tcW w:type="dxa" w:w="280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bCs/>
                <w:color w:val="065F46"/>
                <w:sz w:val="20"/>
                <w:szCs w:val="20"/>
              </w:rPr>
              <w:t xml:space="preserve">Day-of-Drive Timeline</w:t>
            </w:r>
          </w:p>
        </w:tc>
        <w:tc>
          <w:tcPr>
            <w:tcW w:type="dxa" w:w="656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Minute-by-minute schedule generated and distributed to all stakeholders</w:t>
            </w:r>
          </w:p>
        </w:tc>
      </w:tr>
      <w:tr>
        <w:tc>
          <w:tcPr>
            <w:tcW w:type="dxa" w:w="28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65F46"/>
                <w:sz w:val="20"/>
                <w:szCs w:val="20"/>
              </w:rPr>
              <w:t xml:space="preserve">Room Allocation</w:t>
            </w:r>
          </w:p>
        </w:tc>
        <w:tc>
          <w:tcPr>
            <w:tcW w:type="dxa" w:w="656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Facility booking requests auto-generated and sent to T&amp;P coordinator</w:t>
            </w:r>
          </w:p>
        </w:tc>
      </w:tr>
      <w:tr>
        <w:tc>
          <w:tcPr>
            <w:tcW w:type="dxa" w:w="280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bCs/>
                <w:color w:val="065F46"/>
                <w:sz w:val="20"/>
                <w:szCs w:val="20"/>
              </w:rPr>
              <w:t xml:space="preserve">Personalised Schedule</w:t>
            </w:r>
          </w:p>
        </w:tc>
        <w:tc>
          <w:tcPr>
            <w:tcW w:type="dxa" w:w="656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Each student receives individual schedule with their specific session times and locations</w:t>
            </w:r>
          </w:p>
        </w:tc>
      </w:tr>
      <w:tr>
        <w:tc>
          <w:tcPr>
            <w:tcW w:type="dxa" w:w="28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65F46"/>
                <w:sz w:val="20"/>
                <w:szCs w:val="20"/>
              </w:rPr>
              <w:t xml:space="preserve">Virtual Support</w:t>
            </w:r>
          </w:p>
        </w:tc>
        <w:tc>
          <w:tcPr>
            <w:tcW w:type="dxa" w:w="656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Online assessment windows, virtual interview rooms, timezone-adjusted schedules</w:t>
            </w:r>
          </w:p>
        </w:tc>
      </w:tr>
      <w:tr>
        <w:tc>
          <w:tcPr>
            <w:tcW w:type="dxa" w:w="280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bCs/>
                <w:color w:val="065F46"/>
                <w:sz w:val="20"/>
                <w:szCs w:val="20"/>
              </w:rPr>
              <w:t xml:space="preserve">Reminder Automation</w:t>
            </w:r>
          </w:p>
        </w:tc>
        <w:tc>
          <w:tcPr>
            <w:tcW w:type="dxa" w:w="656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Automated reminders at 24h, 2h, and 30m before each session</w:t>
            </w:r>
          </w:p>
        </w:tc>
      </w:tr>
      <w:tr>
        <w:tc>
          <w:tcPr>
            <w:tcW w:type="dxa" w:w="28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65F46"/>
                <w:sz w:val="20"/>
                <w:szCs w:val="20"/>
              </w:rPr>
              <w:t xml:space="preserve">Real-Time Updates</w:t>
            </w:r>
          </w:p>
        </w:tc>
        <w:tc>
          <w:tcPr>
            <w:tcW w:type="dxa" w:w="656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Last-minute changes propagated to all stakeholders within seconds</w:t>
            </w:r>
          </w:p>
        </w:tc>
      </w:tr>
    </w:tbl>
    <w:p>
      <w:pPr>
        <w:spacing w:before="160" w:after="0"/>
      </w:pPr>
      <w:r>
        <w:t xml:space="preserve"/>
      </w:r>
    </w:p>
    <w:p>
      <w:pPr>
        <w:pStyle w:val="Heading2"/>
        <w:spacing w:before="220" w:after="80"/>
      </w:pPr>
      <w:r>
        <w:rPr>
          <w:rFonts w:ascii="Arial" w:cs="Arial" w:eastAsia="Arial" w:hAnsi="Arial"/>
          <w:b/>
          <w:bCs/>
          <w:color w:val="0B1F4B"/>
          <w:sz w:val="24"/>
          <w:szCs w:val="24"/>
        </w:rPr>
        <w:t xml:space="preserve">Use Case Examples</w:t>
      </w:r>
    </w:p>
    <w:p>
      <w:pPr>
        <w:pStyle w:val="ListParagraph"/>
        <w:numPr>
          <w:ilvl w:val="0"/>
          <w:numId w:val="2"/>
        </w:numPr>
        <w:spacing w:before="40" w:after="40"/>
      </w:pPr>
      <w:r>
        <w:rPr>
          <w:rFonts w:ascii="Arial" w:cs="Arial" w:eastAsia="Arial" w:hAnsi="Arial"/>
          <w:color w:val="374151"/>
          <w:sz w:val="21"/>
          <w:szCs w:val="21"/>
        </w:rPr>
        <w:t xml:space="preserve">A recruiter proposes a campus drive date for a specific NIT. The scheduling engine detects that the date clashes with the institution's end-semester exams and suggests 3 conflict-free alternative dates.</w:t>
      </w:r>
    </w:p>
    <w:p>
      <w:pPr>
        <w:pStyle w:val="ListParagraph"/>
        <w:numPr>
          <w:ilvl w:val="0"/>
          <w:numId w:val="2"/>
        </w:numPr>
        <w:spacing w:before="40" w:after="40"/>
      </w:pPr>
      <w:r>
        <w:rPr>
          <w:rFonts w:ascii="Arial" w:cs="Arial" w:eastAsia="Arial" w:hAnsi="Arial"/>
          <w:color w:val="374151"/>
          <w:sz w:val="21"/>
          <w:szCs w:val="21"/>
        </w:rPr>
        <w:t xml:space="preserve">On drive day at a college, the Day-of-Drive Timeline shows that 40 students are registered for Interview Panel 3 but only 3 interview slots are scheduled — the recruiter immediately adds 2 additional interview panels to prevent a bottleneck.</w:t>
      </w:r>
    </w:p>
    <w:p>
      <w:pPr>
        <w:pStyle w:val="ListParagraph"/>
        <w:numPr>
          <w:ilvl w:val="0"/>
          <w:numId w:val="2"/>
        </w:numPr>
        <w:spacing w:before="40" w:after="40"/>
      </w:pPr>
      <w:r>
        <w:rPr>
          <w:rFonts w:ascii="Arial" w:cs="Arial" w:eastAsia="Arial" w:hAnsi="Arial"/>
          <w:color w:val="374151"/>
          <w:sz w:val="21"/>
          <w:szCs w:val="21"/>
        </w:rPr>
        <w:t xml:space="preserve">A mid-drive schedule change (one interviewer cancels) is updated in the platform — all 12 students assigned to that panel receive a reschedule notification within 60 seconds, with new room and time assignments.</w:t>
      </w:r>
    </w:p>
    <w:p>
      <w:pPr>
        <w:spacing w:before="80" w:after="0"/>
      </w:pPr>
      <w:r>
        <w:t xml:space="preserve"/>
      </w:r>
    </w:p>
    <w:p>
      <w:pPr>
        <w:pBdr>
          <w:bottom w:val="single" w:color="059669" w:sz="3" w:space="1"/>
        </w:pBdr>
        <w:spacing w:before="80" w:after="80"/>
      </w:pPr>
      <w:r>
        <w:t xml:space="preserve"/>
      </w:r>
    </w:p>
    <w:p>
      <w:pPr>
        <w:spacing w:before="40" w:after="0"/>
      </w:pPr>
      <w:r>
        <w:t xml:space="preserve"/>
      </w:r>
    </w:p>
    <w:p>
      <w:pPr>
        <w:spacing w:before="120" w:after="80"/>
      </w:pPr>
      <w:r>
        <w:rPr>
          <w:rFonts w:ascii="Arial" w:cs="Arial" w:eastAsia="Arial" w:hAnsi="Arial"/>
          <w:b/>
          <w:bCs/>
          <w:color w:val="6B7280"/>
          <w:sz w:val="28"/>
          <w:szCs w:val="28"/>
        </w:rPr>
        <w:t xml:space="preserve">Feature 7.10  </w:t>
      </w:r>
      <w:r>
        <w:rPr>
          <w:rFonts w:ascii="Arial" w:cs="Arial" w:eastAsia="Arial" w:hAnsi="Arial"/>
          <w:b/>
          <w:bCs/>
          <w:color w:val="0B1F4B"/>
          <w:sz w:val="28"/>
          <w:szCs w:val="28"/>
        </w:rPr>
        <w:t xml:space="preserve">University Talent Analytics</w:t>
      </w:r>
    </w:p>
    <w:p>
      <w:pPr>
        <w:spacing w:before="0" w:after="60"/>
      </w:pPr>
      <w:r>
        <w:rPr>
          <w:rFonts w:ascii="Arial" w:cs="Arial" w:eastAsia="Arial" w:hAnsi="Arial"/>
          <w:b/>
          <w:bCs/>
          <w:color w:val="059669"/>
          <w:sz w:val="21"/>
          <w:szCs w:val="21"/>
        </w:rPr>
        <w:t xml:space="preserve">Mechanism:  </w:t>
      </w:r>
      <w:r>
        <w:rPr>
          <w:rFonts w:ascii="Arial" w:cs="Arial" w:eastAsia="Arial" w:hAnsi="Arial"/>
          <w:color w:val="374151"/>
          <w:sz w:val="21"/>
          <w:szCs w:val="21"/>
        </w:rPr>
        <w:t xml:space="preserve">Institution-Level Performance Intelligence Dashboard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4"/>
              <w:left w:val="single" w:color="065F46" w:sz="8"/>
              <w:bottom w:val="single" w:color="A7F3D0" w:sz="1"/>
              <w:right w:val="single" w:color="A7F3D0" w:sz="1"/>
            </w:tcBorders>
            <w:shd w:fill="D1FAE5" w:val="clear"/>
            <w:tcMar>
              <w:top w:type="dxa" w:w="120"/>
              <w:left w:type="dxa" w:w="200"/>
              <w:bottom w:type="dxa" w:w="120"/>
              <w:right w:type="dxa" w:w="160"/>
            </w:tcMar>
          </w:tcPr>
          <w:p>
            <w:r>
              <w:rPr>
                <w:rFonts w:ascii="Arial" w:cs="Arial" w:eastAsia="Arial" w:hAnsi="Arial"/>
                <w:b/>
                <w:bCs/>
                <w:color w:val="065F46"/>
                <w:sz w:val="20"/>
                <w:szCs w:val="20"/>
              </w:rPr>
              <w:t xml:space="preserve">Purpose:  </w:t>
            </w:r>
            <w:r>
              <w:rPr>
                <w:rFonts w:ascii="Arial" w:cs="Arial" w:eastAsia="Arial" w:hAnsi="Arial"/>
                <w:color w:val="374151"/>
                <w:sz w:val="20"/>
                <w:szCs w:val="20"/>
              </w:rPr>
              <w:t xml:space="preserve">Generate data-driven insights about the quality, trends, and ROI of talent from each university partner.</w:t>
            </w:r>
          </w:p>
        </w:tc>
      </w:tr>
    </w:tbl>
    <w:p>
      <w:pPr>
        <w:spacing w:before="120" w:after="0"/>
      </w:pPr>
      <w:r>
        <w:t xml:space="preserve"/>
      </w:r>
    </w:p>
    <w:p>
      <w:pPr>
        <w:pStyle w:val="Heading2"/>
        <w:spacing w:before="220" w:after="80"/>
      </w:pPr>
      <w:r>
        <w:rPr>
          <w:rFonts w:ascii="Arial" w:cs="Arial" w:eastAsia="Arial" w:hAnsi="Arial"/>
          <w:b/>
          <w:bCs/>
          <w:color w:val="0B1F4B"/>
          <w:sz w:val="24"/>
          <w:szCs w:val="24"/>
        </w:rPr>
        <w:t xml:space="preserve">Overview</w:t>
      </w:r>
    </w:p>
    <w:p>
      <w:pPr>
        <w:spacing w:before="0" w:after="140"/>
      </w:pPr>
      <w:r>
        <w:rPr>
          <w:rFonts w:ascii="Arial" w:cs="Arial" w:eastAsia="Arial" w:hAnsi="Arial"/>
          <w:color w:val="374151"/>
          <w:sz w:val="21"/>
          <w:szCs w:val="21"/>
        </w:rPr>
        <w:t xml:space="preserve">University Talent Analytics is the intelligence layer that converts years of campus hiring data into actionable insights — helping companies make evidence-based decisions about which institutions to prioritise, which degree programmes produce the best-fit talent, and how the quality of hires from specific institutions has trended over time.</w:t>
      </w:r>
    </w:p>
    <w:p>
      <w:pPr>
        <w:pStyle w:val="Heading2"/>
        <w:spacing w:before="220" w:after="80"/>
      </w:pPr>
      <w:r>
        <w:rPr>
          <w:rFonts w:ascii="Arial" w:cs="Arial" w:eastAsia="Arial" w:hAnsi="Arial"/>
          <w:b/>
          <w:bCs/>
          <w:color w:val="0B1F4B"/>
          <w:sz w:val="24"/>
          <w:szCs w:val="24"/>
        </w:rPr>
        <w:t xml:space="preserve">Detailed Description</w:t>
      </w:r>
    </w:p>
    <w:p>
      <w:pPr>
        <w:spacing w:before="0" w:after="140"/>
      </w:pPr>
      <w:r>
        <w:rPr>
          <w:rFonts w:ascii="Arial" w:cs="Arial" w:eastAsia="Arial" w:hAnsi="Arial"/>
          <w:color w:val="374151"/>
          <w:sz w:val="21"/>
          <w:szCs w:val="21"/>
        </w:rPr>
        <w:t xml:space="preserve">The analytics dashboard aggregates data across three time horizons: Recruitment-Stage Analytics (which institutions produce the highest application quality, assessment pass rates, and offer acceptance rates), Onboarding-Stage Analytics (which institutions produce new hires who complete onboarding fastest and perform strongest in 90-day reviews), and Long-Term Performance Analytics (which institutions produce employees who get promoted fastest, have the lowest attrition, and generate the highest performance ratings over a 3-year window). The combination of all three horizons creates a comprehensive Institution ROI Score that is far more powerful than placement statistics alone.</w:t>
      </w:r>
    </w:p>
    <w:p>
      <w:pPr>
        <w:spacing w:before="0" w:after="140"/>
      </w:pPr>
      <w:r>
        <w:rPr>
          <w:rFonts w:ascii="Arial" w:cs="Arial" w:eastAsia="Arial" w:hAnsi="Arial"/>
          <w:color w:val="374151"/>
          <w:sz w:val="21"/>
          <w:szCs w:val="21"/>
        </w:rPr>
        <w:t xml:space="preserve">Cohort Comparison Analysis allows recruiters to compare talent quality across institutions using standardised metrics: average coding challenge score, average GD participation score, career readiness score, average first-year performance rating, and time-to-productivity. This enables direct, evidence-based comparisons like 'Students from NIT Trichy consistently score 15% higher on our coding challenges than the average across our 30 partner institutions, and their first-year attrition rate is 8% vs. our 22% average.'</w:t>
      </w:r>
    </w:p>
    <w:p>
      <w:pPr>
        <w:spacing w:before="0" w:after="140"/>
      </w:pPr>
      <w:r>
        <w:rPr>
          <w:rFonts w:ascii="Arial" w:cs="Arial" w:eastAsia="Arial" w:hAnsi="Arial"/>
          <w:color w:val="374151"/>
          <w:sz w:val="21"/>
          <w:szCs w:val="21"/>
        </w:rPr>
        <w:t xml:space="preserve">The analytics platform also generates forward-looking signals: Department Trend Analysis identifies which academic departments at each institution are producing increasingly strong or declining talent quality over time; Emerging Institution Tracking identifies Tier-2 and Tier-3 institutions whose students are outperforming their institutional tier expectations, flagging high-value recruitment opportunities before competitors identify them; and Skill Gap Mapping shows which skills are consistently underrepresented across all partner institutions, informing the company's pre-placement engagement content.</w:t>
      </w:r>
    </w:p>
    <w:p>
      <w:pPr>
        <w:pStyle w:val="Heading2"/>
        <w:spacing w:before="220" w:after="80"/>
      </w:pPr>
      <w:r>
        <w:rPr>
          <w:rFonts w:ascii="Arial" w:cs="Arial" w:eastAsia="Arial" w:hAnsi="Arial"/>
          <w:b/>
          <w:bCs/>
          <w:color w:val="0B1F4B"/>
          <w:sz w:val="24"/>
          <w:szCs w:val="24"/>
        </w:rPr>
        <w:t xml:space="preserve">Feature Attributes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7F3D0" w:sz="1"/>
              <w:left w:val="single" w:color="A7F3D0" w:sz="1"/>
              <w:bottom w:val="single" w:color="A7F3D0" w:sz="1"/>
              <w:right w:val="single" w:color="A7F3D0"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Attribute</w:t>
            </w:r>
          </w:p>
        </w:tc>
        <w:tc>
          <w:tcPr>
            <w:tcW w:type="dxa" w:w="6560"/>
            <w:tcBorders>
              <w:top w:val="single" w:color="A7F3D0" w:sz="1"/>
              <w:left w:val="single" w:color="A7F3D0" w:sz="1"/>
              <w:bottom w:val="single" w:color="A7F3D0" w:sz="1"/>
              <w:right w:val="single" w:color="A7F3D0"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Specification &amp; Behaviour</w:t>
            </w:r>
          </w:p>
        </w:tc>
      </w:tr>
      <w:tr>
        <w:tc>
          <w:tcPr>
            <w:tcW w:type="dxa" w:w="28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65F46"/>
                <w:sz w:val="20"/>
                <w:szCs w:val="20"/>
              </w:rPr>
              <w:t xml:space="preserve">Analytics Horizons</w:t>
            </w:r>
          </w:p>
        </w:tc>
        <w:tc>
          <w:tcPr>
            <w:tcW w:type="dxa" w:w="656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Recruitment-stage, onboarding-stage, and 3-year performance analytics</w:t>
            </w:r>
          </w:p>
        </w:tc>
      </w:tr>
      <w:tr>
        <w:tc>
          <w:tcPr>
            <w:tcW w:type="dxa" w:w="280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bCs/>
                <w:color w:val="065F46"/>
                <w:sz w:val="20"/>
                <w:szCs w:val="20"/>
              </w:rPr>
              <w:t xml:space="preserve">Institution ROI Score</w:t>
            </w:r>
          </w:p>
        </w:tc>
        <w:tc>
          <w:tcPr>
            <w:tcW w:type="dxa" w:w="656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Composite score combining hiring efficiency, performance, and retention metrics</w:t>
            </w:r>
          </w:p>
        </w:tc>
      </w:tr>
      <w:tr>
        <w:tc>
          <w:tcPr>
            <w:tcW w:type="dxa" w:w="28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65F46"/>
                <w:sz w:val="20"/>
                <w:szCs w:val="20"/>
              </w:rPr>
              <w:t xml:space="preserve">Cohort Comparison</w:t>
            </w:r>
          </w:p>
        </w:tc>
        <w:tc>
          <w:tcPr>
            <w:tcW w:type="dxa" w:w="656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Standardised cross-institution comparison on 6 performance dimensions</w:t>
            </w:r>
          </w:p>
        </w:tc>
      </w:tr>
      <w:tr>
        <w:tc>
          <w:tcPr>
            <w:tcW w:type="dxa" w:w="280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bCs/>
                <w:color w:val="065F46"/>
                <w:sz w:val="20"/>
                <w:szCs w:val="20"/>
              </w:rPr>
              <w:t xml:space="preserve">Department Trends</w:t>
            </w:r>
          </w:p>
        </w:tc>
        <w:tc>
          <w:tcPr>
            <w:tcW w:type="dxa" w:w="656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Department-level talent quality trend analysis per institution</w:t>
            </w:r>
          </w:p>
        </w:tc>
      </w:tr>
      <w:tr>
        <w:tc>
          <w:tcPr>
            <w:tcW w:type="dxa" w:w="28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65F46"/>
                <w:sz w:val="20"/>
                <w:szCs w:val="20"/>
              </w:rPr>
              <w:t xml:space="preserve">Emerging Institutions</w:t>
            </w:r>
          </w:p>
        </w:tc>
        <w:tc>
          <w:tcPr>
            <w:tcW w:type="dxa" w:w="656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Algorithm identifies high-performing Tier-2/3 institutions before wider market recognises them</w:t>
            </w:r>
          </w:p>
        </w:tc>
      </w:tr>
      <w:tr>
        <w:tc>
          <w:tcPr>
            <w:tcW w:type="dxa" w:w="280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bCs/>
                <w:color w:val="065F46"/>
                <w:sz w:val="20"/>
                <w:szCs w:val="20"/>
              </w:rPr>
              <w:t xml:space="preserve">Skill Gap Map</w:t>
            </w:r>
          </w:p>
        </w:tc>
        <w:tc>
          <w:tcPr>
            <w:tcW w:type="dxa" w:w="656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Skills consistently underrepresented across all campus partners</w:t>
            </w:r>
          </w:p>
        </w:tc>
      </w:tr>
      <w:tr>
        <w:tc>
          <w:tcPr>
            <w:tcW w:type="dxa" w:w="28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65F46"/>
                <w:sz w:val="20"/>
                <w:szCs w:val="20"/>
              </w:rPr>
              <w:t xml:space="preserve">Export &amp; Reporting</w:t>
            </w:r>
          </w:p>
        </w:tc>
        <w:tc>
          <w:tcPr>
            <w:tcW w:type="dxa" w:w="656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Full analytics exportable as PDF reports for board / leadership presentations</w:t>
            </w:r>
          </w:p>
        </w:tc>
      </w:tr>
    </w:tbl>
    <w:p>
      <w:pPr>
        <w:spacing w:before="160" w:after="0"/>
      </w:pPr>
      <w:r>
        <w:t xml:space="preserve"/>
      </w:r>
    </w:p>
    <w:p>
      <w:pPr>
        <w:pStyle w:val="Heading2"/>
        <w:spacing w:before="220" w:after="80"/>
      </w:pPr>
      <w:r>
        <w:rPr>
          <w:rFonts w:ascii="Arial" w:cs="Arial" w:eastAsia="Arial" w:hAnsi="Arial"/>
          <w:b/>
          <w:bCs/>
          <w:color w:val="0B1F4B"/>
          <w:sz w:val="24"/>
          <w:szCs w:val="24"/>
        </w:rPr>
        <w:t xml:space="preserve">Use Case Examples</w:t>
      </w:r>
    </w:p>
    <w:p>
      <w:pPr>
        <w:pStyle w:val="ListParagraph"/>
        <w:numPr>
          <w:ilvl w:val="0"/>
          <w:numId w:val="2"/>
        </w:numPr>
        <w:spacing w:before="40" w:after="40"/>
      </w:pPr>
      <w:r>
        <w:rPr>
          <w:rFonts w:ascii="Arial" w:cs="Arial" w:eastAsia="Arial" w:hAnsi="Arial"/>
          <w:color w:val="374151"/>
          <w:sz w:val="21"/>
          <w:szCs w:val="21"/>
        </w:rPr>
        <w:t xml:space="preserve">Three years of hiring data reveals that graduates from Institution A have a 38% 2-year attrition rate vs. the company average of 19% — the recruiter reduces hiring volume from that institution and reallocates budget to Institution B.</w:t>
      </w:r>
    </w:p>
    <w:p>
      <w:pPr>
        <w:pStyle w:val="ListParagraph"/>
        <w:numPr>
          <w:ilvl w:val="0"/>
          <w:numId w:val="2"/>
        </w:numPr>
        <w:spacing w:before="40" w:after="40"/>
      </w:pPr>
      <w:r>
        <w:rPr>
          <w:rFonts w:ascii="Arial" w:cs="Arial" w:eastAsia="Arial" w:hAnsi="Arial"/>
          <w:color w:val="374151"/>
          <w:sz w:val="21"/>
          <w:szCs w:val="21"/>
        </w:rPr>
        <w:t xml:space="preserve">The Emerging Institution Tracker flags a Tier-2 college in Coimbatore whose students have scored in the top 15th percentile on coding challenges for 2 consecutive years. The recruiter establishes a Tier 1 partnership before competitors.</w:t>
      </w:r>
    </w:p>
    <w:p>
      <w:pPr>
        <w:pStyle w:val="ListParagraph"/>
        <w:numPr>
          <w:ilvl w:val="0"/>
          <w:numId w:val="2"/>
        </w:numPr>
        <w:spacing w:before="40" w:after="40"/>
      </w:pPr>
      <w:r>
        <w:rPr>
          <w:rFonts w:ascii="Arial" w:cs="Arial" w:eastAsia="Arial" w:hAnsi="Arial"/>
          <w:color w:val="374151"/>
          <w:sz w:val="21"/>
          <w:szCs w:val="21"/>
        </w:rPr>
        <w:t xml:space="preserve">A skill gap analysis shows that 87% of campus hires lack cloud infrastructure skills. The company uses this insight to prioritise cloud-focused pre-placement workshops at partner institutions the following year.</w:t>
      </w:r>
    </w:p>
    <w:p>
      <w:r>
        <w:br w:type="page"/>
      </w:r>
    </w:p>
    <w:p>
      <w:pPr>
        <w:pStyle w:val="Heading1"/>
        <w:spacing w:before="360" w:after="120"/>
      </w:pPr>
      <w:r>
        <w:rPr>
          <w:rFonts w:ascii="Arial" w:cs="Arial" w:eastAsia="Arial" w:hAnsi="Arial"/>
          <w:b/>
          <w:bCs/>
          <w:color w:val="0B1F4B"/>
          <w:sz w:val="30"/>
          <w:szCs w:val="30"/>
        </w:rPr>
        <w:t xml:space="preserve">CAMPUS HIRING LIFECYCLE MAP</w:t>
      </w:r>
    </w:p>
    <w:p>
      <w:pPr>
        <w:spacing w:before="0" w:after="140"/>
      </w:pPr>
      <w:r>
        <w:rPr>
          <w:rFonts w:ascii="Arial" w:cs="Arial" w:eastAsia="Arial" w:hAnsi="Arial"/>
          <w:color w:val="374151"/>
          <w:sz w:val="21"/>
          <w:szCs w:val="21"/>
        </w:rPr>
        <w:t xml:space="preserve">The 10 features of this module map to a clear campus hiring lifecycle. The following table shows how features interlock across the four phases of a complete campus programme.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580"/>
        <w:gridCol w:w="2580"/>
      </w:tblGrid>
      <w:tr>
        <w:trPr>
          <w:tblHeader/>
        </w:trPr>
        <w:tc>
          <w:tcPr>
            <w:tcW w:type="dxa" w:w="1800"/>
            <w:tcBorders>
              <w:top w:val="single" w:color="A7F3D0" w:sz="1"/>
              <w:left w:val="single" w:color="A7F3D0" w:sz="1"/>
              <w:bottom w:val="single" w:color="A7F3D0" w:sz="1"/>
              <w:right w:val="single" w:color="A7F3D0"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Phase</w:t>
            </w:r>
          </w:p>
        </w:tc>
        <w:tc>
          <w:tcPr>
            <w:tcW w:type="dxa" w:w="2400"/>
            <w:tcBorders>
              <w:top w:val="single" w:color="A7F3D0" w:sz="1"/>
              <w:left w:val="single" w:color="A7F3D0" w:sz="1"/>
              <w:bottom w:val="single" w:color="A7F3D0" w:sz="1"/>
              <w:right w:val="single" w:color="A7F3D0"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Activity</w:t>
            </w:r>
          </w:p>
        </w:tc>
        <w:tc>
          <w:tcPr>
            <w:tcW w:type="dxa" w:w="2580"/>
            <w:tcBorders>
              <w:top w:val="single" w:color="A7F3D0" w:sz="1"/>
              <w:left w:val="single" w:color="A7F3D0" w:sz="1"/>
              <w:bottom w:val="single" w:color="A7F3D0" w:sz="1"/>
              <w:right w:val="single" w:color="A7F3D0"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Primary Feature</w:t>
            </w:r>
          </w:p>
        </w:tc>
        <w:tc>
          <w:tcPr>
            <w:tcW w:type="dxa" w:w="2580"/>
            <w:tcBorders>
              <w:top w:val="single" w:color="A7F3D0" w:sz="1"/>
              <w:left w:val="single" w:color="A7F3D0" w:sz="1"/>
              <w:bottom w:val="single" w:color="A7F3D0" w:sz="1"/>
              <w:right w:val="single" w:color="A7F3D0"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Supporting Feature</w:t>
            </w:r>
          </w:p>
        </w:tc>
      </w:tr>
      <w:tr>
        <w:tc>
          <w:tcPr>
            <w:tcW w:type="dxa" w:w="18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65F46"/>
                <w:sz w:val="20"/>
                <w:szCs w:val="20"/>
              </w:rPr>
              <w:t xml:space="preserve">Phase 1: Build</w:t>
            </w:r>
          </w:p>
        </w:tc>
        <w:tc>
          <w:tcPr>
            <w:tcW w:type="dxa" w:w="24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0B1F4B"/>
                <w:sz w:val="20"/>
                <w:szCs w:val="20"/>
              </w:rPr>
              <w:t xml:space="preserve">Establish institutional relationships</w:t>
            </w:r>
          </w:p>
        </w:tc>
        <w:tc>
          <w:tcPr>
            <w:tcW w:type="dxa" w:w="258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7.2 University Partnerships</w:t>
            </w:r>
          </w:p>
        </w:tc>
        <w:tc>
          <w:tcPr>
            <w:tcW w:type="dxa" w:w="258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7.10 University Talent Analytics</w:t>
            </w:r>
          </w:p>
        </w:tc>
      </w:tr>
      <w:tr>
        <w:tc>
          <w:tcPr>
            <w:tcW w:type="dxa" w:w="180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bCs/>
                <w:color w:val="065F46"/>
                <w:sz w:val="20"/>
                <w:szCs w:val="20"/>
              </w:rPr>
              <w:t xml:space="preserve">Phase 2: Plan</w:t>
            </w:r>
          </w:p>
        </w:tc>
        <w:tc>
          <w:tcPr>
            <w:tcW w:type="dxa" w:w="240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val="false"/>
                <w:bCs w:val="false"/>
                <w:color w:val="0B1F4B"/>
                <w:sz w:val="20"/>
                <w:szCs w:val="20"/>
              </w:rPr>
              <w:t xml:space="preserve">Design and schedule campaigns</w:t>
            </w:r>
          </w:p>
        </w:tc>
        <w:tc>
          <w:tcPr>
            <w:tcW w:type="dxa" w:w="258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7.1 Campaign Creation</w:t>
            </w:r>
          </w:p>
        </w:tc>
        <w:tc>
          <w:tcPr>
            <w:tcW w:type="dxa" w:w="258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7.9 Event Scheduling</w:t>
            </w:r>
          </w:p>
        </w:tc>
      </w:tr>
      <w:tr>
        <w:tc>
          <w:tcPr>
            <w:tcW w:type="dxa" w:w="18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65F46"/>
                <w:sz w:val="20"/>
                <w:szCs w:val="20"/>
              </w:rPr>
              <w:t xml:space="preserve">Phase 3: Execute</w:t>
            </w:r>
          </w:p>
        </w:tc>
        <w:tc>
          <w:tcPr>
            <w:tcW w:type="dxa" w:w="24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0B1F4B"/>
                <w:sz w:val="20"/>
                <w:szCs w:val="20"/>
              </w:rPr>
              <w:t xml:space="preserve">Run drives, challenges, hackathons</w:t>
            </w:r>
          </w:p>
        </w:tc>
        <w:tc>
          <w:tcPr>
            <w:tcW w:type="dxa" w:w="258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7.3 College-Specific Drives</w:t>
            </w:r>
          </w:p>
        </w:tc>
        <w:tc>
          <w:tcPr>
            <w:tcW w:type="dxa" w:w="258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7.6 Hackathon Hiring &amp; 7.7 Coding Challenges</w:t>
            </w:r>
          </w:p>
        </w:tc>
      </w:tr>
      <w:tr>
        <w:tc>
          <w:tcPr>
            <w:tcW w:type="dxa" w:w="180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bCs/>
                <w:color w:val="065F46"/>
                <w:sz w:val="20"/>
                <w:szCs w:val="20"/>
              </w:rPr>
              <w:t xml:space="preserve">Phase 3: Execute</w:t>
            </w:r>
          </w:p>
        </w:tc>
        <w:tc>
          <w:tcPr>
            <w:tcW w:type="dxa" w:w="240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val="false"/>
                <w:bCs w:val="false"/>
                <w:color w:val="0B1F4B"/>
                <w:sz w:val="20"/>
                <w:szCs w:val="20"/>
              </w:rPr>
              <w:t xml:space="preserve">Run internship and trainee hiring</w:t>
            </w:r>
          </w:p>
        </w:tc>
        <w:tc>
          <w:tcPr>
            <w:tcW w:type="dxa" w:w="258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7.4 Graduate Trainee Programs</w:t>
            </w:r>
          </w:p>
        </w:tc>
        <w:tc>
          <w:tcPr>
            <w:tcW w:type="dxa" w:w="258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7.5 Internship Programs</w:t>
            </w:r>
          </w:p>
        </w:tc>
      </w:tr>
      <w:tr>
        <w:tc>
          <w:tcPr>
            <w:tcW w:type="dxa" w:w="18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bCs/>
                <w:color w:val="065F46"/>
                <w:sz w:val="20"/>
                <w:szCs w:val="20"/>
              </w:rPr>
              <w:t xml:space="preserve">Phase 4: Convert</w:t>
            </w:r>
          </w:p>
        </w:tc>
        <w:tc>
          <w:tcPr>
            <w:tcW w:type="dxa" w:w="240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0B1F4B"/>
                <w:sz w:val="20"/>
                <w:szCs w:val="20"/>
              </w:rPr>
              <w:t xml:space="preserve">Extend and track offers</w:t>
            </w:r>
          </w:p>
        </w:tc>
        <w:tc>
          <w:tcPr>
            <w:tcW w:type="dxa" w:w="258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7.8 Pre-Placement Offers</w:t>
            </w:r>
          </w:p>
        </w:tc>
        <w:tc>
          <w:tcPr>
            <w:tcW w:type="dxa" w:w="2580"/>
            <w:tcBorders>
              <w:top w:val="single" w:color="A7F3D0" w:sz="1"/>
              <w:left w:val="single" w:color="A7F3D0" w:sz="1"/>
              <w:bottom w:val="single" w:color="A7F3D0" w:sz="1"/>
              <w:right w:val="single" w:color="A7F3D0" w:sz="1"/>
            </w:tcBorders>
            <w:shd w:fill="D1FAE5"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7.5 Internship Conversion Tracking</w:t>
            </w:r>
          </w:p>
        </w:tc>
      </w:tr>
      <w:tr>
        <w:tc>
          <w:tcPr>
            <w:tcW w:type="dxa" w:w="180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bCs/>
                <w:color w:val="065F46"/>
                <w:sz w:val="20"/>
                <w:szCs w:val="20"/>
              </w:rPr>
              <w:t xml:space="preserve">Phase 4: Analyse</w:t>
            </w:r>
          </w:p>
        </w:tc>
        <w:tc>
          <w:tcPr>
            <w:tcW w:type="dxa" w:w="240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val="false"/>
                <w:bCs w:val="false"/>
                <w:color w:val="0B1F4B"/>
                <w:sz w:val="20"/>
                <w:szCs w:val="20"/>
              </w:rPr>
              <w:t xml:space="preserve">Measure and refine</w:t>
            </w:r>
          </w:p>
        </w:tc>
        <w:tc>
          <w:tcPr>
            <w:tcW w:type="dxa" w:w="258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7.10 Talent Analytics</w:t>
            </w:r>
          </w:p>
        </w:tc>
        <w:tc>
          <w:tcPr>
            <w:tcW w:type="dxa" w:w="2580"/>
            <w:tcBorders>
              <w:top w:val="single" w:color="A7F3D0" w:sz="1"/>
              <w:left w:val="single" w:color="A7F3D0" w:sz="1"/>
              <w:bottom w:val="single" w:color="A7F3D0" w:sz="1"/>
              <w:right w:val="single" w:color="A7F3D0" w:sz="1"/>
            </w:tcBorders>
            <w:shd w:fill="F0FDF4"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7.1 Campaign Health Score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4"/>
              <w:left w:val="single" w:color="065F46" w:sz="8"/>
              <w:bottom w:val="single" w:color="A7F3D0" w:sz="1"/>
              <w:right w:val="single" w:color="A7F3D0" w:sz="1"/>
            </w:tcBorders>
            <w:shd w:fill="D1FAE5" w:val="clear"/>
            <w:tcMar>
              <w:top w:type="dxa" w:w="120"/>
              <w:left w:type="dxa" w:w="200"/>
              <w:bottom w:type="dxa" w:w="120"/>
              <w:right w:type="dxa" w:w="160"/>
            </w:tcMar>
          </w:tcPr>
          <w:p>
            <w:r>
              <w:rPr>
                <w:rFonts w:ascii="Arial" w:cs="Arial" w:eastAsia="Arial" w:hAnsi="Arial"/>
                <w:b/>
                <w:bCs/>
                <w:color w:val="065F46"/>
                <w:sz w:val="20"/>
                <w:szCs w:val="20"/>
              </w:rPr>
              <w:t xml:space="preserve">Strategic Note:  </w:t>
            </w:r>
            <w:r>
              <w:rPr>
                <w:rFonts w:ascii="Arial" w:cs="Arial" w:eastAsia="Arial" w:hAnsi="Arial"/>
                <w:color w:val="374151"/>
                <w:sz w:val="20"/>
                <w:szCs w:val="20"/>
              </w:rPr>
              <w:t xml:space="preserve">Campus hiring ROI compounds over time. The first year provides baseline data; the second year enables calibration; by year 3, EcoSkiller's University Talent Analytics gives your team a data advantage over competitors still relying on intuition and prestige heuristics to make institution investment decisions.</w:t>
            </w:r>
          </w:p>
        </w:tc>
      </w:tr>
    </w:tbl>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59669" w:sz="4" w:space="1"/>
      </w:pBdr>
      <w:tabs>
        <w:tab w:val="right" w:pos="9026"/>
      </w:tabs>
      <w:spacing w:before="120" w:after="0"/>
    </w:pPr>
    <w:r>
      <w:rPr>
        <w:rFonts w:ascii="Arial" w:cs="Arial" w:eastAsia="Arial" w:hAnsi="Arial"/>
        <w:color w:val="6B7280"/>
        <w:sz w:val="18"/>
        <w:szCs w:val="18"/>
      </w:rPr>
      <w:t xml:space="preserve">Confidential — EcoSkiller Internal Document  |  March 2026</w:t>
    </w:r>
    <w:r>
      <w:rPr>
        <w:rFonts w:ascii="Arial" w:cs="Arial" w:eastAsia="Arial" w:hAnsi="Arial"/>
        <w:color w:val="6B7280"/>
        <w:sz w:val="18"/>
        <w:szCs w:val="18"/>
      </w:rPr>
      <w:t xml:space="preserve">	Page </w:t>
    </w:r>
    <w:r>
      <w:rPr>
        <w:rFonts w:ascii="Arial" w:cs="Arial" w:eastAsia="Arial" w:hAnsi="Arial"/>
        <w:b/>
        <w:bCs/>
        <w:color w:val="0596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59669" w:sz="4" w:space="1"/>
      </w:pBdr>
      <w:spacing w:before="0" w:after="120"/>
    </w:pPr>
    <w:r>
      <w:rPr>
        <w:rFonts w:ascii="Arial" w:cs="Arial" w:eastAsia="Arial" w:hAnsi="Arial"/>
        <w:color w:val="6B7280"/>
        <w:sz w:val="18"/>
        <w:szCs w:val="18"/>
      </w:rPr>
      <w:t xml:space="preserve">EcoSkiller  |  Campus Hiring Programs</w:t>
    </w:r>
    <w:r>
      <w:rPr>
        <w:rFonts w:ascii="Arial" w:cs="Arial" w:eastAsia="Arial" w:hAnsi="Arial"/>
        <w:b/>
        <w:bCs/>
        <w:color w:val="059669"/>
        <w:sz w:val="18"/>
        <w:szCs w:val="18"/>
      </w:rPr>
      <w:t xml:space="preserve">   |   Module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B1F4B"/>
      <w:sz w:val="30"/>
      <w:szCs w:val="30"/>
    </w:rPr>
  </w:style>
  <w:style w:type="paragraph" w:styleId="Heading2">
    <w:name w:val="Heading 2"/>
    <w:basedOn w:val="Normal"/>
    <w:next w:val="Normal"/>
    <w:qFormat/>
    <w:pPr>
      <w:spacing w:before="220" w:after="80"/>
      <w:outlineLvl w:val="1"/>
    </w:pPr>
    <w:rPr>
      <w:rFonts w:ascii="Arial" w:cs="Arial" w:eastAsia="Arial" w:hAnsi="Arial"/>
      <w:b/>
      <w:bCs/>
      <w:color w:val="0B1F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2026-03-09T13:13:53.280Z</dcterms:created>
  <dcterms:modified xsi:type="dcterms:W3CDTF">2026-03-09T13:13:53.281Z</dcterms:modified>
</cp:coreProperties>
</file>

<file path=docProps/custom.xml><?xml version="1.0" encoding="utf-8"?>
<Properties xmlns="http://schemas.openxmlformats.org/officeDocument/2006/custom-properties" xmlns:vt="http://schemas.openxmlformats.org/officeDocument/2006/docPropsVTypes"/>
</file>