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0"/>
      </w:pPr>
      <w:r>
        <w:t xml:space="preserve"/>
      </w:r>
    </w:p>
    <w:p>
      <w:pPr>
        <w:spacing w:before="0" w:after="100"/>
        <w:jc w:val="center"/>
      </w:pPr>
      <w:r>
        <w:rPr>
          <w:rFonts w:ascii="Arial" w:cs="Arial" w:eastAsia="Arial" w:hAnsi="Arial"/>
          <w:b/>
          <w:bCs/>
          <w:caps/>
          <w:color w:val="0A3D62"/>
          <w:sz w:val="26"/>
          <w:szCs w:val="26"/>
        </w:rPr>
        <w:t xml:space="preserve">SCHOOL MANAGEMENT PLATFORM</w:t>
      </w:r>
    </w:p>
    <w:p>
      <w:pPr>
        <w:spacing w:before="0" w:after="100"/>
        <w:jc w:val="center"/>
      </w:pPr>
      <w:r>
        <w:rPr>
          <w:rFonts w:ascii="Arial" w:cs="Arial" w:eastAsia="Arial" w:hAnsi="Arial"/>
          <w:b/>
          <w:bCs/>
          <w:color w:val="080E18"/>
          <w:sz w:val="58"/>
          <w:szCs w:val="58"/>
        </w:rPr>
        <w:t xml:space="preserve">Product Feature Specification</w:t>
      </w:r>
    </w:p>
    <w:p>
      <w:pPr>
        <w:spacing w:before="0" w:after="700"/>
        <w:jc w:val="center"/>
      </w:pPr>
      <w:r>
        <w:rPr>
          <w:rFonts w:ascii="Arial" w:cs="Arial" w:eastAsia="Arial" w:hAnsi="Arial"/>
          <w:b/>
          <w:bCs/>
          <w:color w:val="1260A0"/>
          <w:sz w:val="34"/>
          <w:szCs w:val="34"/>
        </w:rPr>
        <w:t xml:space="preserve">Module I: Assessment &amp; Performance Tracking</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B4C6D6" w:sz="1"/>
              <w:left w:val="single" w:color="B4C6D6" w:sz="1"/>
              <w:bottom w:val="single" w:color="B4C6D6" w:sz="1"/>
              <w:right w:val="single" w:color="B4C6D6" w:sz="1"/>
            </w:tcBorders>
            <w:shd w:fill="0A3D62" w:val="clear"/>
            <w:tcMar>
              <w:top w:type="dxa" w:w="120"/>
              <w:left w:type="dxa" w:w="200"/>
              <w:bottom w:type="dxa" w:w="120"/>
              <w:right w:type="dxa" w:w="200"/>
            </w:tcMar>
          </w:tcPr>
          <w:p>
            <w:r>
              <w:rPr>
                <w:rFonts w:ascii="Arial" w:cs="Arial" w:eastAsia="Arial" w:hAnsi="Arial"/>
                <w:b/>
                <w:bCs/>
                <w:color w:val="FFFFFF"/>
                <w:sz w:val="21"/>
                <w:szCs w:val="21"/>
              </w:rPr>
              <w:t xml:space="preserve">Document Version</w:t>
            </w:r>
          </w:p>
        </w:tc>
        <w:tc>
          <w:tcPr>
            <w:tcW w:type="dxa" w:w="3200"/>
            <w:tcBorders>
              <w:top w:val="single" w:color="B4C6D6" w:sz="1"/>
              <w:left w:val="single" w:color="B4C6D6" w:sz="1"/>
              <w:bottom w:val="single" w:color="B4C6D6" w:sz="1"/>
              <w:right w:val="single" w:color="B4C6D6" w:sz="1"/>
            </w:tcBorders>
            <w:shd w:fill="D4E8F8" w:val="clear"/>
            <w:tcMar>
              <w:top w:type="dxa" w:w="120"/>
              <w:left w:type="dxa" w:w="200"/>
              <w:bottom w:type="dxa" w:w="120"/>
              <w:right w:type="dxa" w:w="200"/>
            </w:tcMar>
          </w:tcPr>
          <w:p>
            <w:r>
              <w:rPr>
                <w:rFonts w:ascii="Arial" w:cs="Arial" w:eastAsia="Arial" w:hAnsi="Arial"/>
                <w:color w:val="080E18"/>
                <w:sz w:val="21"/>
                <w:szCs w:val="21"/>
              </w:rPr>
              <w:t xml:space="preserve">1.0</w:t>
            </w:r>
          </w:p>
        </w:tc>
      </w:tr>
      <w:tr>
        <w:tc>
          <w:tcPr>
            <w:tcW w:type="dxa" w:w="3200"/>
            <w:tcBorders>
              <w:top w:val="single" w:color="B4C6D6" w:sz="1"/>
              <w:left w:val="single" w:color="B4C6D6" w:sz="1"/>
              <w:bottom w:val="single" w:color="B4C6D6" w:sz="1"/>
              <w:right w:val="single" w:color="B4C6D6" w:sz="1"/>
            </w:tcBorders>
            <w:shd w:fill="0A3D62" w:val="clear"/>
            <w:tcMar>
              <w:top w:type="dxa" w:w="120"/>
              <w:left w:type="dxa" w:w="200"/>
              <w:bottom w:type="dxa" w:w="120"/>
              <w:right w:type="dxa" w:w="200"/>
            </w:tcMar>
          </w:tcPr>
          <w:p>
            <w:r>
              <w:rPr>
                <w:rFonts w:ascii="Arial" w:cs="Arial" w:eastAsia="Arial" w:hAnsi="Arial"/>
                <w:b/>
                <w:bCs/>
                <w:color w:val="FFFFFF"/>
                <w:sz w:val="21"/>
                <w:szCs w:val="21"/>
              </w:rPr>
              <w:t xml:space="preserve">Date</w:t>
            </w:r>
          </w:p>
        </w:tc>
        <w:tc>
          <w:tcPr>
            <w:tcW w:type="dxa" w:w="3200"/>
            <w:tcBorders>
              <w:top w:val="single" w:color="B4C6D6" w:sz="1"/>
              <w:left w:val="single" w:color="B4C6D6" w:sz="1"/>
              <w:bottom w:val="single" w:color="B4C6D6" w:sz="1"/>
              <w:right w:val="single" w:color="B4C6D6" w:sz="1"/>
            </w:tcBorders>
            <w:shd w:fill="D4E8F8" w:val="clear"/>
            <w:tcMar>
              <w:top w:type="dxa" w:w="120"/>
              <w:left w:type="dxa" w:w="200"/>
              <w:bottom w:type="dxa" w:w="120"/>
              <w:right w:type="dxa" w:w="200"/>
            </w:tcMar>
          </w:tcPr>
          <w:p>
            <w:r>
              <w:rPr>
                <w:rFonts w:ascii="Arial" w:cs="Arial" w:eastAsia="Arial" w:hAnsi="Arial"/>
                <w:color w:val="080E18"/>
                <w:sz w:val="21"/>
                <w:szCs w:val="21"/>
              </w:rPr>
              <w:t xml:space="preserve">March 2026</w:t>
            </w:r>
          </w:p>
        </w:tc>
      </w:tr>
      <w:tr>
        <w:tc>
          <w:tcPr>
            <w:tcW w:type="dxa" w:w="3200"/>
            <w:tcBorders>
              <w:top w:val="single" w:color="B4C6D6" w:sz="1"/>
              <w:left w:val="single" w:color="B4C6D6" w:sz="1"/>
              <w:bottom w:val="single" w:color="B4C6D6" w:sz="1"/>
              <w:right w:val="single" w:color="B4C6D6" w:sz="1"/>
            </w:tcBorders>
            <w:shd w:fill="0A3D62" w:val="clear"/>
            <w:tcMar>
              <w:top w:type="dxa" w:w="120"/>
              <w:left w:type="dxa" w:w="200"/>
              <w:bottom w:type="dxa" w:w="120"/>
              <w:right w:type="dxa" w:w="200"/>
            </w:tcMar>
          </w:tcPr>
          <w:p>
            <w:r>
              <w:rPr>
                <w:rFonts w:ascii="Arial" w:cs="Arial" w:eastAsia="Arial" w:hAnsi="Arial"/>
                <w:b/>
                <w:bCs/>
                <w:color w:val="FFFFFF"/>
                <w:sz w:val="21"/>
                <w:szCs w:val="21"/>
              </w:rPr>
              <w:t xml:space="preserve">Module</w:t>
            </w:r>
          </w:p>
        </w:tc>
        <w:tc>
          <w:tcPr>
            <w:tcW w:type="dxa" w:w="3200"/>
            <w:tcBorders>
              <w:top w:val="single" w:color="B4C6D6" w:sz="1"/>
              <w:left w:val="single" w:color="B4C6D6" w:sz="1"/>
              <w:bottom w:val="single" w:color="B4C6D6" w:sz="1"/>
              <w:right w:val="single" w:color="B4C6D6" w:sz="1"/>
            </w:tcBorders>
            <w:shd w:fill="D4E8F8" w:val="clear"/>
            <w:tcMar>
              <w:top w:type="dxa" w:w="120"/>
              <w:left w:type="dxa" w:w="200"/>
              <w:bottom w:type="dxa" w:w="120"/>
              <w:right w:type="dxa" w:w="200"/>
            </w:tcMar>
          </w:tcPr>
          <w:p>
            <w:r>
              <w:rPr>
                <w:rFonts w:ascii="Arial" w:cs="Arial" w:eastAsia="Arial" w:hAnsi="Arial"/>
                <w:color w:val="080E18"/>
                <w:sz w:val="21"/>
                <w:szCs w:val="21"/>
              </w:rPr>
              <w:t xml:space="preserve">I — Assessment &amp; Performance Tracking</w:t>
            </w:r>
          </w:p>
        </w:tc>
      </w:tr>
      <w:tr>
        <w:tc>
          <w:tcPr>
            <w:tcW w:type="dxa" w:w="3200"/>
            <w:tcBorders>
              <w:top w:val="single" w:color="B4C6D6" w:sz="1"/>
              <w:left w:val="single" w:color="B4C6D6" w:sz="1"/>
              <w:bottom w:val="single" w:color="B4C6D6" w:sz="1"/>
              <w:right w:val="single" w:color="B4C6D6" w:sz="1"/>
            </w:tcBorders>
            <w:shd w:fill="0A3D62" w:val="clear"/>
            <w:tcMar>
              <w:top w:type="dxa" w:w="120"/>
              <w:left w:type="dxa" w:w="200"/>
              <w:bottom w:type="dxa" w:w="120"/>
              <w:right w:type="dxa" w:w="200"/>
            </w:tcMar>
          </w:tcPr>
          <w:p>
            <w:r>
              <w:rPr>
                <w:rFonts w:ascii="Arial" w:cs="Arial" w:eastAsia="Arial" w:hAnsi="Arial"/>
                <w:b/>
                <w:bCs/>
                <w:color w:val="FFFFFF"/>
                <w:sz w:val="21"/>
                <w:szCs w:val="21"/>
              </w:rPr>
              <w:t xml:space="preserve">Total Features</w:t>
            </w:r>
          </w:p>
        </w:tc>
        <w:tc>
          <w:tcPr>
            <w:tcW w:type="dxa" w:w="3200"/>
            <w:tcBorders>
              <w:top w:val="single" w:color="B4C6D6" w:sz="1"/>
              <w:left w:val="single" w:color="B4C6D6" w:sz="1"/>
              <w:bottom w:val="single" w:color="B4C6D6" w:sz="1"/>
              <w:right w:val="single" w:color="B4C6D6" w:sz="1"/>
            </w:tcBorders>
            <w:shd w:fill="D4E8F8" w:val="clear"/>
            <w:tcMar>
              <w:top w:type="dxa" w:w="120"/>
              <w:left w:type="dxa" w:w="200"/>
              <w:bottom w:type="dxa" w:w="120"/>
              <w:right w:type="dxa" w:w="200"/>
            </w:tcMar>
          </w:tcPr>
          <w:p>
            <w:r>
              <w:rPr>
                <w:rFonts w:ascii="Arial" w:cs="Arial" w:eastAsia="Arial" w:hAnsi="Arial"/>
                <w:color w:val="080E18"/>
                <w:sz w:val="21"/>
                <w:szCs w:val="21"/>
              </w:rPr>
              <w:t xml:space="preserve">6</w:t>
            </w:r>
          </w:p>
        </w:tc>
      </w:tr>
      <w:tr>
        <w:tc>
          <w:tcPr>
            <w:tcW w:type="dxa" w:w="3200"/>
            <w:tcBorders>
              <w:top w:val="single" w:color="B4C6D6" w:sz="1"/>
              <w:left w:val="single" w:color="B4C6D6" w:sz="1"/>
              <w:bottom w:val="single" w:color="B4C6D6" w:sz="1"/>
              <w:right w:val="single" w:color="B4C6D6" w:sz="1"/>
            </w:tcBorders>
            <w:shd w:fill="0A3D62" w:val="clear"/>
            <w:tcMar>
              <w:top w:type="dxa" w:w="120"/>
              <w:left w:type="dxa" w:w="200"/>
              <w:bottom w:type="dxa" w:w="120"/>
              <w:right w:type="dxa" w:w="200"/>
            </w:tcMar>
          </w:tcPr>
          <w:p>
            <w:r>
              <w:rPr>
                <w:rFonts w:ascii="Arial" w:cs="Arial" w:eastAsia="Arial" w:hAnsi="Arial"/>
                <w:b/>
                <w:bCs/>
                <w:color w:val="FFFFFF"/>
                <w:sz w:val="21"/>
                <w:szCs w:val="21"/>
              </w:rPr>
              <w:t xml:space="preserve">Status</w:t>
            </w:r>
          </w:p>
        </w:tc>
        <w:tc>
          <w:tcPr>
            <w:tcW w:type="dxa" w:w="3200"/>
            <w:tcBorders>
              <w:top w:val="single" w:color="B4C6D6" w:sz="1"/>
              <w:left w:val="single" w:color="B4C6D6" w:sz="1"/>
              <w:bottom w:val="single" w:color="B4C6D6" w:sz="1"/>
              <w:right w:val="single" w:color="B4C6D6" w:sz="1"/>
            </w:tcBorders>
            <w:shd w:fill="D4E8F8" w:val="clear"/>
            <w:tcMar>
              <w:top w:type="dxa" w:w="120"/>
              <w:left w:type="dxa" w:w="200"/>
              <w:bottom w:type="dxa" w:w="120"/>
              <w:right w:type="dxa" w:w="200"/>
            </w:tcMar>
          </w:tcPr>
          <w:p>
            <w:r>
              <w:rPr>
                <w:rFonts w:ascii="Arial" w:cs="Arial" w:eastAsia="Arial" w:hAnsi="Arial"/>
                <w:color w:val="080E18"/>
                <w:sz w:val="21"/>
                <w:szCs w:val="21"/>
              </w:rPr>
              <w:t xml:space="preserve">Final Draft</w:t>
            </w:r>
          </w:p>
        </w:tc>
      </w:tr>
    </w:tbl>
    <w:p>
      <w:r>
        <w:br w:type="page"/>
      </w:r>
    </w:p>
    <w:p>
      <w:pPr>
        <w:pBdr>
          <w:bottom w:val="single" w:color="0A3D62" w:sz="10" w:space="6"/>
        </w:pBdr>
        <w:spacing w:before="460" w:after="220"/>
      </w:pPr>
      <w:r>
        <w:rPr>
          <w:rFonts w:ascii="Arial" w:cs="Arial" w:eastAsia="Arial" w:hAnsi="Arial"/>
          <w:b/>
          <w:bCs/>
          <w:color w:val="080E18"/>
          <w:sz w:val="40"/>
          <w:szCs w:val="40"/>
        </w:rPr>
        <w:t xml:space="preserve">I. Assessment &amp; Performance Tracking — Feature Details</w:t>
      </w:r>
    </w:p>
    <w:p>
      <w:pPr>
        <w:spacing w:before="80" w:after="380"/>
      </w:pPr>
      <w:r>
        <w:rPr>
          <w:rFonts w:ascii="Arial" w:cs="Arial" w:eastAsia="Arial" w:hAnsi="Arial"/>
          <w:i/>
          <w:iCs/>
          <w:color w:val="14202E"/>
          <w:sz w:val="22"/>
          <w:szCs w:val="22"/>
        </w:rPr>
        <w:t xml:space="preserve">Assessment and Performance Tracking is the measurement intelligence core of the platform — the module responsible for ensuring that every dimension of student learning is accurately captured, meaningfully interpreted, and effectively communicated to all stakeholders. From the design of rigorous academic tests and the administration of authentic skill assessments, through the generation of personalised performance reports and the deployment of real-time progress dashboards, to the systematic identification and support of students at risk — this module transforms raw assessment data into the actionable intelligence that drives continuous improvement at every level of the school ecosystem. The six features below are each described in comprehensive functional depth, covering workflows, data architecture, stakeholder experiences, and institutional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0A3D62" w:val="clear"/>
            <w:tcMar>
              <w:top w:type="dxa" w:w="155"/>
              <w:left w:type="dxa" w:w="240"/>
              <w:bottom w:type="dxa" w:w="155"/>
              <w:right w:type="dxa" w:w="240"/>
            </w:tcMar>
          </w:tcPr>
          <w:p>
            <w:r>
              <w:rPr>
                <w:rFonts w:ascii="Arial" w:cs="Arial" w:eastAsia="Arial" w:hAnsi="Arial"/>
                <w:b/>
                <w:bCs/>
                <w:color w:val="FFFFFF"/>
                <w:sz w:val="24"/>
                <w:szCs w:val="24"/>
              </w:rPr>
              <w:t xml:space="preserve">1.  </w:t>
            </w:r>
            <w:r>
              <w:rPr>
                <w:rFonts w:ascii="Arial" w:cs="Arial" w:eastAsia="Arial" w:hAnsi="Arial"/>
                <w:b/>
                <w:bCs/>
                <w:color w:val="FFFFFF"/>
                <w:sz w:val="32"/>
                <w:szCs w:val="32"/>
              </w:rPr>
              <w:t xml:space="preserve">Academic Test Management</w:t>
            </w:r>
          </w:p>
        </w:tc>
      </w:tr>
      <w:tr>
        <w:tc>
          <w:tcPr>
            <w:tcW w:type="dxa" w:w="9360"/>
            <w:tcBorders>
              <w:top w:val="single" w:color="B4C6D6" w:sz="1"/>
              <w:left w:val="single" w:color="B4C6D6" w:sz="1"/>
              <w:bottom w:val="single" w:color="B4C6D6" w:sz="1"/>
              <w:right w:val="single" w:color="B4C6D6" w:sz="1"/>
            </w:tcBorders>
            <w:shd w:fill="D4E8F8" w:val="clear"/>
            <w:tcMar>
              <w:top w:type="dxa" w:w="115"/>
              <w:left w:type="dxa" w:w="240"/>
              <w:bottom w:type="dxa" w:w="115"/>
              <w:right w:type="dxa" w:w="240"/>
            </w:tcMar>
          </w:tcPr>
          <w:p>
            <w:r>
              <w:rPr>
                <w:rFonts w:ascii="Arial" w:cs="Arial" w:eastAsia="Arial" w:hAnsi="Arial"/>
                <w:b/>
                <w:bCs/>
                <w:color w:val="0A3D62"/>
                <w:sz w:val="21"/>
                <w:szCs w:val="21"/>
              </w:rPr>
              <w:t xml:space="preserve">Overview  </w:t>
            </w:r>
            <w:r>
              <w:rPr>
                <w:rFonts w:ascii="Arial" w:cs="Arial" w:eastAsia="Arial" w:hAnsi="Arial"/>
                <w:i/>
                <w:iCs/>
                <w:color w:val="14202E"/>
                <w:sz w:val="21"/>
                <w:szCs w:val="21"/>
              </w:rPr>
              <w:t xml:space="preserve">A comprehensive, end-to-end test administration platform that governs the complete lifecycle of academic assessments — from test design, scheduling, and secure delivery through to automated marking, result processing, and board-compliant record generation — supporting every assessment format from daily class quizzes to high-stakes terminal examinations.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1260A0"/>
                <w:sz w:val="21"/>
                <w:szCs w:val="21"/>
              </w:rPr>
              <w:t xml:space="preserve">Test Design &amp; Configuration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Multi-format test builder supporting seven distinct test types: Unit Test (chapter-specific formative assessment), Periodic Test (CBSE-mandated three-per-term scheduled assessments), Half-Yearly Examination (mid-year summative covering first half of syllabus), Annual/Final Examination (comprehensive year-end summative), Pre-Board / Mock Examination (simulation of board paper format, pattern, and timing), Objective Type Assessment (MCQ, fill-in-the-blank, match-the-column for rapid formative feedback cycles), and Diagnostic Pre-Test (administered before a new unit to establish prior knowledge baseline for differentiated instruction planning).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Question paper composition engine: teachers compose test papers using the integrated question bank — selecting questions by subject, chapter, topic, question type, difficulty level, and Bloom's Taxonomy level — with automatic marks and time allocation calculation, blueprint auto-generation (showing marks distribution across units as a percentage matrix), and paper balance validation ensuring the prescribed marks distribution per unit is met before the paper is locked.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Board-mandated paper format compliance: the system encodes CBSE, ICSE, and all major state board prescribed question paper formats — Section-wise structure (Section A: Objective, Section B: Short Answer, Section C: Long Answer, Section D: Case Study / Source-Based Questions), marks per question type, permitted question choices, and word limit guidelines — automatically applied when creating board-format test papers, eliminating format compliance errors.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Multiple paper version generation: for large-scale examinations where paper security requires different question sequences or alternate question sets, the system generates multiple balanced paper versions from the same question bank — each version is equivalent in difficulty, marks distribution, and curriculum coverage but sufficiently distinct to prevent copying — version assignment to exam halls is randomised and logged.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Practical examination configuration: for subjects with practical components (Physics, Chemistry, Biology, Computer Science, Physical Education, Art), the practical examination module configures experiment allocation (for science practicals), material requirements, observation criteria, viva question banks, and practical marks ledger — integrated with the theory assessment record for composite subject scoring.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Supplementary and compartment exam management: dedicated workflow for scheduling and managing supplementary examinations for students who failed to meet the minimum qualifying criteria in the main examination — including eligibility verification, re-registration, separate result processing, and board-format supplementary result reporting.</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1260A0"/>
                <w:sz w:val="21"/>
                <w:szCs w:val="21"/>
              </w:rPr>
              <w:t xml:space="preserve">Examination Scheduling &amp; Logistics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Comprehensive examination timetable builder: a drag-and-drop timetable creation interface for the school's full examination calendar — including all grades, all subjects, all examination types across the academic year — with automatic conflict detection preventing any student from having two papers on the same day, and workload distribution analysis ensuring examination days are evenly spread.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Hall and seating arrangement management: configurable examination hall setup — number of halls, seating capacity per hall, student-to-seat mapping (random, roll-number sequential, or cross-section mixing to prevent neighbouring classmates from sitting together) — generates printable seating plans, hall-entry slips, and attendance register for each examination session.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Invigilation assignment and duty roster: invigilation duties are assigned to teachers through a structured allocation workflow — factoring in workload equity (no teacher assigned more than a configurable maximum of consecutive invigilation periods), subject conflict exclusion (teachers cannot invigilate their own subject's paper), and leave-aware allocation — generating individual teacher invigilation duty cards and a consolidated exam-day duty roster.</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Admit card generation: individualised admit cards auto-generated for every student registered for an examination — containing student name, class, roll number, examination schedule, hall and seat number, reporting time, and any subject-specific instructions — distributed digitally through the parent portal and optionally printed in bulk for physical distribution.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Examination day alert system: automated notification cascade in the 48 hours before each examination — reminders to students and parents (timing, venue, materials required), invigilator duty confirmations, hall preparation checklist dispatch to room coordinators, and principal dashboard alerts for any pending logistics gaps.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Special accommodations management: for students with documented special educational needs, examination accommodations (additional time, scribe assistance, large-print question papers, separate examination room, rest breaks) are configured per student in the examination registration module — automatically applied to seating plans, invigilation assignments, and time calculation for that student's session.</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1260A0"/>
                <w:sz w:val="21"/>
                <w:szCs w:val="21"/>
              </w:rPr>
              <w:t xml:space="preserve">Result Processing &amp; Analysis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OMR sheet scanning and automated marking: for objective-type answer sheets, the platform's integrated OMR processing pipeline scans answer sheets using the school's connected scanner, maps responses against the answer key, calculates raw scores, applies negative marking rules where configured, and posts results to the student's assessment ledger — reducing manual marking time for large-cohort objective tests from days to hours.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Online examination delivery with auto-scoring: for tests delivered digitally on the platform, all objective questions (MCQ, fill-in-the-blank, numerical answer, match-the-following) are automatically scored upon submission — teachers receive pre-scored response sheets needing only manual review of subjective questions, dramatically reducing total marking time.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Marks entry interface for subjective assessments: a streamlined marks entry portal for teachers submitting marks from manually marked answer scripts — with configurable entry fields per question, automatic total calculation, out-of-range entry validation (preventing typographic errors like entering 52 out of 50), duplicate entry detection, and a submission lock once all marks have been entered and reviewed.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Moderation and grace marks workflow: formal workflow for applying moderating adjustments to examination scores — the exam controller can apply subject-wise or question-specific grace marks (for ambiguous questions or printing errors), with each moderation action requiring documented justification and countersigned approval from the principal — all moderation events permanently logged in the examination record.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Result finalisation and publication workflow: results progress through a formal approval chain — Class Teacher verification, Subject Teacher review, HOD approval, Principal sign-off — before being published to students and parents — each stage is tracked with timestamps and approver identities, ensuring no result is released without completing the full review chain.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Board-format result registers and mark sheets: automatic generation of board-prescribed result formats — CBSE Marks Statement, ICSE Certificate results, state board grade sheets — populated from the platform's assessment ledger and formatted exactly to the regulatory specification, ready for principal's signature and submission to the respective board.</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1260A0"/>
                <w:sz w:val="21"/>
                <w:szCs w:val="21"/>
              </w:rPr>
              <w:t xml:space="preserve">Question Bank &amp; Paper Security Governance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Centralised subject question bank: all questions authored for any test are stored in the school's centralised, searchable question bank — tagged by subject, chapter, topic, question type, difficulty level, Bloom's level, year last used, and performance data (average mark obtained by students who attempted this question) — enabling intelligent, data-informed question selection for future tests.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Question performance analytics: after each test, the system calculates item-level performance statistics — difficulty index (% of students who answered correctly), discrimination index (whether high-scoring students got it right more than low-scoring students), and distractor analysis for MCQs — enabling teachers to retire poor-quality questions and prioritise high-discriminating questions in future assessments.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Paper security controls: finalised question papers are stored in an encrypted vault accessible only to authorised administrators — access attempts are logged; papers are released to printing only on the morning of the examination through a controlled print release workflow requiring dual-admin authentication — minimising paper leak risk.</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3D62"/>
                <w:sz w:val="20"/>
                <w:szCs w:val="20"/>
              </w:rPr>
              <w:t xml:space="preserve">▸  </w:t>
            </w:r>
            <w:r>
              <w:rPr>
                <w:rFonts w:ascii="Arial" w:cs="Arial" w:eastAsia="Arial" w:hAnsi="Arial"/>
                <w:color w:val="14202E"/>
                <w:sz w:val="20"/>
                <w:szCs w:val="20"/>
              </w:rPr>
              <w:t xml:space="preserve">Digital watermarking on printed papers: question papers printed through the platform's print management module are embedded with invisible digital watermarks encoding the printing timestamp, printer location, and print operator identity — if a paper leak is discovered, the source can be traced to the specific printing event.</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1B4332" w:val="clear"/>
            <w:tcMar>
              <w:top w:type="dxa" w:w="155"/>
              <w:left w:type="dxa" w:w="240"/>
              <w:bottom w:type="dxa" w:w="155"/>
              <w:right w:type="dxa" w:w="240"/>
            </w:tcMar>
          </w:tcPr>
          <w:p>
            <w:r>
              <w:rPr>
                <w:rFonts w:ascii="Arial" w:cs="Arial" w:eastAsia="Arial" w:hAnsi="Arial"/>
                <w:b/>
                <w:bCs/>
                <w:color w:val="FFFFFF"/>
                <w:sz w:val="24"/>
                <w:szCs w:val="24"/>
              </w:rPr>
              <w:t xml:space="preserve">2.  </w:t>
            </w:r>
            <w:r>
              <w:rPr>
                <w:rFonts w:ascii="Arial" w:cs="Arial" w:eastAsia="Arial" w:hAnsi="Arial"/>
                <w:b/>
                <w:bCs/>
                <w:color w:val="FFFFFF"/>
                <w:sz w:val="32"/>
                <w:szCs w:val="32"/>
              </w:rPr>
              <w:t xml:space="preserve">Skill Assessment Management</w:t>
            </w:r>
          </w:p>
        </w:tc>
      </w:tr>
      <w:tr>
        <w:tc>
          <w:tcPr>
            <w:tcW w:type="dxa" w:w="9360"/>
            <w:tcBorders>
              <w:top w:val="single" w:color="B4C6D6" w:sz="1"/>
              <w:left w:val="single" w:color="B4C6D6" w:sz="1"/>
              <w:bottom w:val="single" w:color="B4C6D6" w:sz="1"/>
              <w:right w:val="single" w:color="B4C6D6" w:sz="1"/>
            </w:tcBorders>
            <w:shd w:fill="D4EDE1" w:val="clear"/>
            <w:tcMar>
              <w:top w:type="dxa" w:w="115"/>
              <w:left w:type="dxa" w:w="240"/>
              <w:bottom w:type="dxa" w:w="115"/>
              <w:right w:type="dxa" w:w="240"/>
            </w:tcMar>
          </w:tcPr>
          <w:p>
            <w:r>
              <w:rPr>
                <w:rFonts w:ascii="Arial" w:cs="Arial" w:eastAsia="Arial" w:hAnsi="Arial"/>
                <w:b/>
                <w:bCs/>
                <w:color w:val="1B4332"/>
                <w:sz w:val="21"/>
                <w:szCs w:val="21"/>
              </w:rPr>
              <w:t xml:space="preserve">Overview  </w:t>
            </w:r>
            <w:r>
              <w:rPr>
                <w:rFonts w:ascii="Arial" w:cs="Arial" w:eastAsia="Arial" w:hAnsi="Arial"/>
                <w:i/>
                <w:iCs/>
                <w:color w:val="14202E"/>
                <w:sz w:val="21"/>
                <w:szCs w:val="21"/>
              </w:rPr>
              <w:t xml:space="preserve">A dedicated management layer for the complete lifecycle of competency-based skill assessments — governing assessment planning, scheduling, evidence collection, rubric application, multi-evaluator coordination, result moderation, and integration with the school's skill development framework to ensure skill assessments are rigorous, equitable, consistent, and actionable.</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26644"/>
                <w:sz w:val="21"/>
                <w:szCs w:val="21"/>
              </w:rPr>
              <w:t xml:space="preserve">Skill Assessment Planning &amp; Scheduling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Annual skill assessment calendar: the academic coordinator builds a school-wide skill assessment calendar at the start of each year — scheduling formative skill check-ins, summative competency evaluations, portfolio review milestones, peer assessment windows, and industry skill demonstrations across all grades and skill domains — visible to all stakeholders and integrated with the broader academic calendar to prevent assessment overload weeks.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Assessment type planning matrix: for each skill and grade level, the assessment planner specifies the mix of assessment types to be used across the year — performance tasks, portfolio reviews, peer assessments, self-assessments, and situational judgement tests — ensuring each skill's proficiency determination is based on triangulated evidence from multiple assessment formats rather than a single assessment event.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Skill coverage audit: an automated check verifying that every skill in the school's framework has at least one scheduled formal assessment opportunity in each academic year — gaps in the assessment calendar are flagged to the coordinator as coverage holes requiring resolution before the calendar is finalised and distributed.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Grade-appropriate assessment frequency calibration: assessment frequency recommendations per skill domain, calibrated by grade level — junior grades (1–5) have more frequent, lighter-touch observations and self-assessments; senior grades (9–12) have fewer but more comprehensive, formally evaluated performance assessments — preventing over-assessment anxiety in younger students while maintaining assessment rigour for exam-facing senior cohorts.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Assessment occasion logistics: for performance-based skill assessments requiring physical space (group tasks, presentations, demonstrations), the scheduling module books appropriate venues, arranges seating configurations, schedules facilitator attendance, and dispatches preparation instructions to all participants — managing the operational complexity of skill assessment delivery alongside the content planning.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Cross-domain concurrent scheduling: intelligently schedules assessments across different skill domains to ensure students are not simultaneously assessed on multiple major skill competencies — just as subject examination timetables prevent two papers on the same day, the skill assessment calendar prevents overwhelming assessment density within any single week.</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26644"/>
                <w:sz w:val="21"/>
                <w:szCs w:val="21"/>
              </w:rPr>
              <w:t xml:space="preserve">Evidence Collection &amp; Assessment Delivery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Observation-based assessment capture: for skills assessed through facilitator observation (leadership in group tasks, communication in discussions, practical problem-solving in lab scenarios), the mobile-optimised observation tool allows evaluators to record ratings and timestamped notes in real time during the activity — eliminating the unreliability of post-event recollection-based assessment.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Portfolio evidence submission management: students submit curated portfolios of their best work as evidence for summative skill assessments — the submission interface guides students through selecting specific artefacts for each skill criterion, writing contextual annotations explaining how each artefact demonstrates the skill, and linking to prior mentor feedback that corroborates their self-assessment claims.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Performance task live delivery: for formal performance assessments (presentations, demonstrations, role-plays), the platform manages the logistics of task delivery — participant roster, time slot allocation, evaluator assignment, recording activation (with participant consent), and real-time rubric completion — creating a structured assessment occasion rather than an ad hoc observation.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Peer assessment administration: the platform orchestrates structured peer assessment rounds — anonymously assigning evaluation pairs or groups, distributing the assessment brief and rubric, collecting peer ratings within a defined submission window, and aggregating results — applying statistical calibration to identify and down-weight outlier peer assessors before incorporating peer evidence into the final proficiency determination.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Digital artefact submission for skill evidence: students can submit digital artefacts directly as skill assessment evidence — videos demonstrating physical skills, coding project outputs demonstrating computational thinking, design files evidencing creative skills, debate recordings evidencing communication competency — all linked to specific rubric criteria with the student's explanatory annotation.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External skill assessment import: for students completing recognised external skill assessments (NSDC certifications, Cambridge English assessments, coding platform verified credentials, sports federation grading assessments), results can be imported into the platform and mapped to the relevant internal skill criteria — providing external validation evidence that strengthens internal proficiency determinations.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26644"/>
                <w:sz w:val="21"/>
                <w:szCs w:val="21"/>
              </w:rPr>
              <w:t xml:space="preserve">Rubric Application &amp; Moderation Workflow</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Calibrated rubric application training: before each major summative skill assessment cycle, all evaluators complete a calibration exercise — watching a recorded performance or reviewing a sample portfolio and independently applying the rubric, then comparing results in a structured calibration discussion — the platform tracks calibration participation and inter-rater agreement statistics, flagging evaluators whose ratings consistently diverge from the calibrated standard for additional support.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Multi-evaluator consensus building: for high-stakes summative skill assessments, a minimum of two evaluators independently assess each student — their scores are displayed side-by-side in a moderation interface, with significant discrepancies (greater than one full performance level on any criterion) requiring a structured reconciliation discussion before a final agreed score is recorded.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Holistic judgement integration: alongside criterion-by-criterion rubric scoring, evaluators record a holistic overall impression — sometimes a student's performance has a gestalt quality (authenticity, genuine understanding, evident growth) that individual criterion scores may not fully capture — the holistic comment is preserved alongside criterion scores and forms part of the student's qualitative feedback record.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Standardisation sample archive: after each assessment cycle, a stratified sample of evaluated work at each proficiency level is archived as the school's standardisation sample — used in subsequent cycles to anchor evaluators' understanding of each performance level to concrete, school-contextualised examples rather than abstract generic descriptors.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Parent communication of skill assessment results: skill assessment outcomes are communicated to parents in a plain-language report — describing each assessed skill in accessible terms, explaining what each proficiency level means for their child's development, identifying the top strength and the priority development area, and suggesting one specific home activity for each development priority — making skill assessment outcomes practically actionable for families.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Dispute resolution and re-assessment pathway: if a student or parent contests a skill assessment outcome, a formal review pathway is available — the student or parent submits specific evidence they believe was not adequately considered, the assessment coordinator reviews the original evidence and the contested additional evidence, and if substantiated, a re-assessment is scheduled with a different evaluator — all dispute records are maintained for programme quality monitoring.</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26644"/>
                <w:sz w:val="21"/>
                <w:szCs w:val="21"/>
              </w:rPr>
              <w:t xml:space="preserve">Integration &amp; Longitudinal Record Management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Bidirectional skill profile update: every completed skill assessment automatically updates the student's skill development profile — the new evidence items are added to the longitudinal portfolio, the proficiency level is recalculated using the evidence weighting algorithm, and the gap analysis is refreshed — ensuring the skill profile always reflects the most current evidence without manual profile management.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Assessment impact on skill development roadmap: when a summative assessment reveals a student has achieved a new proficiency level, their skill development roadmap is automatically updated — the closed gap is celebrated with a milestone notification, and the next-priority development target is surfaced with updated recommended activities — maintaining continuous motivational momentum.</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Subject-skill assessment integration: skill assessments embedded within academic subject assessments — e.g., a History essay simultaneously assessed for academic content quality and written communication skill — are processed through both the academic marks ledger and the skill profile simultaneously, eliminating double entry and recognising the skill development value of academic assessment tasks.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332"/>
                <w:sz w:val="20"/>
                <w:szCs w:val="20"/>
              </w:rPr>
              <w:t xml:space="preserve">▸  </w:t>
            </w:r>
            <w:r>
              <w:rPr>
                <w:rFonts w:ascii="Arial" w:cs="Arial" w:eastAsia="Arial" w:hAnsi="Arial"/>
                <w:color w:val="14202E"/>
                <w:sz w:val="20"/>
                <w:szCs w:val="20"/>
              </w:rPr>
              <w:t xml:space="preserve">Skill assessment programme effectiveness review: end-of-year analytical report for the academic leadership — comparing planned skill assessment coverage against actual delivery, proficiency gains achieved versus targets, inter-rater reliability statistics, student and parent satisfaction with assessment quality, and facilitator assessment workload distribution — providing comprehensive quality evidence for programme improvement decisions.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6B0F2A" w:val="clear"/>
            <w:tcMar>
              <w:top w:type="dxa" w:w="155"/>
              <w:left w:type="dxa" w:w="240"/>
              <w:bottom w:type="dxa" w:w="155"/>
              <w:right w:type="dxa" w:w="240"/>
            </w:tcMar>
          </w:tcPr>
          <w:p>
            <w:r>
              <w:rPr>
                <w:rFonts w:ascii="Arial" w:cs="Arial" w:eastAsia="Arial" w:hAnsi="Arial"/>
                <w:b/>
                <w:bCs/>
                <w:color w:val="FFFFFF"/>
                <w:sz w:val="24"/>
                <w:szCs w:val="24"/>
              </w:rPr>
              <w:t xml:space="preserve">3.  </w:t>
            </w:r>
            <w:r>
              <w:rPr>
                <w:rFonts w:ascii="Arial" w:cs="Arial" w:eastAsia="Arial" w:hAnsi="Arial"/>
                <w:b/>
                <w:bCs/>
                <w:color w:val="FFFFFF"/>
                <w:sz w:val="32"/>
                <w:szCs w:val="32"/>
              </w:rPr>
              <w:t xml:space="preserve">Student Performance Reports</w:t>
            </w:r>
          </w:p>
        </w:tc>
      </w:tr>
      <w:tr>
        <w:tc>
          <w:tcPr>
            <w:tcW w:type="dxa" w:w="9360"/>
            <w:tcBorders>
              <w:top w:val="single" w:color="B4C6D6" w:sz="1"/>
              <w:left w:val="single" w:color="B4C6D6" w:sz="1"/>
              <w:bottom w:val="single" w:color="B4C6D6" w:sz="1"/>
              <w:right w:val="single" w:color="B4C6D6" w:sz="1"/>
            </w:tcBorders>
            <w:shd w:fill="F8D6DE" w:val="clear"/>
            <w:tcMar>
              <w:top w:type="dxa" w:w="115"/>
              <w:left w:type="dxa" w:w="240"/>
              <w:bottom w:type="dxa" w:w="115"/>
              <w:right w:type="dxa" w:w="240"/>
            </w:tcMar>
          </w:tcPr>
          <w:p>
            <w:r>
              <w:rPr>
                <w:rFonts w:ascii="Arial" w:cs="Arial" w:eastAsia="Arial" w:hAnsi="Arial"/>
                <w:b/>
                <w:bCs/>
                <w:color w:val="6B0F2A"/>
                <w:sz w:val="21"/>
                <w:szCs w:val="21"/>
              </w:rPr>
              <w:t xml:space="preserve">Overview  </w:t>
            </w:r>
            <w:r>
              <w:rPr>
                <w:rFonts w:ascii="Arial" w:cs="Arial" w:eastAsia="Arial" w:hAnsi="Arial"/>
                <w:i/>
                <w:iCs/>
                <w:color w:val="14202E"/>
                <w:sz w:val="21"/>
                <w:szCs w:val="21"/>
              </w:rPr>
              <w:t xml:space="preserve">A sophisticated, automated report generation system that synthesises assessment data, skill development evidence, attendance records, co-curricular participation, and teacher observations into comprehensive, multi-format, multi-audience performance reports — replacing manual report writing with a data-rich, narrative-enhanced, and instantly distributable digital reporting system.</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21438"/>
                <w:sz w:val="21"/>
                <w:szCs w:val="21"/>
              </w:rPr>
              <w:t xml:space="preserve">Report Types &amp; Generation Triggers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Five core report types managed by the system: Term Report Card (comprehensive academic and co-scholastic performance summary for each term or half-year), Annual Report Card (full academic year cumulative performance including board-format grade calculations), Diagnostic Progress Report (mid-term formative snapshot identifying learning gaps for student and parent action), Skill Development Report (dedicated report on competency-based skill progress separate from academic performance), and Personalised Learning Report (AI-generated narrative report providing a holistic, strength-based portrait of the individual student's learning journey during the year).</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Automated report generation triggers: reports are automatically compiled when all required data inputs are received and verified — the system checks completeness of all subject marks, attendance records, co-scholastic evaluations, and teacher comments before triggering report generation, preventing partial or inaccurate reports — a data completeness dashboard shows coordinators exactly which inputs are outstanding before the report generation deadline.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Board-mandated report card formats: CBSE Scholastic and Co-Scholastic report formats, ICSE progress report formats, and all major state board prescribed formats are built into the template library — school-verified format configurations ensure reports are board-compliant without requiring manual formatting — reducing the risk of non-compliance during board inspections.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Custom report card designer: for schools with unique reporting requirements (montessori approaches, portfolio-based assessment schools, international curricula), a fully customisable report card designer allows schools to configure their own layout — defining sections, subject groupings, grading scale displays, co-scholastic domains, narrative fields, and visual elements — producing a report that authentically represents the school's assessment philosophy.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Interim and mid-term progress reports: lightweight progress notifications dispatched mid-term to parents — not a full formal report but a structured progress indicator showing current assessment performance trend, attendance status, assignment completion rate, and one teacher observation — keeping parents informed between formal reporting cycles without requiring full report generation.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Special circumstance reports: dedicated report generation for specific scenarios — Transfer Certificate report (academic summary for departing students), Medical Leave Performance Report (adjusted assessment coverage for students with extended medical absence), and Supplementary Examination Result Report — each with appropriate caveats, adjusted calculations, and contextual notes.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21438"/>
                <w:sz w:val="21"/>
                <w:szCs w:val="21"/>
              </w:rPr>
              <w:t xml:space="preserve">Data Synthesis &amp; Report Content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Comprehensive data aggregation: each report draws from six data streams simultaneously — Academic Assessment Ledger (all test, examination, assignment, and project scores), Skill Development Profile (competency progress across all skill domains), Attendance Register (daily and subject-wise attendance statistics), Co-Curricular Participation Record (clubs, sports, events, leadership roles), Behavioural and Conduct Record (positive recognitions, disciplinary notes — presented in constructive terms), and Teacher Observation Notes (qualitative impressions and specific developmental insights from class teachers and subject teachers).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Intelligent grade calculation engine: supports multiple grading systems simultaneously — absolute marks, percentage scores, CGPA on 9-point scale, letter grades (A1–E), descriptive grades (Outstanding, Very Good, Good, Satisfactory, Needs Improvement), and pass/fail — each subject can use the grading system required by the board or school policy, with automatic conversion between scales where cumulative performance across mixed-scale subjects must be aggregated.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AI-generated teacher comment assistance: teachers are guided to provide personalised subject-specific comments — the AI drafts an initial comment for each student based on their performance data (strengths, improvement areas, notable trends), which the teacher reviews and edits to add personal observations and nuance — dramatically reducing the time required for individualised comments while ensuring all students receive substantive, data-grounded feedback rather than generic placeholder text.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Strength-first narrative framing: the report's narrative sections follow a strength-based framing protocol — every student's report opens with their demonstrated strengths before addressing development areas — research-backed to improve student engagement with feedback, increase parent receptiveness to developmental concerns, and support student wellbeing and academic confidence.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Curriculum coverage context: for each subject, the report includes a curriculum coverage summary — indicating what portion of the syllabus was covered by the assessment period, which topics were assessed, and how the student's performance in each unit area compares to the class average — giving parents specific, topic-level academic insight rather than a single opaque subject grade.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Comparative performance context: each student's scores are presented with appropriate comparative context — class average and grade average are shown alongside individual scores, allowing parents to understand performance in context without exposing other students' individual data — helping parents calibrate whether a 72% in Mathematics represents strong, average, or below-average performance for the grade level.</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21438"/>
                <w:sz w:val="21"/>
                <w:szCs w:val="21"/>
              </w:rPr>
              <w:t xml:space="preserve">Report Distribution &amp; Parent Engagement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Multi-channel report distribution: reports are simultaneously published to the student's portal (accessible on web and mobile app), the parent's portal (with notification alert), the teacher's admin dashboard, and optionally dispatched as a password-protected PDF to the parent's registered email — with delivery confirmation tracking showing who has accessed the report and when.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Digital acknowledgement and parent response: parents digitally acknowledge receipt and reading of the report through the portal — acknowledged reports are logged with timestamp as proof of parental notification — parents can submit a brief response or query directly on the report, which is routed to the relevant class teacher for reply, creating a structured digital parent-teacher dialogue around the report.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PTM preparation integration: before Parent-Teacher Meetings, each teacher's PTM dashboard shows a pre-populated discussion agenda for each student — drawn from the report data, highlighting the student's top achievement, primary development concern, attendance status, and any pending action items from the previous PTM — enabling more substantive, evidence-based parent conversations in the limited meeting time available.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Print-on-demand and physical distribution: for parents who prefer or require physical reports (limited digital access, documentation requirements), the platform generates print-optimised PDF versions with school branding, principal's digital signature reproduction, school seal, and a verification QR code — batch print jobs can be queued for all students in a class with a single admin action.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Historical report archive: all generated reports are permanently archived in the student's digital academic record — accessible to students and parents at any time, retrievable years after the report period — providing a continuous academic narrative from the student's entry to the school through to graduation, invaluable for transfer applications, scholarship evidence, and personal academic reflection.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Multi-language report generation: for schools serving multilingual communities, report text templates (section labels, grading descriptions, standard teacher comment prompts) are available in regional languages — and AI-assisted translation of narrative teacher comments enables reports to be delivered in the parent's preferred language — dramatically improving parent comprehension and engagement with report content.</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21438"/>
                <w:sz w:val="21"/>
                <w:szCs w:val="21"/>
              </w:rPr>
              <w:t xml:space="preserve">Quality Assurance &amp; Compliance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Report accuracy validation layer: before any report is published, an automated accuracy check runs across all data — verifying that subject totals match component sub-totals, that grade calculations follow the configured formula, that attendance figures are consistent with the attendance module, and that no mandatory fields are empty — reports failing validation checks are returned to the responsible teacher with specific error details.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Principal digital sign-off workflow: all term and annual reports require formal principal review and digital sign-off before publication — the principal's dashboard presents a report review interface where they can approve in bulk (for large cohorts) or review individually flagged reports — the sign-off timestamp and principal identity are embedded in the final report document.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Board submission readiness check: for CBSE and state board schools with reporting obligations, the platform performs a board-submission readiness check on all report data — verifying compliance with prescribed assessment component weightages, grading scale applications, and co-scholastic grade distributions — generating a submission-ready report extract in the board's prescribed digital format.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2A"/>
                <w:sz w:val="20"/>
                <w:szCs w:val="20"/>
              </w:rPr>
              <w:t xml:space="preserve">▸  </w:t>
            </w:r>
            <w:r>
              <w:rPr>
                <w:rFonts w:ascii="Arial" w:cs="Arial" w:eastAsia="Arial" w:hAnsi="Arial"/>
                <w:color w:val="14202E"/>
                <w:sz w:val="20"/>
                <w:szCs w:val="20"/>
              </w:rPr>
              <w:t xml:space="preserve">Data protection and privacy controls: report data is handled under strict privacy controls — parents can only access reports for their registered children, students can only access their own reports, teachers can only access reports for students in their assigned classes — and all report access events are logged in the platform's audit trail for data protection compliance.</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7A4400" w:val="clear"/>
            <w:tcMar>
              <w:top w:type="dxa" w:w="155"/>
              <w:left w:type="dxa" w:w="240"/>
              <w:bottom w:type="dxa" w:w="155"/>
              <w:right w:type="dxa" w:w="240"/>
            </w:tcMar>
          </w:tcPr>
          <w:p>
            <w:r>
              <w:rPr>
                <w:rFonts w:ascii="Arial" w:cs="Arial" w:eastAsia="Arial" w:hAnsi="Arial"/>
                <w:b/>
                <w:bCs/>
                <w:color w:val="FFFFFF"/>
                <w:sz w:val="24"/>
                <w:szCs w:val="24"/>
              </w:rPr>
              <w:t xml:space="preserve">4.  </w:t>
            </w:r>
            <w:r>
              <w:rPr>
                <w:rFonts w:ascii="Arial" w:cs="Arial" w:eastAsia="Arial" w:hAnsi="Arial"/>
                <w:b/>
                <w:bCs/>
                <w:color w:val="FFFFFF"/>
                <w:sz w:val="32"/>
                <w:szCs w:val="32"/>
              </w:rPr>
              <w:t xml:space="preserve">Class Performance Analytics</w:t>
            </w:r>
          </w:p>
        </w:tc>
      </w:tr>
      <w:tr>
        <w:tc>
          <w:tcPr>
            <w:tcW w:type="dxa" w:w="9360"/>
            <w:tcBorders>
              <w:top w:val="single" w:color="B4C6D6" w:sz="1"/>
              <w:left w:val="single" w:color="B4C6D6" w:sz="1"/>
              <w:bottom w:val="single" w:color="B4C6D6" w:sz="1"/>
              <w:right w:val="single" w:color="B4C6D6" w:sz="1"/>
            </w:tcBorders>
            <w:shd w:fill="FAE8CC" w:val="clear"/>
            <w:tcMar>
              <w:top w:type="dxa" w:w="115"/>
              <w:left w:type="dxa" w:w="240"/>
              <w:bottom w:type="dxa" w:w="115"/>
              <w:right w:type="dxa" w:w="240"/>
            </w:tcMar>
          </w:tcPr>
          <w:p>
            <w:r>
              <w:rPr>
                <w:rFonts w:ascii="Arial" w:cs="Arial" w:eastAsia="Arial" w:hAnsi="Arial"/>
                <w:b/>
                <w:bCs/>
                <w:color w:val="7A4400"/>
                <w:sz w:val="21"/>
                <w:szCs w:val="21"/>
              </w:rPr>
              <w:t xml:space="preserve">Overview  </w:t>
            </w:r>
            <w:r>
              <w:rPr>
                <w:rFonts w:ascii="Arial" w:cs="Arial" w:eastAsia="Arial" w:hAnsi="Arial"/>
                <w:i/>
                <w:iCs/>
                <w:color w:val="14202E"/>
                <w:sz w:val="21"/>
                <w:szCs w:val="21"/>
              </w:rPr>
              <w:t xml:space="preserve">A powerful analytical intelligence layer that aggregates and interprets assessment and performance data at the class and section level — enabling teachers, department heads, and academic coordinators to identify performance patterns, benchmark against standards, diagnose systemic learning gaps, evaluate instructional effectiveness, and make evidence-informed decisions that improve learning outcomes for entire cohorts.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E5A00"/>
                <w:sz w:val="21"/>
                <w:szCs w:val="21"/>
              </w:rPr>
              <w:t xml:space="preserve">Class-Level Performance Overview</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Class performance scorecard: a single-screen summary of the class's academic health across all subjects — showing class average, highest score, lowest score, pass rate, and grade distribution for the most recent assessment event — with delta indicators comparing against the previous assessment event to show whether the class is trending up or down.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Subject-wise performance matrix: a colour-coded grid showing every student (rows) against every subject (columns) — cell colour represents the student's performance band in each subject — instantly revealing patterns: a column of red cells signals a subject where the entire class is struggling; a row of red cells signals an individual student at risk across all subjects; scattered red cells indicate isolated pockets of weakness requiring targeted intervention.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Assessment type performance comparison: analyses how the class performs across different assessment types (class tests vs. half-yearly vs. annual) — persistent patterns of students performing significantly better in internal tests than in terminal examinations may indicate test anxiety, insufficient examination preparation, or inadequate bridging between formative and summative assessment difficulty levels.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Grade distribution visualisation: frequency histogram and pie chart showing the distribution of students across performance bands (Exemplary, Proficient, Developing, Emerging, At Risk) — healthy class distributions show a majority in Proficient with a gradual tail in both directions; extreme skew in either direction indicates calibration issues with the assessment or instruction quality concerns.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Attendance-performance correlation map: overlays attendance data with academic performance data for each student in the class — quantifying the attendance threshold below which academic performance begins to deteriorate significantly for this specific cohort, providing evidence-based justification for attendance intervention thresholds.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Class performance trend over academic year: a time-series chart plotting the class average for each subject across all assessment events from the start of the academic year — showing whether performance is improving, plateauing, or declining as the year progresses, and whether performance changes correlate with specific curriculum phases, teacher changes, or calendar events.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E5A00"/>
                <w:sz w:val="21"/>
                <w:szCs w:val="21"/>
              </w:rPr>
              <w:t xml:space="preserve">Learning Gap Identification &amp; Diagnostic Analysis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Topic-level weakness mapping: post-assessment analysis that identifies, from question-level data, which specific syllabus topics the class as a whole performed most poorly in — presented as a ranked weakness list with pass rate per topic — enabling teachers to plan targeted re-teaching sessions rather than uniformly revising entire chapters.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Question difficulty and discrimination analysis: statistical item analysis for every question on every test — difficulty index (% of students who answered correctly), discrimination index (correlation between question score and total test score), and for MCQs, distractor analysis (which wrong answers were chosen most frequently) — identifying flawed questions that should be excluded from marking consideration and strong questions for the standardisation sample.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Bloom's Taxonomy performance profile: for tests designed with Bloom's level tagging, the analytics breaks down class performance by cognitive level — revealing whether students can Remember and Understand content but fail at Apply and Analyse tasks, a common pattern indicating surface-level learning that is not being extended to deep conceptual understanding.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Learning gap clustering: groups students into clusters based on the similarity of their gap profiles — students sharing the same constellation of topic weaknesses can be targeted with the same remedial content, making differentiated instruction operationally manageable for teachers working with large classes.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Prerequisite knowledge gap tracing: when a class performs poorly in a new topic, the analytics engine traces back through the curriculum dependency map to identify which prerequisite topics from earlier in the year (or from the previous grade) are most likely contributing to the current difficulty — distinguishing between a current teaching problem and an unclosed gap from earlier instruction.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Cross-cohort learning gap comparison: compares the current class's gap profile against the same class's gap profile in the previous year, and against parallel sections in the current year — identifying whether gaps are specific to this cohort (pointing to instruction or engagement factors) or systemic across all cohorts (pointing to curriculum, resource, or assessment design factors).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E5A00"/>
                <w:sz w:val="21"/>
                <w:szCs w:val="21"/>
              </w:rPr>
              <w:t xml:space="preserve">Teacher Effectiveness &amp; Instructional Analytics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Teaching effectiveness indicator per subject-teacher combination: value-added analysis for each teacher's class — measuring student performance growth relative to their starting point and relative to parallel classes — providing a fair, context-adjusted estimate of the teacher's instructional contribution that controls for differences in class composition.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Assessment quality metrics: analyses the quality of assessments created by each teacher — average difficulty index of questions, discrimination index distribution, curriculum coverage breadth, Bloom's level spread, and reliability coefficient — providing teachers with specific, data-based feedback on their assessment design craft beyond simple results feedback.</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Feedback turnaround time analysis: measures the average time between assessment submission and teacher feedback delivery — for written assessments, the days between paper collection and marked paper return; for digital assessments, time between submission and feedback publication — with class-level averages benchmarked against the school's target feedback turnaround standard.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Remediation effectiveness tracking: when a teacher delivers targeted remediation after identifying a class-wide learning gap, the analytics compares performance on the same concept in the subsequent assessment to measure whether the remediation closed the identified gap — building an evidence base for which remediation approaches are most effective for this teacher's students.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Curriculum pacing alignment: compares the teacher's actual content delivery pace (as logged through lesson plan marking and syllabus coverage updates) against the planned pacing guide — classes where the teacher is significantly behind the pacing target at the time of an assessment receive a contextual note on the performance data, explaining lower-than-expected scores as a coverage issue rather than a learning quality issue.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Comparative effectiveness across sections: for teachers handling multiple sections of the same subject and grade, a within-teacher cross-section comparison shows whether performance levels are consistent across their sections — significant performance differences between a teacher's own sections may indicate inconsistent instructional attention or unconscious teaching bias toward particular cohorts.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E5A00"/>
                <w:sz w:val="21"/>
                <w:szCs w:val="21"/>
              </w:rPr>
              <w:t xml:space="preserve">Benchmarking &amp; External Comparison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Intra-school benchmarking: side-by-side comparison of all parallel sections of the same grade and subject — showing each section's class average, grade distribution, and gap profile — enabling coordinators to identify outlier sections (both high-performing and struggling) and facilitate peer learning between high-performing teachers and those whose students are struggling.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Historical cohort benchmarking: compares the current class's performance against the same class's performance in the corresponding assessment in the previous two years — distinguishing between genuinely declining standards and cyclical variation, and identifying whether subject-specific trends are improving or worsening over time.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Board examination performance projection: using current internal assessment performance data and the school's historical internal-to-board score correlation, the system projects each student's likely board examination grade range — enabling proactive identification of students projected to fall below the passing threshold with sufficient time for intensive intervention before the board examination.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4400"/>
                <w:sz w:val="20"/>
                <w:szCs w:val="20"/>
              </w:rPr>
              <w:t xml:space="preserve">▸  </w:t>
            </w:r>
            <w:r>
              <w:rPr>
                <w:rFonts w:ascii="Arial" w:cs="Arial" w:eastAsia="Arial" w:hAnsi="Arial"/>
                <w:color w:val="14202E"/>
                <w:sz w:val="20"/>
                <w:szCs w:val="20"/>
              </w:rPr>
              <w:t xml:space="preserve">Platform-wide anonymised benchmarking: with appropriate privacy controls, the school's class-level performance data is compared against anonymised performance data from schools with similar profiles (same board, same grade, similar student demographics) on the platform — providing a national context for class performance and identifying whether gaps are school-specific or broadly shared, informing whether solutions should be sought within the school or through engagement with the broader educational community.</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1C2B3C" w:val="clear"/>
            <w:tcMar>
              <w:top w:type="dxa" w:w="155"/>
              <w:left w:type="dxa" w:w="240"/>
              <w:bottom w:type="dxa" w:w="155"/>
              <w:right w:type="dxa" w:w="240"/>
            </w:tcMar>
          </w:tcPr>
          <w:p>
            <w:r>
              <w:rPr>
                <w:rFonts w:ascii="Arial" w:cs="Arial" w:eastAsia="Arial" w:hAnsi="Arial"/>
                <w:b/>
                <w:bCs/>
                <w:color w:val="FFFFFF"/>
                <w:sz w:val="24"/>
                <w:szCs w:val="24"/>
              </w:rPr>
              <w:t xml:space="preserve">5.  </w:t>
            </w:r>
            <w:r>
              <w:rPr>
                <w:rFonts w:ascii="Arial" w:cs="Arial" w:eastAsia="Arial" w:hAnsi="Arial"/>
                <w:b/>
                <w:bCs/>
                <w:color w:val="FFFFFF"/>
                <w:sz w:val="32"/>
                <w:szCs w:val="32"/>
              </w:rPr>
              <w:t xml:space="preserve">Progress Tracking Dashboard</w:t>
            </w:r>
          </w:p>
        </w:tc>
      </w:tr>
      <w:tr>
        <w:tc>
          <w:tcPr>
            <w:tcW w:type="dxa" w:w="9360"/>
            <w:tcBorders>
              <w:top w:val="single" w:color="B4C6D6" w:sz="1"/>
              <w:left w:val="single" w:color="B4C6D6" w:sz="1"/>
              <w:bottom w:val="single" w:color="B4C6D6" w:sz="1"/>
              <w:right w:val="single" w:color="B4C6D6" w:sz="1"/>
            </w:tcBorders>
            <w:shd w:fill="D6E2EE" w:val="clear"/>
            <w:tcMar>
              <w:top w:type="dxa" w:w="115"/>
              <w:left w:type="dxa" w:w="240"/>
              <w:bottom w:type="dxa" w:w="115"/>
              <w:right w:type="dxa" w:w="240"/>
            </w:tcMar>
          </w:tcPr>
          <w:p>
            <w:r>
              <w:rPr>
                <w:rFonts w:ascii="Arial" w:cs="Arial" w:eastAsia="Arial" w:hAnsi="Arial"/>
                <w:b/>
                <w:bCs/>
                <w:color w:val="1C2B3C"/>
                <w:sz w:val="21"/>
                <w:szCs w:val="21"/>
              </w:rPr>
              <w:t xml:space="preserve">Overview  </w:t>
            </w:r>
            <w:r>
              <w:rPr>
                <w:rFonts w:ascii="Arial" w:cs="Arial" w:eastAsia="Arial" w:hAnsi="Arial"/>
                <w:i/>
                <w:iCs/>
                <w:color w:val="14202E"/>
                <w:sz w:val="21"/>
                <w:szCs w:val="21"/>
              </w:rPr>
              <w:t xml:space="preserve">A real-time, multi-stakeholder visual intelligence hub that provides continuously updated, contextually rich views of student and class progress across every tracked dimension — academic performance, skill development, attendance, co-curricular engagement, and wellbeing indicators — consolidating data from all platform modules into a single, navigable command centre for personalised learning support and strategic academic oversight.</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A3F58"/>
                <w:sz w:val="21"/>
                <w:szCs w:val="21"/>
              </w:rPr>
              <w:t xml:space="preserve">Student-Facing Progress Dashboard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Personal learning home screen: each student's primary platform interface is a personalised progress dashboard — displaying their overall academic performance trend, current skill proficiency radar chart, attendance streak, upcoming assessment deadlines, active project milestones, Dojo session schedule, recent feedback notifications, and today's learning agenda — consolidating all active learning commitments into a single motivating launchpad.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Subject-level progress cards: a card for each enrolled subject showing the student's current cumulative score, trend direction since the last assessment, class rank (percentile, not absolute rank, to reduce demotivating comparison), topics covered vs. total topics, and the next assessment date with a countdown — giving the student all the context they need to prioritise their independent study time effectively.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Goal tracking and milestone visualisation: students set personal academic goals at the start of each term (with facilitator guidance) — the dashboard tracks progress against each goal with a visual progress bar and a streak indicator showing consecutive days of on-target progress — gamifying consistent effort and making self-directed improvement both visible and rewarding.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Learning time analytics: the dashboard shows the student's weekly platform engagement statistics — time spent per subject, content types engaged (video, reading, quiz, practice), peak productivity hours, and study consistency score — providing metacognitive insight into their own learning habits that most students never otherwise have access to.</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Personalised next-step recommendations: an AI-driven recommendation panel shows the student their three highest-priority actions for the current week — based on upcoming deadlines, identified learning gaps, incomplete courses, pending mentor feedback responses, and skill development roadmap milestones — ensuring students who are unsure where to focus their energy always have a clear, data-informed next step.</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Wellbeing integration: the student dashboard includes a daily wellbeing check-in (a brief emoji-scale mood indicator) — with data visible only to the student and their counsellor — and surface links to wellbeing resources when patterns suggest stress (e.g., multiple late-night engagement sessions before examinations, declining engagement frequency correlated with upcoming high-stakes events).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A3F58"/>
                <w:sz w:val="21"/>
                <w:szCs w:val="21"/>
              </w:rPr>
              <w:t xml:space="preserve">Teacher &amp; Class Teacher Dashboard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Class health at a glance: the teacher's dashboard opens with a class health overview for each of their assigned classes — five key indicators displayed for each class: Current Average Performance (with trend), Attendance Rate (today and rolling 30-day), Assignment Submission Rate, Skill Development Engagement Rate, and At-Risk Student Count — a red-amber-green status system immediately directing attention to classes needing intervention.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Individual student drill-down: from the class overview, teachers click any student's name to access a 360-degree student progress view — integrating academic performance across all subjects, skill development profile, attendance history, assignment log, recent teacher feedback, mentor interaction history, and any flagged concerns from other teachers or the counsellor — giving the class teacher a genuinely comprehensive picture for pastoral and academic support decisions.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Upcoming assessment preparation monitor: shows the class's current preparation status for each upcoming assessment — based on lesson completion rates, practice quiz attempt rates, and self-paced study engagement for the assessed topics — enabling teachers to gauge collective readiness and schedule targeted revision sessions before examination dates.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Feedback delivery tracker: shows all outstanding marking and feedback tasks across all the teacher's classes — each pending item listed with the date of submission, days elapsed since submission, and an urgent flag when feedback is overdue relative to the school's turnaround standard — supporting teachers in managing their marking workload systematically without items falling through the cracks.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Parent engagement indicator per student: shows which students' parents are actively engaged with the platform (accessing reports, reading notifications, logging into the portal) versus disengaged — enabling teachers to identify families who may be missing important school communications and proactively reach out through alternative channels.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Cross-subject concern flag aggregation: when multiple subject teachers have flagged the same student for concern, the class teacher's dashboard aggregates these flags — a student flagged by four different subject teachers for declining performance or engagement is surfaced as a coordinated multi-subject concern requiring pastoral intervention, even if each individual flag appears routine in isolation.</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A3F58"/>
                <w:sz w:val="21"/>
                <w:szCs w:val="21"/>
              </w:rPr>
              <w:t xml:space="preserve">Academic Coordinator &amp; Leadership Dashboard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School-wide academic health overview: a single-screen executive summary of the school's academic status — total students at-risk (below 50% cumulative average), grade-wise average performance trend, subject-wise pass rate leaderboard (highest and lowest performing subjects), attendance health across grades, assessment completion rates, and outstanding report card approvals — giving leadership the intelligence needed to direct attention and resources effectively.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Grade and section comparative view: a matrix view allowing coordinators to compare performance across all grades and sections simultaneously — identifying grades performing significantly below historical norms, sections with unusually high at-risk student concentrations, and subject-grade combinations requiring urgent academic support deployment.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Teacher performance impact monitoring: for each teacher's assigned classes, the coordinator's dashboard shows the value-added performance trend — identifying teachers whose students are consistently improving relative to baseline (indicating highly effective instruction) and teachers whose students are consistently declining (indicating a need for professional support or intervention).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Curriculum delivery health: tracks the aggregate syllabus coverage status across all subjects and grades — visualising which subjects are significantly behind the pacing guide, which topics have been flagged by multiple teachers as requiring additional instructional time, and how the assessment calendar aligns with current curriculum coverage status — enabling proactive schedule adjustments before assessment events expose unprepared students to untaught content.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Real-time examination period monitoring: during examination weeks, the coordinator's dashboard shows live examination logistics status — papers distributed, invigilation confirmed, any hall incidents flagged, answer script collection confirmed, marks entry progress, and result publication status — a comprehensive examination control room view.</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Intervention programme tracking: monitors the progress and effectiveness of all active academic interventions — remedial programmes, peer tutoring schemes, after-school support, and mentoring intensification — showing pre-intervention and post-intervention performance data side-by-side to assess whether each intervention is producing measurable improvement and justifying continued resource investment.</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A3F58"/>
                <w:sz w:val="21"/>
                <w:szCs w:val="21"/>
              </w:rPr>
              <w:t xml:space="preserve">Parent Progress Dashboard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Parent home view: parents access a child-specific progress dashboard showing their child's overall academic standing (percentage score, grade band, trend arrow), skill development summary, attendance status, upcoming deadlines, recent teacher feedback, and any urgent notifications — designed for parents who have limited time, providing the most important information in the first screenful without requiring navigation.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Comparison context without ranking: parents see their child's performance shown against the class average and the grade average — providing meaningful context for score interpretation — but individual peer rankings are never shown, protecting student privacy and reducing unhealthy competitive social comparison driven by detailed ranking visibility.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Homework and assignment completion view: parents see a real-time log of all assigned homework and assignments — what has been submitted, what is pending, what is overdue, and the teacher's feedback on completed work — giving parents who wish to support their child's academic routine precise, current information rather than relying on the child's self-reporting.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Upcoming assessment alert system: configurable alerts notifying parents of upcoming examinations, project deadlines, and skill assessment occasions — with preparation resource links (revision notes, practice quizzes) included in the alert — enabling parents to provide targeted, timed support for high-stakes assessment moments.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Teacher communication gateway: the parent dashboard includes a direct, structured communication link to each of their child's teachers — enabling parents to send queries, request calls, or flag concerns without requiring the parent to remember teacher contact details or navigate away from the progress data that prompted their question.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2B3C"/>
                <w:sz w:val="20"/>
                <w:szCs w:val="20"/>
              </w:rPr>
              <w:t xml:space="preserve">▸  </w:t>
            </w:r>
            <w:r>
              <w:rPr>
                <w:rFonts w:ascii="Arial" w:cs="Arial" w:eastAsia="Arial" w:hAnsi="Arial"/>
                <w:color w:val="14202E"/>
                <w:sz w:val="20"/>
                <w:szCs w:val="20"/>
              </w:rPr>
              <w:t xml:space="preserve">Historical progress archive and trajectory view: parents can access a cumulative longitudinal view of their child's academic progress from their first year at the school — plotted as a performance trajectory across years — making the arc of their child's development visible and providing the context needed to distinguish genuine improvement from a temporary assessment result.</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2D4A22" w:val="clear"/>
            <w:tcMar>
              <w:top w:type="dxa" w:w="155"/>
              <w:left w:type="dxa" w:w="240"/>
              <w:bottom w:type="dxa" w:w="155"/>
              <w:right w:type="dxa" w:w="240"/>
            </w:tcMar>
          </w:tcPr>
          <w:p>
            <w:r>
              <w:rPr>
                <w:rFonts w:ascii="Arial" w:cs="Arial" w:eastAsia="Arial" w:hAnsi="Arial"/>
                <w:b/>
                <w:bCs/>
                <w:color w:val="FFFFFF"/>
                <w:sz w:val="24"/>
                <w:szCs w:val="24"/>
              </w:rPr>
              <w:t xml:space="preserve">6.  </w:t>
            </w:r>
            <w:r>
              <w:rPr>
                <w:rFonts w:ascii="Arial" w:cs="Arial" w:eastAsia="Arial" w:hAnsi="Arial"/>
                <w:b/>
                <w:bCs/>
                <w:color w:val="FFFFFF"/>
                <w:sz w:val="32"/>
                <w:szCs w:val="32"/>
              </w:rPr>
              <w:t xml:space="preserve">Improvement Tracking</w:t>
            </w:r>
          </w:p>
        </w:tc>
      </w:tr>
      <w:tr>
        <w:tc>
          <w:tcPr>
            <w:tcW w:type="dxa" w:w="9360"/>
            <w:tcBorders>
              <w:top w:val="single" w:color="B4C6D6" w:sz="1"/>
              <w:left w:val="single" w:color="B4C6D6" w:sz="1"/>
              <w:bottom w:val="single" w:color="B4C6D6" w:sz="1"/>
              <w:right w:val="single" w:color="B4C6D6" w:sz="1"/>
            </w:tcBorders>
            <w:shd w:fill="DFF0D8" w:val="clear"/>
            <w:tcMar>
              <w:top w:type="dxa" w:w="115"/>
              <w:left w:type="dxa" w:w="240"/>
              <w:bottom w:type="dxa" w:w="115"/>
              <w:right w:type="dxa" w:w="240"/>
            </w:tcMar>
          </w:tcPr>
          <w:p>
            <w:r>
              <w:rPr>
                <w:rFonts w:ascii="Arial" w:cs="Arial" w:eastAsia="Arial" w:hAnsi="Arial"/>
                <w:b/>
                <w:bCs/>
                <w:color w:val="2D4A22"/>
                <w:sz w:val="21"/>
                <w:szCs w:val="21"/>
              </w:rPr>
              <w:t xml:space="preserve">Overview  </w:t>
            </w:r>
            <w:r>
              <w:rPr>
                <w:rFonts w:ascii="Arial" w:cs="Arial" w:eastAsia="Arial" w:hAnsi="Arial"/>
                <w:i/>
                <w:iCs/>
                <w:color w:val="14202E"/>
                <w:sz w:val="21"/>
                <w:szCs w:val="21"/>
              </w:rPr>
              <w:t xml:space="preserve">A dedicated, outcome-focused system for identifying students requiring academic support, designing and implementing structured improvement interventions, monitoring the effectiveness of those interventions in real time, and closing the loop with evidence-based assessment of whether improvement targets have been met — transforming improvement support from a reactive, ad hoc process into a systematic, data-governed school-wide practice.</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3E6630"/>
                <w:sz w:val="21"/>
                <w:szCs w:val="21"/>
              </w:rPr>
              <w:t xml:space="preserve">At-Risk Identification &amp; Triage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Multi-signal at-risk detection model: the platform's at-risk identification engine continuously analyses seven indicator streams simultaneously — Academic Performance (cumulative score below grade-level threshold), Assessment Trajectory (three consecutive assessments showing declining scores), Attendance Pattern (below 75% or sharply declining), Assignment Completion (below 60% completion rate in any subject), Engagement Quality (declining platform engagement metrics), Skill Development (no measurable skill progress in 30+ days), and Wellbeing Signals (counsellor flags, facilitator welfare concerns) — a student is classified as at-risk when two or more streams show concerning patterns simultaneously, reducing false positives from single-signal anomalies.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At-risk severity classification: identified at-risk students are triaged into three intervention urgency levels — Level 1: Monitoring (concerning trends in 2 signals — automated outreach to student and parent, teacher alert), Level 2: Active Support (concerning trends in 3–4 signals — assigned to a support programme with regular check-ins), Level 3: Intensive Intervention (concerning trends in 5+ signals or acute single-signal crisis — immediate coordinator escalation, counsellor involvement, and parent meeting trigger).</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Early identification vs. late crisis prevention: the model is calibrated to identify students trending towards difficulty 4–6 weeks before their performance falls below formal intervention thresholds — enabling preventive support deployment rather than crisis response — academic research consistently shows that earlier intervention produces significantly better outcomes at lower cost than waiting for visible failure.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Disaggregated at-risk analysis: the at-risk population is analysed across demographic dimensions — gender, socioeconomic indicator, SEN status, academic stream, grade level, and section — identifying whether at-risk patterns are randomly distributed or systematically concentrated in specific groups, revealing potential equity, resource allocation, or instruction quality issues requiring structural rather than individual responses.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At-risk transition tracking: tracks students moving in and out of at-risk status over time — celebrating students who exit at-risk status as evidence of successful intervention, and identifying students who are persistently re-entering at-risk status despite prior support as candidates for more comprehensive diagnostic assessment and longer-term intensive support.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False positive review mechanism: teachers and coordinators can review and override at-risk classifications for specific students — e.g., a student performing below threshold due to a known, temporary personal circumstance rather than a learning difficulty — overrides are logged with rationale and a scheduled review date to reassess when the temporary circumstance has resolved.</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3E6630"/>
                <w:sz w:val="21"/>
                <w:szCs w:val="21"/>
              </w:rPr>
              <w:t xml:space="preserve">Improvement Plan Design &amp; Management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Structured Individual Improvement Plan (IIP) builder: for each at-risk student, the platform generates a pre-populated IIP template — drawing from the student's assessment data, gap analysis, skill profile, attendance record, and prior feedback to auto-suggest the most likely root causes of their difficulty and the most relevant support activities — the responsible teacher reviews, edits, and personalises the template before finalising the plan.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SMART improvement goal configuration: each IIP includes configurable SMART goals with specific academic targets (e.g., 'Achieve 65%+ in the next Mathematics periodic test', 'Complete all pending assignments in Physics before the next assessment'), skill targets (e.g., 'Progress from Emerging to Developing in Analytical Reasoning by end of term'), and behavioural targets (e.g., 'Submit work on time for 90% of assignments over the next 4 weeks').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Multi-stakeholder IIP collaboration: improvement plans involve all relevant stakeholders — the responsible teacher sets academic targets and resources, the class teacher adds pastoral context and wellbeing targets, the skill facilitator adds skill development targets, the parent co-signs the plan (acknowledging home support commitments), and the student themselves adds their own goal statement — creating a genuine shared commitment document rather than a unilateral school prescription.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Resource allocation within the IIP: each identified target is linked to specific platform resources — recommended remedial lessons, practice question sets, skill development activities, peer tutoring sessions, or external support referrals — and to a responsible support provider — ensuring improvement targets are accompanied by concrete, accessible means of achieving them.</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IIP timeline and review schedule: improvement plans include defined review milestones (typically every 2–3 weeks) — at each review, the student's progress against each target is assessed and the IIP is either updated with new targets (for students making progress), intensified (for students not making progress), or closed with a celebration note (for students who have met all targets and exited at-risk status).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Group improvement programmes for systemic gaps: when the at-risk analysis identifies multiple students sharing the same learning gap (a common pattern for difficult curriculum topics), the platform generates a Group Improvement Programme — a structured set of shared remedial sessions, peer learning activities, and additional practice resources — more efficient than individual IIPs for systemic issues while providing the same structured tracking of group-level progress.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3E6630"/>
                <w:sz w:val="21"/>
                <w:szCs w:val="21"/>
              </w:rPr>
              <w:t xml:space="preserve">Intervention Delivery &amp; Progress Monitoring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Remedial session scheduling and delivery: the platform's scheduling module creates dedicated remedial session slots in the school timetable — assigning teachers, booking rooms, enrolling eligible students, and dispatching preparation instructions — with attendance tracking for remedial sessions specifically to monitor engagement with the support programme being provided.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Adaptive content recommendation engine: as students engage with remedial resources, the platform's adaptive engine adjusts the difficulty and content type of subsequent recommendations based on demonstrated performance — students who are catching up quickly receive progressively harder challenges to consolidate learning; students still struggling receive alternative explanations and more scaffolded practice — avoiding the one-size-fits-all remedial resource limitation.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Progress checkpoints against IIP targets: automated weekly progress checks measure each at-risk student's performance against their IIP targets — generating a progress indicator (On Track, Slightly Behind, Significantly Behind) for each target — displayed on the responsible teacher's dashboard and automatically triggering escalation notifications when a student is significantly behind on multiple targets.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Peer tutoring programme management: the platform manages a peer tutoring scheme — matching at-risk students with high-performing peer tutors in their specific weak subjects, scheduling tutoring sessions, providing structured tutoring guides for peer tutors, and tracking session attendance and reported progress — with the peer tutor's contribution recognised in their co-curricular and leadership skill development profile.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External support provider referral tracking: when IIP progress is insufficient and external support (educational psychologist, learning disability specialist, medical professional, social welfare officer) is required, the platform manages the referral — logging referral date, service accessed, professional recommendations received, and how recommendations have been incorporated into the updated IIP — maintaining a complete multi-agency support record.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Parent engagement in improvement monitoring: parents of at-risk students receive weekly automated progress updates against the IIP targets — showing which targets are on track, which are behind, and what the student has specifically engaged with during the week — keeping parents as active partners in the improvement process rather than passive recipients of periodic crisis notifications.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3E6630"/>
                <w:sz w:val="21"/>
                <w:szCs w:val="21"/>
              </w:rPr>
              <w:t xml:space="preserve">Improvement Outcome Measurement &amp; Programme Evaluation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Target achievement rate analytics: at the end of each IIP cycle, the platform calculates each student's target achievement rate — the percentage of SMART goals met — across all active IIPs, enabling the academic coordinator to assess programme effectiveness at the individual, class, and school levels simultaneously.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Intervention impact measurement: for each support intervention type (remedial classes, peer tutoring, adaptive practice, mentoring intensification), the platform calculates the average performance improvement of students who received that intervention type — controlling for prior attainment and student characteristics — building a school-specific evidence base for which interventions are most effective for which student profiles.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Long-term improvement sustainability tracking: follows students who exit at-risk status and successfully close their IIPs — tracking whether their improvement is sustained over the subsequent term and year, or whether they recycle back into at-risk status — identifying whether interventions are producing deep, sustainable learning recovery or superficial short-term score boosts.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Improvement programme equity audit: analyses whether the school's improvement support is equitably distributed — do students from lower socioeconomic backgrounds, students with SEN, or female students receive equivalent quality and intensity of support when identified as at-risk? — surfacing equity gaps in support delivery that require structural programme adjustments.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Annual improvement programme effectiveness report: a comprehensive year-end evaluation report for school leadership — documenting total students supported, improvement target achievement rates by intervention type, students who exited at-risk status, students who progressed to Level 3 intensive support, and a cost-effectiveness analysis of the improvement programme — providing the evidence base for annual programme investment decisions and pedagogical strategy review.</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2D4A22"/>
                <w:sz w:val="20"/>
                <w:szCs w:val="20"/>
              </w:rPr>
              <w:t xml:space="preserve">▸  </w:t>
            </w:r>
            <w:r>
              <w:rPr>
                <w:rFonts w:ascii="Arial" w:cs="Arial" w:eastAsia="Arial" w:hAnsi="Arial"/>
                <w:color w:val="14202E"/>
                <w:sz w:val="20"/>
                <w:szCs w:val="20"/>
              </w:rPr>
              <w:t xml:space="preserve">Best practice identification and sharing: the improvement analytics identify specific teachers, mentors, and programme coordinators whose students consistently show strong improvement outcomes relative to the intensity of support provided — their practices are documented, celebrated, and structured as peer learning opportunities to elevate the school-wide standard of improvement support for at-risk students.</w:t>
            </w:r>
          </w:p>
        </w:tc>
      </w:tr>
    </w:tbl>
    <w:p>
      <w:pPr>
        <w:spacing w:before="260" w:after="0"/>
      </w:pPr>
      <w:r>
        <w:t xml:space="preserve"/>
      </w:r>
    </w:p>
    <w:p>
      <w:r>
        <w:br w:type="page"/>
      </w:r>
    </w:p>
    <w:p>
      <w:pPr>
        <w:pBdr>
          <w:top w:val="single" w:color="0A3D62" w:sz="6" w:space="6"/>
        </w:pBdr>
        <w:spacing w:before="240" w:after="120"/>
        <w:jc w:val="center"/>
      </w:pPr>
      <w:r>
        <w:rPr>
          <w:rFonts w:ascii="Arial" w:cs="Arial" w:eastAsia="Arial" w:hAnsi="Arial"/>
          <w:b/>
          <w:bCs/>
          <w:color w:val="0A3D62"/>
          <w:sz w:val="18"/>
          <w:szCs w:val="18"/>
        </w:rPr>
        <w:t xml:space="preserve">CONFIDENTIAL — For Internal Use Only</w:t>
      </w:r>
    </w:p>
    <w:p>
      <w:pPr>
        <w:jc w:val="center"/>
      </w:pPr>
      <w:r>
        <w:rPr>
          <w:rFonts w:ascii="Arial" w:cs="Arial" w:eastAsia="Arial" w:hAnsi="Arial"/>
          <w:color w:val="52657A"/>
          <w:sz w:val="18"/>
          <w:szCs w:val="18"/>
        </w:rPr>
        <w:t xml:space="preserve">This document describes planned product features and is subject to change without notice. © 2026 School Management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3D62" w:sz="4" w:space="4"/>
      </w:pBdr>
      <w:tabs>
        <w:tab w:val="right" w:pos="9026"/>
      </w:tabs>
      <w:spacing w:before="80"/>
    </w:pPr>
    <w:r>
      <w:rPr>
        <w:rFonts w:ascii="Arial" w:cs="Arial" w:eastAsia="Arial" w:hAnsi="Arial"/>
        <w:color w:val="52657A"/>
        <w:sz w:val="18"/>
        <w:szCs w:val="18"/>
      </w:rPr>
      <w:t xml:space="preserve">Confidential</w:t>
    </w:r>
    <w:r>
      <w:rPr>
        <w:rFonts w:ascii="Arial" w:cs="Arial" w:eastAsia="Arial" w:hAnsi="Arial"/>
        <w:color w:val="52657A"/>
        <w:sz w:val="18"/>
        <w:szCs w:val="18"/>
      </w:rPr>
      <w:t xml:space="preserve">	Page </w:t>
    </w:r>
    <w:r>
      <w:rPr>
        <w:rFonts w:ascii="Arial" w:cs="Arial" w:eastAsia="Arial" w:hAnsi="Arial"/>
        <w:color w:val="0A3D6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3D62" w:sz="4" w:space="4"/>
      </w:pBdr>
      <w:spacing w:after="80"/>
    </w:pPr>
    <w:r>
      <w:rPr>
        <w:rFonts w:ascii="Arial" w:cs="Arial" w:eastAsia="Arial" w:hAnsi="Arial"/>
        <w:color w:val="52657A"/>
        <w:sz w:val="18"/>
        <w:szCs w:val="18"/>
      </w:rPr>
      <w:t xml:space="preserve">School Management Platform  |  Module I: Assessment &amp; Performance Tracking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0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2026-03-09T08:39:02.954Z</dcterms:created>
  <dcterms:modified xsi:type="dcterms:W3CDTF">2026-03-09T08:39:02.955Z</dcterms:modified>
</cp:coreProperties>
</file>

<file path=docProps/custom.xml><?xml version="1.0" encoding="utf-8"?>
<Properties xmlns="http://schemas.openxmlformats.org/officeDocument/2006/custom-properties" xmlns:vt="http://schemas.openxmlformats.org/officeDocument/2006/docPropsVTypes"/>
</file>