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00" w:after="0"/>
      </w:pPr>
      <w:r>
        <w:t xml:space="preserve"/>
      </w:r>
    </w:p>
    <w:p>
      <w:pPr>
        <w:spacing w:before="0" w:after="100"/>
        <w:jc w:val="center"/>
      </w:pPr>
      <w:r>
        <w:rPr>
          <w:rFonts w:ascii="Arial" w:cs="Arial" w:eastAsia="Arial" w:hAnsi="Arial"/>
          <w:b/>
          <w:bCs/>
          <w:caps/>
          <w:color w:val="0B3D2E"/>
          <w:sz w:val="26"/>
          <w:szCs w:val="26"/>
        </w:rPr>
        <w:t xml:space="preserve">SCHOOL MANAGEMENT PLATFORM</w:t>
      </w:r>
    </w:p>
    <w:p>
      <w:pPr>
        <w:spacing w:before="0" w:after="100"/>
        <w:jc w:val="center"/>
      </w:pPr>
      <w:r>
        <w:rPr>
          <w:rFonts w:ascii="Arial" w:cs="Arial" w:eastAsia="Arial" w:hAnsi="Arial"/>
          <w:b/>
          <w:bCs/>
          <w:color w:val="060E18"/>
          <w:sz w:val="58"/>
          <w:szCs w:val="58"/>
        </w:rPr>
        <w:t xml:space="preserve">Product Feature Specification</w:t>
      </w:r>
    </w:p>
    <w:p>
      <w:pPr>
        <w:spacing w:before="0" w:after="700"/>
        <w:jc w:val="center"/>
      </w:pPr>
      <w:r>
        <w:rPr>
          <w:rFonts w:ascii="Arial" w:cs="Arial" w:eastAsia="Arial" w:hAnsi="Arial"/>
          <w:b/>
          <w:bCs/>
          <w:color w:val="0F5C44"/>
          <w:sz w:val="34"/>
          <w:szCs w:val="34"/>
        </w:rPr>
        <w:t xml:space="preserve">Module H: Project &amp; Practical Learning</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c>
          <w:tcPr>
            <w:tcW w:type="dxa" w:w="3200"/>
            <w:tcBorders>
              <w:top w:val="single" w:color="B4C8D6" w:sz="1"/>
              <w:left w:val="single" w:color="B4C8D6" w:sz="1"/>
              <w:bottom w:val="single" w:color="B4C8D6" w:sz="1"/>
              <w:right w:val="single" w:color="B4C8D6" w:sz="1"/>
            </w:tcBorders>
            <w:shd w:fill="0B3D2E" w:val="clear"/>
            <w:tcMar>
              <w:top w:type="dxa" w:w="120"/>
              <w:left w:type="dxa" w:w="200"/>
              <w:bottom w:type="dxa" w:w="120"/>
              <w:right w:type="dxa" w:w="200"/>
            </w:tcMar>
          </w:tcPr>
          <w:p>
            <w:r>
              <w:rPr>
                <w:rFonts w:ascii="Arial" w:cs="Arial" w:eastAsia="Arial" w:hAnsi="Arial"/>
                <w:b/>
                <w:bCs/>
                <w:color w:val="FFFFFF"/>
                <w:sz w:val="21"/>
                <w:szCs w:val="21"/>
              </w:rPr>
              <w:t xml:space="preserve">Document Version</w:t>
            </w:r>
          </w:p>
        </w:tc>
        <w:tc>
          <w:tcPr>
            <w:tcW w:type="dxa" w:w="3200"/>
            <w:tcBorders>
              <w:top w:val="single" w:color="B4C8D6" w:sz="1"/>
              <w:left w:val="single" w:color="B4C8D6" w:sz="1"/>
              <w:bottom w:val="single" w:color="B4C8D6" w:sz="1"/>
              <w:right w:val="single" w:color="B4C8D6" w:sz="1"/>
            </w:tcBorders>
            <w:shd w:fill="D2EDE4" w:val="clear"/>
            <w:tcMar>
              <w:top w:type="dxa" w:w="120"/>
              <w:left w:type="dxa" w:w="200"/>
              <w:bottom w:type="dxa" w:w="120"/>
              <w:right w:type="dxa" w:w="200"/>
            </w:tcMar>
          </w:tcPr>
          <w:p>
            <w:r>
              <w:rPr>
                <w:rFonts w:ascii="Arial" w:cs="Arial" w:eastAsia="Arial" w:hAnsi="Arial"/>
                <w:color w:val="060E18"/>
                <w:sz w:val="21"/>
                <w:szCs w:val="21"/>
              </w:rPr>
              <w:t xml:space="preserve">1.0</w:t>
            </w:r>
          </w:p>
        </w:tc>
      </w:tr>
      <w:tr>
        <w:tc>
          <w:tcPr>
            <w:tcW w:type="dxa" w:w="3200"/>
            <w:tcBorders>
              <w:top w:val="single" w:color="B4C8D6" w:sz="1"/>
              <w:left w:val="single" w:color="B4C8D6" w:sz="1"/>
              <w:bottom w:val="single" w:color="B4C8D6" w:sz="1"/>
              <w:right w:val="single" w:color="B4C8D6" w:sz="1"/>
            </w:tcBorders>
            <w:shd w:fill="0B3D2E" w:val="clear"/>
            <w:tcMar>
              <w:top w:type="dxa" w:w="120"/>
              <w:left w:type="dxa" w:w="200"/>
              <w:bottom w:type="dxa" w:w="120"/>
              <w:right w:type="dxa" w:w="200"/>
            </w:tcMar>
          </w:tcPr>
          <w:p>
            <w:r>
              <w:rPr>
                <w:rFonts w:ascii="Arial" w:cs="Arial" w:eastAsia="Arial" w:hAnsi="Arial"/>
                <w:b/>
                <w:bCs/>
                <w:color w:val="FFFFFF"/>
                <w:sz w:val="21"/>
                <w:szCs w:val="21"/>
              </w:rPr>
              <w:t xml:space="preserve">Date</w:t>
            </w:r>
          </w:p>
        </w:tc>
        <w:tc>
          <w:tcPr>
            <w:tcW w:type="dxa" w:w="3200"/>
            <w:tcBorders>
              <w:top w:val="single" w:color="B4C8D6" w:sz="1"/>
              <w:left w:val="single" w:color="B4C8D6" w:sz="1"/>
              <w:bottom w:val="single" w:color="B4C8D6" w:sz="1"/>
              <w:right w:val="single" w:color="B4C8D6" w:sz="1"/>
            </w:tcBorders>
            <w:shd w:fill="D2EDE4" w:val="clear"/>
            <w:tcMar>
              <w:top w:type="dxa" w:w="120"/>
              <w:left w:type="dxa" w:w="200"/>
              <w:bottom w:type="dxa" w:w="120"/>
              <w:right w:type="dxa" w:w="200"/>
            </w:tcMar>
          </w:tcPr>
          <w:p>
            <w:r>
              <w:rPr>
                <w:rFonts w:ascii="Arial" w:cs="Arial" w:eastAsia="Arial" w:hAnsi="Arial"/>
                <w:color w:val="060E18"/>
                <w:sz w:val="21"/>
                <w:szCs w:val="21"/>
              </w:rPr>
              <w:t xml:space="preserve">March 2026</w:t>
            </w:r>
          </w:p>
        </w:tc>
      </w:tr>
      <w:tr>
        <w:tc>
          <w:tcPr>
            <w:tcW w:type="dxa" w:w="3200"/>
            <w:tcBorders>
              <w:top w:val="single" w:color="B4C8D6" w:sz="1"/>
              <w:left w:val="single" w:color="B4C8D6" w:sz="1"/>
              <w:bottom w:val="single" w:color="B4C8D6" w:sz="1"/>
              <w:right w:val="single" w:color="B4C8D6" w:sz="1"/>
            </w:tcBorders>
            <w:shd w:fill="0B3D2E" w:val="clear"/>
            <w:tcMar>
              <w:top w:type="dxa" w:w="120"/>
              <w:left w:type="dxa" w:w="200"/>
              <w:bottom w:type="dxa" w:w="120"/>
              <w:right w:type="dxa" w:w="200"/>
            </w:tcMar>
          </w:tcPr>
          <w:p>
            <w:r>
              <w:rPr>
                <w:rFonts w:ascii="Arial" w:cs="Arial" w:eastAsia="Arial" w:hAnsi="Arial"/>
                <w:b/>
                <w:bCs/>
                <w:color w:val="FFFFFF"/>
                <w:sz w:val="21"/>
                <w:szCs w:val="21"/>
              </w:rPr>
              <w:t xml:space="preserve">Module</w:t>
            </w:r>
          </w:p>
        </w:tc>
        <w:tc>
          <w:tcPr>
            <w:tcW w:type="dxa" w:w="3200"/>
            <w:tcBorders>
              <w:top w:val="single" w:color="B4C8D6" w:sz="1"/>
              <w:left w:val="single" w:color="B4C8D6" w:sz="1"/>
              <w:bottom w:val="single" w:color="B4C8D6" w:sz="1"/>
              <w:right w:val="single" w:color="B4C8D6" w:sz="1"/>
            </w:tcBorders>
            <w:shd w:fill="D2EDE4" w:val="clear"/>
            <w:tcMar>
              <w:top w:type="dxa" w:w="120"/>
              <w:left w:type="dxa" w:w="200"/>
              <w:bottom w:type="dxa" w:w="120"/>
              <w:right w:type="dxa" w:w="200"/>
            </w:tcMar>
          </w:tcPr>
          <w:p>
            <w:r>
              <w:rPr>
                <w:rFonts w:ascii="Arial" w:cs="Arial" w:eastAsia="Arial" w:hAnsi="Arial"/>
                <w:color w:val="060E18"/>
                <w:sz w:val="21"/>
                <w:szCs w:val="21"/>
              </w:rPr>
              <w:t xml:space="preserve">H — Project &amp; Practical Learning</w:t>
            </w:r>
          </w:p>
        </w:tc>
      </w:tr>
      <w:tr>
        <w:tc>
          <w:tcPr>
            <w:tcW w:type="dxa" w:w="3200"/>
            <w:tcBorders>
              <w:top w:val="single" w:color="B4C8D6" w:sz="1"/>
              <w:left w:val="single" w:color="B4C8D6" w:sz="1"/>
              <w:bottom w:val="single" w:color="B4C8D6" w:sz="1"/>
              <w:right w:val="single" w:color="B4C8D6" w:sz="1"/>
            </w:tcBorders>
            <w:shd w:fill="0B3D2E" w:val="clear"/>
            <w:tcMar>
              <w:top w:type="dxa" w:w="120"/>
              <w:left w:type="dxa" w:w="200"/>
              <w:bottom w:type="dxa" w:w="120"/>
              <w:right w:type="dxa" w:w="200"/>
            </w:tcMar>
          </w:tcPr>
          <w:p>
            <w:r>
              <w:rPr>
                <w:rFonts w:ascii="Arial" w:cs="Arial" w:eastAsia="Arial" w:hAnsi="Arial"/>
                <w:b/>
                <w:bCs/>
                <w:color w:val="FFFFFF"/>
                <w:sz w:val="21"/>
                <w:szCs w:val="21"/>
              </w:rPr>
              <w:t xml:space="preserve">Total Features</w:t>
            </w:r>
          </w:p>
        </w:tc>
        <w:tc>
          <w:tcPr>
            <w:tcW w:type="dxa" w:w="3200"/>
            <w:tcBorders>
              <w:top w:val="single" w:color="B4C8D6" w:sz="1"/>
              <w:left w:val="single" w:color="B4C8D6" w:sz="1"/>
              <w:bottom w:val="single" w:color="B4C8D6" w:sz="1"/>
              <w:right w:val="single" w:color="B4C8D6" w:sz="1"/>
            </w:tcBorders>
            <w:shd w:fill="D2EDE4" w:val="clear"/>
            <w:tcMar>
              <w:top w:type="dxa" w:w="120"/>
              <w:left w:type="dxa" w:w="200"/>
              <w:bottom w:type="dxa" w:w="120"/>
              <w:right w:type="dxa" w:w="200"/>
            </w:tcMar>
          </w:tcPr>
          <w:p>
            <w:r>
              <w:rPr>
                <w:rFonts w:ascii="Arial" w:cs="Arial" w:eastAsia="Arial" w:hAnsi="Arial"/>
                <w:color w:val="060E18"/>
                <w:sz w:val="21"/>
                <w:szCs w:val="21"/>
              </w:rPr>
              <w:t xml:space="preserve">8</w:t>
            </w:r>
          </w:p>
        </w:tc>
      </w:tr>
      <w:tr>
        <w:tc>
          <w:tcPr>
            <w:tcW w:type="dxa" w:w="3200"/>
            <w:tcBorders>
              <w:top w:val="single" w:color="B4C8D6" w:sz="1"/>
              <w:left w:val="single" w:color="B4C8D6" w:sz="1"/>
              <w:bottom w:val="single" w:color="B4C8D6" w:sz="1"/>
              <w:right w:val="single" w:color="B4C8D6" w:sz="1"/>
            </w:tcBorders>
            <w:shd w:fill="0B3D2E" w:val="clear"/>
            <w:tcMar>
              <w:top w:type="dxa" w:w="120"/>
              <w:left w:type="dxa" w:w="200"/>
              <w:bottom w:type="dxa" w:w="120"/>
              <w:right w:type="dxa" w:w="200"/>
            </w:tcMar>
          </w:tcPr>
          <w:p>
            <w:r>
              <w:rPr>
                <w:rFonts w:ascii="Arial" w:cs="Arial" w:eastAsia="Arial" w:hAnsi="Arial"/>
                <w:b/>
                <w:bCs/>
                <w:color w:val="FFFFFF"/>
                <w:sz w:val="21"/>
                <w:szCs w:val="21"/>
              </w:rPr>
              <w:t xml:space="preserve">Status</w:t>
            </w:r>
          </w:p>
        </w:tc>
        <w:tc>
          <w:tcPr>
            <w:tcW w:type="dxa" w:w="3200"/>
            <w:tcBorders>
              <w:top w:val="single" w:color="B4C8D6" w:sz="1"/>
              <w:left w:val="single" w:color="B4C8D6" w:sz="1"/>
              <w:bottom w:val="single" w:color="B4C8D6" w:sz="1"/>
              <w:right w:val="single" w:color="B4C8D6" w:sz="1"/>
            </w:tcBorders>
            <w:shd w:fill="D2EDE4" w:val="clear"/>
            <w:tcMar>
              <w:top w:type="dxa" w:w="120"/>
              <w:left w:type="dxa" w:w="200"/>
              <w:bottom w:type="dxa" w:w="120"/>
              <w:right w:type="dxa" w:w="200"/>
            </w:tcMar>
          </w:tcPr>
          <w:p>
            <w:r>
              <w:rPr>
                <w:rFonts w:ascii="Arial" w:cs="Arial" w:eastAsia="Arial" w:hAnsi="Arial"/>
                <w:color w:val="060E18"/>
                <w:sz w:val="21"/>
                <w:szCs w:val="21"/>
              </w:rPr>
              <w:t xml:space="preserve">Final Draft</w:t>
            </w:r>
          </w:p>
        </w:tc>
      </w:tr>
    </w:tbl>
    <w:p>
      <w:r>
        <w:br w:type="page"/>
      </w:r>
    </w:p>
    <w:p>
      <w:pPr>
        <w:pBdr>
          <w:bottom w:val="single" w:color="0B3D2E" w:sz="10" w:space="6"/>
        </w:pBdr>
        <w:spacing w:before="460" w:after="220"/>
      </w:pPr>
      <w:r>
        <w:rPr>
          <w:rFonts w:ascii="Arial" w:cs="Arial" w:eastAsia="Arial" w:hAnsi="Arial"/>
          <w:b/>
          <w:bCs/>
          <w:color w:val="060E18"/>
          <w:sz w:val="40"/>
          <w:szCs w:val="40"/>
        </w:rPr>
        <w:t xml:space="preserve">H. Project &amp; Practical Learning — Feature Details</w:t>
      </w:r>
    </w:p>
    <w:p>
      <w:pPr>
        <w:spacing w:before="80" w:after="380"/>
      </w:pPr>
      <w:r>
        <w:rPr>
          <w:rFonts w:ascii="Arial" w:cs="Arial" w:eastAsia="Arial" w:hAnsi="Arial"/>
          <w:i/>
          <w:iCs/>
          <w:color w:val="14202E"/>
          <w:sz w:val="22"/>
          <w:szCs w:val="22"/>
        </w:rPr>
        <w:t xml:space="preserve">Project &amp; Practical Learning is the applied intelligence layer of the platform — the module that bridges theoretical curriculum knowledge with authentic, real-world practice. Where conventional assessment measures what students know, project-based learning measures what students can do with what they know, in complex, uncertain, and collaborative conditions that mirror professional and civic life. The eight features in this module span the complete project lifecycle: from brief design through team formation, mentor-guided execution, multi-modal evaluation, portfolio generation, programme analytics, industry collaboration, and blockchain-certified credentialing. Each feature is described in comprehensive functional depth, covering pedagogical philosophy, workflow architecture, stakeholder experience, and institutional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C8D6" w:sz="1"/>
              <w:left w:val="single" w:color="B4C8D6" w:sz="1"/>
              <w:bottom w:val="single" w:color="B4C8D6" w:sz="1"/>
              <w:right w:val="single" w:color="B4C8D6" w:sz="1"/>
            </w:tcBorders>
            <w:shd w:fill="0B3D2E" w:val="clear"/>
            <w:tcMar>
              <w:top w:type="dxa" w:w="155"/>
              <w:left w:type="dxa" w:w="240"/>
              <w:bottom w:type="dxa" w:w="155"/>
              <w:right w:type="dxa" w:w="240"/>
            </w:tcMar>
          </w:tcPr>
          <w:p>
            <w:r>
              <w:rPr>
                <w:rFonts w:ascii="Arial" w:cs="Arial" w:eastAsia="Arial" w:hAnsi="Arial"/>
                <w:b/>
                <w:bCs/>
                <w:color w:val="FFFFFF"/>
                <w:sz w:val="24"/>
                <w:szCs w:val="24"/>
              </w:rPr>
              <w:t xml:space="preserve">1.  </w:t>
            </w:r>
            <w:r>
              <w:rPr>
                <w:rFonts w:ascii="Arial" w:cs="Arial" w:eastAsia="Arial" w:hAnsi="Arial"/>
                <w:b/>
                <w:bCs/>
                <w:color w:val="FFFFFF"/>
                <w:sz w:val="32"/>
                <w:szCs w:val="32"/>
              </w:rPr>
              <w:t xml:space="preserve">Project Assignment Creation</w:t>
            </w:r>
          </w:p>
        </w:tc>
      </w:tr>
      <w:tr>
        <w:tc>
          <w:tcPr>
            <w:tcW w:type="dxa" w:w="9360"/>
            <w:tcBorders>
              <w:top w:val="single" w:color="B4C8D6" w:sz="1"/>
              <w:left w:val="single" w:color="B4C8D6" w:sz="1"/>
              <w:bottom w:val="single" w:color="B4C8D6" w:sz="1"/>
              <w:right w:val="single" w:color="B4C8D6" w:sz="1"/>
            </w:tcBorders>
            <w:shd w:fill="D2EDE4" w:val="clear"/>
            <w:tcMar>
              <w:top w:type="dxa" w:w="115"/>
              <w:left w:type="dxa" w:w="240"/>
              <w:bottom w:type="dxa" w:w="115"/>
              <w:right w:type="dxa" w:w="240"/>
            </w:tcMar>
          </w:tcPr>
          <w:p>
            <w:r>
              <w:rPr>
                <w:rFonts w:ascii="Arial" w:cs="Arial" w:eastAsia="Arial" w:hAnsi="Arial"/>
                <w:b/>
                <w:bCs/>
                <w:color w:val="0B3D2E"/>
                <w:sz w:val="21"/>
                <w:szCs w:val="21"/>
              </w:rPr>
              <w:t xml:space="preserve">Overview  </w:t>
            </w:r>
            <w:r>
              <w:rPr>
                <w:rFonts w:ascii="Arial" w:cs="Arial" w:eastAsia="Arial" w:hAnsi="Arial"/>
                <w:i/>
                <w:iCs/>
                <w:color w:val="14202E"/>
                <w:sz w:val="21"/>
                <w:szCs w:val="21"/>
              </w:rPr>
              <w:t xml:space="preserve">A feature-rich, pedagogically grounded project design studio that empowers teachers, coordinators, and industry mentors to craft rigorous, contextually authentic project briefs — encompassing scope definition, learning outcome mapping, team configuration, milestone architecture, resource provisioning, and multi-stakeholder review — laying the foundation for meaningful project-based learning experiences.</w:t>
            </w:r>
          </w:p>
        </w:tc>
      </w:tr>
      <w:tr>
        <w:tc>
          <w:tcPr>
            <w:tcW w:type="dxa" w:w="9360"/>
            <w:tcBorders>
              <w:top w:val="single" w:color="B4C8D6" w:sz="1"/>
              <w:left w:val="single" w:color="B4C8D6" w:sz="1"/>
              <w:bottom w:val="single" w:color="B4C8D6" w:sz="1"/>
              <w:right w:val="single" w:color="B4C8D6" w:sz="1"/>
            </w:tcBorders>
            <w:shd w:fill="F2F6FA" w:val="clear"/>
            <w:tcMar>
              <w:top w:type="dxa" w:w="100"/>
              <w:left w:type="dxa" w:w="240"/>
              <w:bottom w:type="dxa" w:w="10"/>
              <w:right w:type="dxa" w:w="240"/>
            </w:tcMar>
          </w:tcPr>
          <w:p>
            <w:pPr>
              <w:spacing w:before="50" w:after="0"/>
            </w:pPr>
            <w:r>
              <w:rPr>
                <w:rFonts w:ascii="Arial" w:cs="Arial" w:eastAsia="Arial" w:hAnsi="Arial"/>
                <w:b/>
                <w:bCs/>
                <w:color w:val="0F5C44"/>
                <w:sz w:val="21"/>
                <w:szCs w:val="21"/>
              </w:rPr>
              <w:t xml:space="preserve">Project Types &amp; Pedagogical Frameworks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B3D2E"/>
                <w:sz w:val="20"/>
                <w:szCs w:val="20"/>
              </w:rPr>
              <w:t xml:space="preserve">▸  </w:t>
            </w:r>
            <w:r>
              <w:rPr>
                <w:rFonts w:ascii="Arial" w:cs="Arial" w:eastAsia="Arial" w:hAnsi="Arial"/>
                <w:color w:val="14202E"/>
                <w:sz w:val="20"/>
                <w:szCs w:val="20"/>
              </w:rPr>
              <w:t xml:space="preserve">Nine supported project types, each aligned to distinct pedagogical models and learning outcome profiles: Investigative Research Projects (students formulate and test hypotheses, producing a formal research report), Design &amp; Build Projects (engineering and creative design challenges with physical or digital artefact outputs), Social Impact Projects (community-focused initiatives addressing real local problems), Case Study Analysis Projects (structured examination of real-world scenarios from multiple disciplinary lenses), Literary or Artistic Production Projects (extended creative works — stories, films, compositions, installations), Computational Projects (software development, data analysis, algorithm design), Scientific Experiment Projects (lab-based experimental design and investigation), Interdisciplinary Synthesis Projects (spanning two or more subjects, requiring integration of multiple knowledge domains), and Industry-Commissioned Projects (real briefs from partner organisations requiring professional-standard outputs).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B3D2E"/>
                <w:sz w:val="20"/>
                <w:szCs w:val="20"/>
              </w:rPr>
              <w:t xml:space="preserve">▸  </w:t>
            </w:r>
            <w:r>
              <w:rPr>
                <w:rFonts w:ascii="Arial" w:cs="Arial" w:eastAsia="Arial" w:hAnsi="Arial"/>
                <w:color w:val="14202E"/>
                <w:sz w:val="20"/>
                <w:szCs w:val="20"/>
              </w:rPr>
              <w:t xml:space="preserve">Learning outcome framework mapping: every project is formally mapped to specific curriculum learning outcomes, skill development competencies from the platform's taxonomy, and Bloom's Taxonomy levels — ensuring projects are not peripheral enrichment activities but core contributors to measurable academic and skill development goals, with the mapping visible to academic coordinators during review.</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B3D2E"/>
                <w:sz w:val="20"/>
                <w:szCs w:val="20"/>
              </w:rPr>
              <w:t xml:space="preserve">▸  </w:t>
            </w:r>
            <w:r>
              <w:rPr>
                <w:rFonts w:ascii="Arial" w:cs="Arial" w:eastAsia="Arial" w:hAnsi="Arial"/>
                <w:color w:val="14202E"/>
                <w:sz w:val="20"/>
                <w:szCs w:val="20"/>
              </w:rPr>
              <w:t xml:space="preserve">Complexity scaffolding by grade band: project briefs are rated by complexity level (Foundational, Standard, Extended, Open-Ended) — each level specifies the expected degree of student autonomy, depth of investigation, sophistication of output, and level of mentor support provided — guiding teachers in assigning appropriate projects and setting calibrated expectations for different student groups.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B3D2E"/>
                <w:sz w:val="20"/>
                <w:szCs w:val="20"/>
              </w:rPr>
              <w:t xml:space="preserve">▸  </w:t>
            </w:r>
            <w:r>
              <w:rPr>
                <w:rFonts w:ascii="Arial" w:cs="Arial" w:eastAsia="Arial" w:hAnsi="Arial"/>
                <w:color w:val="14202E"/>
                <w:sz w:val="20"/>
                <w:szCs w:val="20"/>
              </w:rPr>
              <w:t xml:space="preserve">NEP 2020 and CBSE project alignment: project types and briefs are formally tagged with relevant NEP 2020 competency targets and, for CBSE-affiliated schools, the specific internal assessment components they fulfil — Annual Projects, Speaking and Listening assessments, and Practical File requirements — ensuring projects simultaneously serve pedagogical and regulatory purposes.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B3D2E"/>
                <w:sz w:val="20"/>
                <w:szCs w:val="20"/>
              </w:rPr>
              <w:t xml:space="preserve">▸  </w:t>
            </w:r>
            <w:r>
              <w:rPr>
                <w:rFonts w:ascii="Arial" w:cs="Arial" w:eastAsia="Arial" w:hAnsi="Arial"/>
                <w:color w:val="14202E"/>
                <w:sz w:val="20"/>
                <w:szCs w:val="20"/>
              </w:rPr>
              <w:t xml:space="preserve">Real-world problem authenticity criteria: every project brief includes a Authenticity Rating based on how closely the project mirrors real professional or community practice — ratings range from Simulated (classroom-analogous scenarios) to Authentic (actual problems sourced from real organisations) — higher-authenticity projects unlock additional features including industry mentor integration and professional portfolio certification.</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B3D2E"/>
                <w:sz w:val="20"/>
                <w:szCs w:val="20"/>
              </w:rPr>
              <w:t xml:space="preserve">▸  </w:t>
            </w:r>
            <w:r>
              <w:rPr>
                <w:rFonts w:ascii="Arial" w:cs="Arial" w:eastAsia="Arial" w:hAnsi="Arial"/>
                <w:color w:val="14202E"/>
                <w:sz w:val="20"/>
                <w:szCs w:val="20"/>
              </w:rPr>
              <w:t xml:space="preserve">Cross-curricular project tagging: projects spanning multiple subjects are co-owned by the relevant subject teachers — each teacher contributes subject-specific assessment criteria, and the project is reflected in each student's academic record for each contributing subject — recognising the integrated learning value of interdisciplinary work.</w:t>
            </w:r>
          </w:p>
        </w:tc>
      </w:tr>
      <w:tr>
        <w:tc>
          <w:tcPr>
            <w:tcW w:type="dxa" w:w="9360"/>
            <w:tcBorders>
              <w:top w:val="single" w:color="B4C8D6" w:sz="1"/>
              <w:left w:val="single" w:color="B4C8D6" w:sz="1"/>
              <w:bottom w:val="single" w:color="B4C8D6" w:sz="1"/>
              <w:right w:val="single" w:color="B4C8D6" w:sz="1"/>
            </w:tcBorders>
            <w:shd w:fill="F2F6FA" w:val="clear"/>
            <w:tcMar>
              <w:top w:type="dxa" w:w="100"/>
              <w:left w:type="dxa" w:w="240"/>
              <w:bottom w:type="dxa" w:w="10"/>
              <w:right w:type="dxa" w:w="240"/>
            </w:tcMar>
          </w:tcPr>
          <w:p>
            <w:pPr>
              <w:spacing w:before="50" w:after="0"/>
            </w:pPr>
            <w:r>
              <w:rPr>
                <w:rFonts w:ascii="Arial" w:cs="Arial" w:eastAsia="Arial" w:hAnsi="Arial"/>
                <w:b/>
                <w:bCs/>
                <w:color w:val="0F5C44"/>
                <w:sz w:val="21"/>
                <w:szCs w:val="21"/>
              </w:rPr>
              <w:t xml:space="preserve">Brief Composition &amp; Resource Configuration</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B3D2E"/>
                <w:sz w:val="20"/>
                <w:szCs w:val="20"/>
              </w:rPr>
              <w:t xml:space="preserve">▸  </w:t>
            </w:r>
            <w:r>
              <w:rPr>
                <w:rFonts w:ascii="Arial" w:cs="Arial" w:eastAsia="Arial" w:hAnsi="Arial"/>
                <w:color w:val="14202E"/>
                <w:sz w:val="20"/>
                <w:szCs w:val="20"/>
              </w:rPr>
              <w:t xml:space="preserve">Structured brief builder with intelligent field guidance: the brief creation interface presents a step-by-step form covering — Project Title, Overarching Question or Challenge Statement, Background Context, Specific Deliverables (what the student must produce), Success Criteria (what a high-quality output looks like), Constraints and Boundaries (word limits, material budgets, technical restrictions), Ethical Considerations, Assessment Rubric, and Suggested Resource List — each field includes guidance notes, exemplar content, and common pitfall warnings to help teachers write clear, unambiguous briefs.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B3D2E"/>
                <w:sz w:val="20"/>
                <w:szCs w:val="20"/>
              </w:rPr>
              <w:t xml:space="preserve">▸  </w:t>
            </w:r>
            <w:r>
              <w:rPr>
                <w:rFonts w:ascii="Arial" w:cs="Arial" w:eastAsia="Arial" w:hAnsi="Arial"/>
                <w:color w:val="14202E"/>
                <w:sz w:val="20"/>
                <w:szCs w:val="20"/>
              </w:rPr>
              <w:t xml:space="preserve">Rich media brief enrichment: project briefs support embedded video introductions (teachers record a 2–3 minute video briefing that humanises the project launch), infographic context documents, data sets for analysis projects, image galleries for design briefs, and audio clips for language-based projects — creating immersive, multi-modal project launches that generate genuine student curiosity and engagement.</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B3D2E"/>
                <w:sz w:val="20"/>
                <w:szCs w:val="20"/>
              </w:rPr>
              <w:t xml:space="preserve">▸  </w:t>
            </w:r>
            <w:r>
              <w:rPr>
                <w:rFonts w:ascii="Arial" w:cs="Arial" w:eastAsia="Arial" w:hAnsi="Arial"/>
                <w:color w:val="14202E"/>
                <w:sz w:val="20"/>
                <w:szCs w:val="20"/>
              </w:rPr>
              <w:t xml:space="preserve">Stakeholder persona cards: for social impact, design, and industry projects, the brief includes a Stakeholder Persona section — defining the real or hypothetical end-users or beneficiaries of the student's work (their needs, constraints, and success metrics) — anchoring student design decisions in human-centred thinking rather than abstract academic criteria.</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B3D2E"/>
                <w:sz w:val="20"/>
                <w:szCs w:val="20"/>
              </w:rPr>
              <w:t xml:space="preserve">▸  </w:t>
            </w:r>
            <w:r>
              <w:rPr>
                <w:rFonts w:ascii="Arial" w:cs="Arial" w:eastAsia="Arial" w:hAnsi="Arial"/>
                <w:color w:val="14202E"/>
                <w:sz w:val="20"/>
                <w:szCs w:val="20"/>
              </w:rPr>
              <w:t xml:space="preserve">Resource provision configuration: each brief specifies which resources are provided by the school (lab access, materials budget, library access, software licences), which must be sourced independently by students (primary research, community interviews), and which are available from the platform's resource library (data sets, research papers, expert video content) — setting transparent resource expectations upfront.</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B3D2E"/>
                <w:sz w:val="20"/>
                <w:szCs w:val="20"/>
              </w:rPr>
              <w:t xml:space="preserve">▸  </w:t>
            </w:r>
            <w:r>
              <w:rPr>
                <w:rFonts w:ascii="Arial" w:cs="Arial" w:eastAsia="Arial" w:hAnsi="Arial"/>
                <w:color w:val="14202E"/>
                <w:sz w:val="20"/>
                <w:szCs w:val="20"/>
              </w:rPr>
              <w:t xml:space="preserve">Budget and material allocation for physical projects: for projects involving physical materials (science investigations, design builds, art installations), the brief includes a budget allocation per team — approved budgets are logged in the finance module, and expenditure is tracked by students and verified by teachers through a project expense log feature.</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B3D2E"/>
                <w:sz w:val="20"/>
                <w:szCs w:val="20"/>
              </w:rPr>
              <w:t xml:space="preserve">▸  </w:t>
            </w:r>
            <w:r>
              <w:rPr>
                <w:rFonts w:ascii="Arial" w:cs="Arial" w:eastAsia="Arial" w:hAnsi="Arial"/>
                <w:color w:val="14202E"/>
                <w:sz w:val="20"/>
                <w:szCs w:val="20"/>
              </w:rPr>
              <w:t xml:space="preserve">Ethical review flag: briefs involving human participants (surveys, interviews, community observation), sensitive data, or potentially hazardous materials are automatically flagged for an ethical review step — requiring sign-off from the HOD or school ethics coordinator before the project can be published to students.</w:t>
            </w:r>
          </w:p>
        </w:tc>
      </w:tr>
      <w:tr>
        <w:tc>
          <w:tcPr>
            <w:tcW w:type="dxa" w:w="9360"/>
            <w:tcBorders>
              <w:top w:val="single" w:color="B4C8D6" w:sz="1"/>
              <w:left w:val="single" w:color="B4C8D6" w:sz="1"/>
              <w:bottom w:val="single" w:color="B4C8D6" w:sz="1"/>
              <w:right w:val="single" w:color="B4C8D6" w:sz="1"/>
            </w:tcBorders>
            <w:shd w:fill="F2F6FA" w:val="clear"/>
            <w:tcMar>
              <w:top w:type="dxa" w:w="100"/>
              <w:left w:type="dxa" w:w="240"/>
              <w:bottom w:type="dxa" w:w="10"/>
              <w:right w:type="dxa" w:w="240"/>
            </w:tcMar>
          </w:tcPr>
          <w:p>
            <w:pPr>
              <w:spacing w:before="50" w:after="0"/>
            </w:pPr>
            <w:r>
              <w:rPr>
                <w:rFonts w:ascii="Arial" w:cs="Arial" w:eastAsia="Arial" w:hAnsi="Arial"/>
                <w:b/>
                <w:bCs/>
                <w:color w:val="0F5C44"/>
                <w:sz w:val="21"/>
                <w:szCs w:val="21"/>
              </w:rPr>
              <w:t xml:space="preserve">Team &amp; Individual Configuration</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B3D2E"/>
                <w:sz w:val="20"/>
                <w:szCs w:val="20"/>
              </w:rPr>
              <w:t xml:space="preserve">▸  </w:t>
            </w:r>
            <w:r>
              <w:rPr>
                <w:rFonts w:ascii="Arial" w:cs="Arial" w:eastAsia="Arial" w:hAnsi="Arial"/>
                <w:color w:val="14202E"/>
                <w:sz w:val="20"/>
                <w:szCs w:val="20"/>
              </w:rPr>
              <w:t xml:space="preserve">Flexible team formation modes: project assignments support five team formation approaches — Teacher-Assigned (teacher manually builds teams optimising for skill diversity and balanced academic ability), System-Suggested (the platform algorithmically suggests teams based on skill profiles, academic history, and learning style data), Student Self-Selected (students choose their teams within configured constraints such as team size limits and cross-section mixing requirements), Random Allocation (for equitable distribution with no selection bias), and Individual (no team, each student works independently with their own submission and evaluation).</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B3D2E"/>
                <w:sz w:val="20"/>
                <w:szCs w:val="20"/>
              </w:rPr>
              <w:t xml:space="preserve">▸  </w:t>
            </w:r>
            <w:r>
              <w:rPr>
                <w:rFonts w:ascii="Arial" w:cs="Arial" w:eastAsia="Arial" w:hAnsi="Arial"/>
                <w:color w:val="14202E"/>
                <w:sz w:val="20"/>
                <w:szCs w:val="20"/>
              </w:rPr>
              <w:t xml:space="preserve">Skill-balanced team suggestion engine: when the system forms suggested teams, it optimises for complementary skill profiles across the platform's taxonomy — ensuring each team has students with relative strengths in the key skill areas the project is designed to develop, maximising both collaborative richness and individual development opportunity.</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B3D2E"/>
                <w:sz w:val="20"/>
                <w:szCs w:val="20"/>
              </w:rPr>
              <w:t xml:space="preserve">▸  </w:t>
            </w:r>
            <w:r>
              <w:rPr>
                <w:rFonts w:ascii="Arial" w:cs="Arial" w:eastAsia="Arial" w:hAnsi="Arial"/>
                <w:color w:val="14202E"/>
                <w:sz w:val="20"/>
                <w:szCs w:val="20"/>
              </w:rPr>
              <w:t xml:space="preserve">Team size constraints and exceptions: configurable minimum and maximum team sizes with the ability to create exception teams (e.g., if the class size does not divide evenly) — the platform flags teams outside the preferred range for teacher confirmation before finalising team assignments.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B3D2E"/>
                <w:sz w:val="20"/>
                <w:szCs w:val="20"/>
              </w:rPr>
              <w:t xml:space="preserve">▸  </w:t>
            </w:r>
            <w:r>
              <w:rPr>
                <w:rFonts w:ascii="Arial" w:cs="Arial" w:eastAsia="Arial" w:hAnsi="Arial"/>
                <w:color w:val="14202E"/>
                <w:sz w:val="20"/>
                <w:szCs w:val="20"/>
              </w:rPr>
              <w:t xml:space="preserve">Roles and responsibilities framework within teams: the assignment brief can include a defined set of team roles (e.g., Project Manager, Lead Researcher, Data Analyst, Presenter, Quality Reviewer) — each role has specified responsibilities and assessment criteria that contribute to both the team output evaluation and the individual's skill profile for leadership, collaboration, and communication competencies.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B3D2E"/>
                <w:sz w:val="20"/>
                <w:szCs w:val="20"/>
              </w:rPr>
              <w:t xml:space="preserve">▸  </w:t>
            </w:r>
            <w:r>
              <w:rPr>
                <w:rFonts w:ascii="Arial" w:cs="Arial" w:eastAsia="Arial" w:hAnsi="Arial"/>
                <w:color w:val="14202E"/>
                <w:sz w:val="20"/>
                <w:szCs w:val="20"/>
              </w:rPr>
              <w:t xml:space="preserve">Cross-class and cross-school team support: for large-scale interdisciplinary or industry projects, teams can be formed across sections, grades, or even schools within the same network — with the platform managing the additional communication, coordination, and submission complexity that cross-organisational teams entail.</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B3D2E"/>
                <w:sz w:val="20"/>
                <w:szCs w:val="20"/>
              </w:rPr>
              <w:t xml:space="preserve">▸  </w:t>
            </w:r>
            <w:r>
              <w:rPr>
                <w:rFonts w:ascii="Arial" w:cs="Arial" w:eastAsia="Arial" w:hAnsi="Arial"/>
                <w:color w:val="14202E"/>
                <w:sz w:val="20"/>
                <w:szCs w:val="20"/>
              </w:rPr>
              <w:t xml:space="preserve">Mid-project team restructuring workflow: if team dynamics break down significantly during project execution, a formal team restructuring request process allows students or teachers to request team changes — the platform logs the request, facilitates a mediation step, and if restructuring is approved, manages the migration of completed work to the new team configuration without data loss.</w:t>
            </w:r>
          </w:p>
        </w:tc>
      </w:tr>
      <w:tr>
        <w:tc>
          <w:tcPr>
            <w:tcW w:type="dxa" w:w="9360"/>
            <w:tcBorders>
              <w:top w:val="single" w:color="B4C8D6" w:sz="1"/>
              <w:left w:val="single" w:color="B4C8D6" w:sz="1"/>
              <w:bottom w:val="single" w:color="B4C8D6" w:sz="1"/>
              <w:right w:val="single" w:color="B4C8D6" w:sz="1"/>
            </w:tcBorders>
            <w:shd w:fill="F2F6FA" w:val="clear"/>
            <w:tcMar>
              <w:top w:type="dxa" w:w="100"/>
              <w:left w:type="dxa" w:w="240"/>
              <w:bottom w:type="dxa" w:w="10"/>
              <w:right w:type="dxa" w:w="240"/>
            </w:tcMar>
          </w:tcPr>
          <w:p>
            <w:pPr>
              <w:spacing w:before="50" w:after="0"/>
            </w:pPr>
            <w:r>
              <w:rPr>
                <w:rFonts w:ascii="Arial" w:cs="Arial" w:eastAsia="Arial" w:hAnsi="Arial"/>
                <w:b/>
                <w:bCs/>
                <w:color w:val="0F5C44"/>
                <w:sz w:val="21"/>
                <w:szCs w:val="21"/>
              </w:rPr>
              <w:t xml:space="preserve">Milestone Architecture &amp; Timeline Management</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B3D2E"/>
                <w:sz w:val="20"/>
                <w:szCs w:val="20"/>
              </w:rPr>
              <w:t xml:space="preserve">▸  </w:t>
            </w:r>
            <w:r>
              <w:rPr>
                <w:rFonts w:ascii="Arial" w:cs="Arial" w:eastAsia="Arial" w:hAnsi="Arial"/>
                <w:color w:val="14202E"/>
                <w:sz w:val="20"/>
                <w:szCs w:val="20"/>
              </w:rPr>
              <w:t xml:space="preserve">Multi-milestone project timeline builder: projects are structured with configurable intermediate milestones between launch and final submission — typical milestone types include Topic Approval / Proposal Sign-off, Literature Review or Research Plan, Progress Report, First Draft or Prototype, Peer Review Checkpoint, and Final Submission — each milestone has its own deadline, deliverable requirements, and weightage in the overall project assessment.</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B3D2E"/>
                <w:sz w:val="20"/>
                <w:szCs w:val="20"/>
              </w:rPr>
              <w:t xml:space="preserve">▸  </w:t>
            </w:r>
            <w:r>
              <w:rPr>
                <w:rFonts w:ascii="Arial" w:cs="Arial" w:eastAsia="Arial" w:hAnsi="Arial"/>
                <w:color w:val="14202E"/>
                <w:sz w:val="20"/>
                <w:szCs w:val="20"/>
              </w:rPr>
              <w:t xml:space="preserve">Gantt chart view for project timeline: the project timeline is visualised as a Gantt chart for both teachers and students — showing all milestones, their durations, dependencies (milestone B cannot begin until milestone A is approved), and the critical path — giving students a professional-standard project planning tool and teachers a clear progress monitoring framework.</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B3D2E"/>
                <w:sz w:val="20"/>
                <w:szCs w:val="20"/>
              </w:rPr>
              <w:t xml:space="preserve">▸  </w:t>
            </w:r>
            <w:r>
              <w:rPr>
                <w:rFonts w:ascii="Arial" w:cs="Arial" w:eastAsia="Arial" w:hAnsi="Arial"/>
                <w:color w:val="14202E"/>
                <w:sz w:val="20"/>
                <w:szCs w:val="20"/>
              </w:rPr>
              <w:t xml:space="preserve">Automated milestone reminder cascade: configurable automated reminder notifications are dispatched to students and teams at defined intervals before each milestone deadline — 7 days, 3 days, 1 day, and 6 hours — with reminder content adapting to the specific milestone type (e.g., 'Your first draft is due in 3 days — remember to include your bibliography').</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B3D2E"/>
                <w:sz w:val="20"/>
                <w:szCs w:val="20"/>
              </w:rPr>
              <w:t xml:space="preserve">▸  </w:t>
            </w:r>
            <w:r>
              <w:rPr>
                <w:rFonts w:ascii="Arial" w:cs="Arial" w:eastAsia="Arial" w:hAnsi="Arial"/>
                <w:color w:val="14202E"/>
                <w:sz w:val="20"/>
                <w:szCs w:val="20"/>
              </w:rPr>
              <w:t xml:space="preserve">Teacher approval gates between milestones: each milestone can be configured as a gated checkpoint — students cannot proceed to the next phase until the teacher has reviewed and approved their milestone submission — preventing students from investing significant effort in the wrong direction before receiving formative feedback that corrects course.</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B3D2E"/>
                <w:sz w:val="20"/>
                <w:szCs w:val="20"/>
              </w:rPr>
              <w:t xml:space="preserve">▸  </w:t>
            </w:r>
            <w:r>
              <w:rPr>
                <w:rFonts w:ascii="Arial" w:cs="Arial" w:eastAsia="Arial" w:hAnsi="Arial"/>
                <w:color w:val="14202E"/>
                <w:sz w:val="20"/>
                <w:szCs w:val="20"/>
              </w:rPr>
              <w:t xml:space="preserve">Extension request workflow: students requiring additional time for a milestone deadline can submit a formal extension request — specifying the reason, the amount of additional time requested, and their revised completion commitment — teachers approve or reject with comments, and all extension decisions are logged in the project record for assessment equity monitoring.</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B3D2E"/>
                <w:sz w:val="20"/>
                <w:szCs w:val="20"/>
              </w:rPr>
              <w:t xml:space="preserve">▸  </w:t>
            </w:r>
            <w:r>
              <w:rPr>
                <w:rFonts w:ascii="Arial" w:cs="Arial" w:eastAsia="Arial" w:hAnsi="Arial"/>
                <w:color w:val="14202E"/>
                <w:sz w:val="20"/>
                <w:szCs w:val="20"/>
              </w:rPr>
              <w:t xml:space="preserve">Holiday and examination-aware timeline: the project timeline engine automatically adjusts milestone deadlines if they fall on school holidays, examination periods, or major school events — ensuring project workload is evenly distributed across genuinely available working time rather than inadvertently clustering around student stress peaks.</w:t>
            </w:r>
          </w:p>
        </w:tc>
      </w:tr>
    </w:tbl>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C8D6" w:sz="1"/>
              <w:left w:val="single" w:color="B4C8D6" w:sz="1"/>
              <w:bottom w:val="single" w:color="B4C8D6" w:sz="1"/>
              <w:right w:val="single" w:color="B4C8D6" w:sz="1"/>
            </w:tcBorders>
            <w:shd w:fill="0D2B6E" w:val="clear"/>
            <w:tcMar>
              <w:top w:type="dxa" w:w="155"/>
              <w:left w:type="dxa" w:w="240"/>
              <w:bottom w:type="dxa" w:w="155"/>
              <w:right w:type="dxa" w:w="240"/>
            </w:tcMar>
          </w:tcPr>
          <w:p>
            <w:r>
              <w:rPr>
                <w:rFonts w:ascii="Arial" w:cs="Arial" w:eastAsia="Arial" w:hAnsi="Arial"/>
                <w:b/>
                <w:bCs/>
                <w:color w:val="FFFFFF"/>
                <w:sz w:val="24"/>
                <w:szCs w:val="24"/>
              </w:rPr>
              <w:t xml:space="preserve">2.  </w:t>
            </w:r>
            <w:r>
              <w:rPr>
                <w:rFonts w:ascii="Arial" w:cs="Arial" w:eastAsia="Arial" w:hAnsi="Arial"/>
                <w:b/>
                <w:bCs/>
                <w:color w:val="FFFFFF"/>
                <w:sz w:val="32"/>
                <w:szCs w:val="32"/>
              </w:rPr>
              <w:t xml:space="preserve">Project Submission System</w:t>
            </w:r>
          </w:p>
        </w:tc>
      </w:tr>
      <w:tr>
        <w:tc>
          <w:tcPr>
            <w:tcW w:type="dxa" w:w="9360"/>
            <w:tcBorders>
              <w:top w:val="single" w:color="B4C8D6" w:sz="1"/>
              <w:left w:val="single" w:color="B4C8D6" w:sz="1"/>
              <w:bottom w:val="single" w:color="B4C8D6" w:sz="1"/>
              <w:right w:val="single" w:color="B4C8D6" w:sz="1"/>
            </w:tcBorders>
            <w:shd w:fill="D4DCF5" w:val="clear"/>
            <w:tcMar>
              <w:top w:type="dxa" w:w="115"/>
              <w:left w:type="dxa" w:w="240"/>
              <w:bottom w:type="dxa" w:w="115"/>
              <w:right w:type="dxa" w:w="240"/>
            </w:tcMar>
          </w:tcPr>
          <w:p>
            <w:r>
              <w:rPr>
                <w:rFonts w:ascii="Arial" w:cs="Arial" w:eastAsia="Arial" w:hAnsi="Arial"/>
                <w:b/>
                <w:bCs/>
                <w:color w:val="0D2B6E"/>
                <w:sz w:val="21"/>
                <w:szCs w:val="21"/>
              </w:rPr>
              <w:t xml:space="preserve">Overview  </w:t>
            </w:r>
            <w:r>
              <w:rPr>
                <w:rFonts w:ascii="Arial" w:cs="Arial" w:eastAsia="Arial" w:hAnsi="Arial"/>
                <w:i/>
                <w:iCs/>
                <w:color w:val="14202E"/>
                <w:sz w:val="21"/>
                <w:szCs w:val="21"/>
              </w:rPr>
              <w:t xml:space="preserve">A robust, format-flexible, integrity-assured submission infrastructure that manages the entire lifecycle of student project submissions — from first draft uploads through iterative revisions to final submission and receipt confirmation — with comprehensive version control, plagiarism detection, multi-format support, and team submission coordination features.</w:t>
            </w:r>
          </w:p>
        </w:tc>
      </w:tr>
      <w:tr>
        <w:tc>
          <w:tcPr>
            <w:tcW w:type="dxa" w:w="9360"/>
            <w:tcBorders>
              <w:top w:val="single" w:color="B4C8D6" w:sz="1"/>
              <w:left w:val="single" w:color="B4C8D6" w:sz="1"/>
              <w:bottom w:val="single" w:color="B4C8D6" w:sz="1"/>
              <w:right w:val="single" w:color="B4C8D6" w:sz="1"/>
            </w:tcBorders>
            <w:shd w:fill="F2F6FA" w:val="clear"/>
            <w:tcMar>
              <w:top w:type="dxa" w:w="100"/>
              <w:left w:type="dxa" w:w="240"/>
              <w:bottom w:type="dxa" w:w="10"/>
              <w:right w:type="dxa" w:w="240"/>
            </w:tcMar>
          </w:tcPr>
          <w:p>
            <w:pPr>
              <w:spacing w:before="50" w:after="0"/>
            </w:pPr>
            <w:r>
              <w:rPr>
                <w:rFonts w:ascii="Arial" w:cs="Arial" w:eastAsia="Arial" w:hAnsi="Arial"/>
                <w:b/>
                <w:bCs/>
                <w:color w:val="1540A0"/>
                <w:sz w:val="21"/>
                <w:szCs w:val="21"/>
              </w:rPr>
              <w:t xml:space="preserve">Submission Formats &amp; File Management</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D2B6E"/>
                <w:sz w:val="20"/>
                <w:szCs w:val="20"/>
              </w:rPr>
              <w:t xml:space="preserve">▸  </w:t>
            </w:r>
            <w:r>
              <w:rPr>
                <w:rFonts w:ascii="Arial" w:cs="Arial" w:eastAsia="Arial" w:hAnsi="Arial"/>
                <w:color w:val="14202E"/>
                <w:sz w:val="20"/>
                <w:szCs w:val="20"/>
              </w:rPr>
              <w:t xml:space="preserve">Comprehensive submission format acceptance: the system accepts all project output types — written documents (PDF, DOCX, ODT), presentations (PPTX, Google Slides link), spreadsheets and data files (XLSX, CSV, JSON), code repositories (GitHub URL, ZIP archive with README), multimedia (MP4 video presentations up to 2GB, MP3 audio reports, image portfolios as ZIP), websites (deployed URL or static HTML package), 3D models (STL, OBJ files for design projects), scientific data files (CSV, XLSX data with analysis), and mixed-media ZIP bundles containing multiple file types — ensuring no legitimate project output type is excluded by format constraints.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D2B6E"/>
                <w:sz w:val="20"/>
                <w:szCs w:val="20"/>
              </w:rPr>
              <w:t xml:space="preserve">▸  </w:t>
            </w:r>
            <w:r>
              <w:rPr>
                <w:rFonts w:ascii="Arial" w:cs="Arial" w:eastAsia="Arial" w:hAnsi="Arial"/>
                <w:color w:val="14202E"/>
                <w:sz w:val="20"/>
                <w:szCs w:val="20"/>
              </w:rPr>
              <w:t xml:space="preserve">File integrity verification: every uploaded file generates a SHA-256 hash at upload time — stored permanently with the submission record — enabling tamper detection if questions arise about whether a submitted file was modified after submission, providing an unchallengeable digital receipt of exactly what was submitted and when.</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D2B6E"/>
                <w:sz w:val="20"/>
                <w:szCs w:val="20"/>
              </w:rPr>
              <w:t xml:space="preserve">▸  </w:t>
            </w:r>
            <w:r>
              <w:rPr>
                <w:rFonts w:ascii="Arial" w:cs="Arial" w:eastAsia="Arial" w:hAnsi="Arial"/>
                <w:color w:val="14202E"/>
                <w:sz w:val="20"/>
                <w:szCs w:val="20"/>
              </w:rPr>
              <w:t xml:space="preserve">Large file handling: a resumable upload protocol handles files up to 5GB — the upload can be paused and resumed without restarting, with a real-time progress indicator showing upload percentage, estimated completion time, and current transfer speed — critical for video presentations and large data set submissions on variable-speed school internet connections.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D2B6E"/>
                <w:sz w:val="20"/>
                <w:szCs w:val="20"/>
              </w:rPr>
              <w:t xml:space="preserve">▸  </w:t>
            </w:r>
            <w:r>
              <w:rPr>
                <w:rFonts w:ascii="Arial" w:cs="Arial" w:eastAsia="Arial" w:hAnsi="Arial"/>
                <w:color w:val="14202E"/>
                <w:sz w:val="20"/>
                <w:szCs w:val="20"/>
              </w:rPr>
              <w:t xml:space="preserve">Cloud storage direct submission: students can submit directly from connected Google Drive, OneDrive, or Dropbox accounts — bypassing the need to download to a local device and re-upload — the platform creates a snapshot copy of the submitted file at submission time, preventing subsequent file edits from affecting the submitted version.</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D2B6E"/>
                <w:sz w:val="20"/>
                <w:szCs w:val="20"/>
              </w:rPr>
              <w:t xml:space="preserve">▸  </w:t>
            </w:r>
            <w:r>
              <w:rPr>
                <w:rFonts w:ascii="Arial" w:cs="Arial" w:eastAsia="Arial" w:hAnsi="Arial"/>
                <w:color w:val="14202E"/>
                <w:sz w:val="20"/>
                <w:szCs w:val="20"/>
              </w:rPr>
              <w:t xml:space="preserve">Submission package assembly for multi-component projects: for projects requiring multiple output files (e.g., a written report, a data set, a presentation, and a video demonstration), the submission interface guides students through a structured multi-component checklist — each component has its own upload slot, format requirements, and optional field — preventing incomplete submissions caused by students forgetting required components.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D2B6E"/>
                <w:sz w:val="20"/>
                <w:szCs w:val="20"/>
              </w:rPr>
              <w:t xml:space="preserve">▸  </w:t>
            </w:r>
            <w:r>
              <w:rPr>
                <w:rFonts w:ascii="Arial" w:cs="Arial" w:eastAsia="Arial" w:hAnsi="Arial"/>
                <w:color w:val="14202E"/>
                <w:sz w:val="20"/>
                <w:szCs w:val="20"/>
              </w:rPr>
              <w:t xml:space="preserve">Submission preview before finalisation: students can preview how their uploaded documents will render to the evaluator before clicking 'Submit' — viewing the PDF rendering of their document, playing back their uploaded video, and checking that all components are present — reducing resubmission requests caused by accidental submission of wrong files.</w:t>
            </w:r>
          </w:p>
        </w:tc>
      </w:tr>
      <w:tr>
        <w:tc>
          <w:tcPr>
            <w:tcW w:type="dxa" w:w="9360"/>
            <w:tcBorders>
              <w:top w:val="single" w:color="B4C8D6" w:sz="1"/>
              <w:left w:val="single" w:color="B4C8D6" w:sz="1"/>
              <w:bottom w:val="single" w:color="B4C8D6" w:sz="1"/>
              <w:right w:val="single" w:color="B4C8D6" w:sz="1"/>
            </w:tcBorders>
            <w:shd w:fill="F2F6FA" w:val="clear"/>
            <w:tcMar>
              <w:top w:type="dxa" w:w="100"/>
              <w:left w:type="dxa" w:w="240"/>
              <w:bottom w:type="dxa" w:w="10"/>
              <w:right w:type="dxa" w:w="240"/>
            </w:tcMar>
          </w:tcPr>
          <w:p>
            <w:pPr>
              <w:spacing w:before="50" w:after="0"/>
            </w:pPr>
            <w:r>
              <w:rPr>
                <w:rFonts w:ascii="Arial" w:cs="Arial" w:eastAsia="Arial" w:hAnsi="Arial"/>
                <w:b/>
                <w:bCs/>
                <w:color w:val="1540A0"/>
                <w:sz w:val="21"/>
                <w:szCs w:val="21"/>
              </w:rPr>
              <w:t xml:space="preserve">Team Submission Coordination</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D2B6E"/>
                <w:sz w:val="20"/>
                <w:szCs w:val="20"/>
              </w:rPr>
              <w:t xml:space="preserve">▸  </w:t>
            </w:r>
            <w:r>
              <w:rPr>
                <w:rFonts w:ascii="Arial" w:cs="Arial" w:eastAsia="Arial" w:hAnsi="Arial"/>
                <w:color w:val="14202E"/>
                <w:sz w:val="20"/>
                <w:szCs w:val="20"/>
              </w:rPr>
              <w:t xml:space="preserve">Designated submitter model: for team projects, one team member is designated as the primary submitter — they upload the final team output on behalf of all members — the platform automatically attributes the submission to all team members simultaneously upon the primary submitter's finalisation, ensuring every team member's record shows the submission without requiring individual uploads.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D2B6E"/>
                <w:sz w:val="20"/>
                <w:szCs w:val="20"/>
              </w:rPr>
              <w:t xml:space="preserve">▸  </w:t>
            </w:r>
            <w:r>
              <w:rPr>
                <w:rFonts w:ascii="Arial" w:cs="Arial" w:eastAsia="Arial" w:hAnsi="Arial"/>
                <w:color w:val="14202E"/>
                <w:sz w:val="20"/>
                <w:szCs w:val="20"/>
              </w:rPr>
              <w:t xml:space="preserve">Team member submission confirmation: before a team submission is finalised, all other team members receive a notification confirming the content of the pending submission — each must digitally acknowledge and confirm they agree it represents the team's collaborative work before the submission is formally locked — preventing disputes about unauthorised or premature submissions.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D2B6E"/>
                <w:sz w:val="20"/>
                <w:szCs w:val="20"/>
              </w:rPr>
              <w:t xml:space="preserve">▸  </w:t>
            </w:r>
            <w:r>
              <w:rPr>
                <w:rFonts w:ascii="Arial" w:cs="Arial" w:eastAsia="Arial" w:hAnsi="Arial"/>
                <w:color w:val="14202E"/>
                <w:sz w:val="20"/>
                <w:szCs w:val="20"/>
              </w:rPr>
              <w:t xml:space="preserve">Individual contribution declaration: alongside the team output, each team member submits a brief Individual Contribution Declaration — specifying their primary contributions to the project (research, design, coding, writing, presentation) and estimated percentage of total work — these declarations are reviewed by the teacher and factored into individual component scoring within the team evaluation framework.</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D2B6E"/>
                <w:sz w:val="20"/>
                <w:szCs w:val="20"/>
              </w:rPr>
              <w:t xml:space="preserve">▸  </w:t>
            </w:r>
            <w:r>
              <w:rPr>
                <w:rFonts w:ascii="Arial" w:cs="Arial" w:eastAsia="Arial" w:hAnsi="Arial"/>
                <w:color w:val="14202E"/>
                <w:sz w:val="20"/>
                <w:szCs w:val="20"/>
              </w:rPr>
              <w:t xml:space="preserve">Parallel individual component submission: for projects with both team output and individual components (e.g., a shared written report plus individual reflective essays), the submission system manages two parallel submission tracks — team submission and individual submissions — displaying both in an integrated submission dashboard visible to the teacher for complete project assessment.</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D2B6E"/>
                <w:sz w:val="20"/>
                <w:szCs w:val="20"/>
              </w:rPr>
              <w:t xml:space="preserve">▸  </w:t>
            </w:r>
            <w:r>
              <w:rPr>
                <w:rFonts w:ascii="Arial" w:cs="Arial" w:eastAsia="Arial" w:hAnsi="Arial"/>
                <w:color w:val="14202E"/>
                <w:sz w:val="20"/>
                <w:szCs w:val="20"/>
              </w:rPr>
              <w:t xml:space="preserve">Late submission impact transparency: for team projects, if the primary submitter submits after the deadline, the late submission penalty is applied to all team members equally — unless individual extenuating circumstances have been pre-approved — the impact of late submission on each team member's score is calculated and displayed transparently before the late submission is confirmed.</w:t>
            </w:r>
          </w:p>
        </w:tc>
      </w:tr>
      <w:tr>
        <w:tc>
          <w:tcPr>
            <w:tcW w:type="dxa" w:w="9360"/>
            <w:tcBorders>
              <w:top w:val="single" w:color="B4C8D6" w:sz="1"/>
              <w:left w:val="single" w:color="B4C8D6" w:sz="1"/>
              <w:bottom w:val="single" w:color="B4C8D6" w:sz="1"/>
              <w:right w:val="single" w:color="B4C8D6" w:sz="1"/>
            </w:tcBorders>
            <w:shd w:fill="F2F6FA" w:val="clear"/>
            <w:tcMar>
              <w:top w:type="dxa" w:w="100"/>
              <w:left w:type="dxa" w:w="240"/>
              <w:bottom w:type="dxa" w:w="10"/>
              <w:right w:type="dxa" w:w="240"/>
            </w:tcMar>
          </w:tcPr>
          <w:p>
            <w:pPr>
              <w:spacing w:before="50" w:after="0"/>
            </w:pPr>
            <w:r>
              <w:rPr>
                <w:rFonts w:ascii="Arial" w:cs="Arial" w:eastAsia="Arial" w:hAnsi="Arial"/>
                <w:b/>
                <w:bCs/>
                <w:color w:val="1540A0"/>
                <w:sz w:val="21"/>
                <w:szCs w:val="21"/>
              </w:rPr>
              <w:t xml:space="preserve">Version Control &amp; Draft Management</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D2B6E"/>
                <w:sz w:val="20"/>
                <w:szCs w:val="20"/>
              </w:rPr>
              <w:t xml:space="preserve">▸  </w:t>
            </w:r>
            <w:r>
              <w:rPr>
                <w:rFonts w:ascii="Arial" w:cs="Arial" w:eastAsia="Arial" w:hAnsi="Arial"/>
                <w:color w:val="14202E"/>
                <w:sz w:val="20"/>
                <w:szCs w:val="20"/>
              </w:rPr>
              <w:t xml:space="preserve">Unlimited draft saving: students can save and update work-in-progress drafts at any time before final submission — each draft is automatically version-stamped and retained — giving students a complete history of their project development that is also valuable evidence of authentic work process for evaluation and academic integrity purposes.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D2B6E"/>
                <w:sz w:val="20"/>
                <w:szCs w:val="20"/>
              </w:rPr>
              <w:t xml:space="preserve">▸  </w:t>
            </w:r>
            <w:r>
              <w:rPr>
                <w:rFonts w:ascii="Arial" w:cs="Arial" w:eastAsia="Arial" w:hAnsi="Arial"/>
                <w:color w:val="14202E"/>
                <w:sz w:val="20"/>
                <w:szCs w:val="20"/>
              </w:rPr>
              <w:t xml:space="preserve">Draft comparison view: students and teachers can view a side-by-side comparison between any two saved drafts — highlighting additions, deletions, and significant changes — enabling teachers to see how a project evolved and verify that the work represents authentic student development rather than a sudden inexplicable leap in quality.</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D2B6E"/>
                <w:sz w:val="20"/>
                <w:szCs w:val="20"/>
              </w:rPr>
              <w:t xml:space="preserve">▸  </w:t>
            </w:r>
            <w:r>
              <w:rPr>
                <w:rFonts w:ascii="Arial" w:cs="Arial" w:eastAsia="Arial" w:hAnsi="Arial"/>
                <w:color w:val="14202E"/>
                <w:sz w:val="20"/>
                <w:szCs w:val="20"/>
              </w:rPr>
              <w:t xml:space="preserve">Milestone-linked draft snapshots: at each milestone checkpoint, the system automatically captures a snapshot of the student's current draft — even if the student has not formally submitted at that milestone — creating a passive version history that protects students who forget to save drafts before major updates.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D2B6E"/>
                <w:sz w:val="20"/>
                <w:szCs w:val="20"/>
              </w:rPr>
              <w:t xml:space="preserve">▸  </w:t>
            </w:r>
            <w:r>
              <w:rPr>
                <w:rFonts w:ascii="Arial" w:cs="Arial" w:eastAsia="Arial" w:hAnsi="Arial"/>
                <w:color w:val="14202E"/>
                <w:sz w:val="20"/>
                <w:szCs w:val="20"/>
              </w:rPr>
              <w:t xml:space="preserve">Facilitator feedback on drafts: teachers can provide formative feedback on draft submissions at any milestone — annotating documents inline, recording audio comments, and completing a formative rubric — all feedback is version-linked to the specific draft it addresses, preventing confusion when students view feedback after updating their work.</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D2B6E"/>
                <w:sz w:val="20"/>
                <w:szCs w:val="20"/>
              </w:rPr>
              <w:t xml:space="preserve">▸  </w:t>
            </w:r>
            <w:r>
              <w:rPr>
                <w:rFonts w:ascii="Arial" w:cs="Arial" w:eastAsia="Arial" w:hAnsi="Arial"/>
                <w:color w:val="14202E"/>
                <w:sz w:val="20"/>
                <w:szCs w:val="20"/>
              </w:rPr>
              <w:t xml:space="preserve">Final submission lock: once a student or team clicks 'Final Submit', the submission is locked — no further edits are possible — the student receives an official submission receipt with timestamp, submission ID, file list with checksums, and assignment details — this receipt is permanently accessible from the student's project record and can be shared as proof of timely submission.</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D2B6E"/>
                <w:sz w:val="20"/>
                <w:szCs w:val="20"/>
              </w:rPr>
              <w:t xml:space="preserve">▸  </w:t>
            </w:r>
            <w:r>
              <w:rPr>
                <w:rFonts w:ascii="Arial" w:cs="Arial" w:eastAsia="Arial" w:hAnsi="Arial"/>
                <w:color w:val="14202E"/>
                <w:sz w:val="20"/>
                <w:szCs w:val="20"/>
              </w:rPr>
              <w:t xml:space="preserve">Submission withdrawal request: in exceptional circumstances (identified factual error, discovered data integrity problem), students can request a submission withdrawal — requiring formal justification and teacher approval within 24 hours of original submission — if approved, the submission is unlocked for correction and the resubmission is timestamped as a corrected submission.</w:t>
            </w:r>
          </w:p>
        </w:tc>
      </w:tr>
      <w:tr>
        <w:tc>
          <w:tcPr>
            <w:tcW w:type="dxa" w:w="9360"/>
            <w:tcBorders>
              <w:top w:val="single" w:color="B4C8D6" w:sz="1"/>
              <w:left w:val="single" w:color="B4C8D6" w:sz="1"/>
              <w:bottom w:val="single" w:color="B4C8D6" w:sz="1"/>
              <w:right w:val="single" w:color="B4C8D6" w:sz="1"/>
            </w:tcBorders>
            <w:shd w:fill="F2F6FA" w:val="clear"/>
            <w:tcMar>
              <w:top w:type="dxa" w:w="100"/>
              <w:left w:type="dxa" w:w="240"/>
              <w:bottom w:type="dxa" w:w="10"/>
              <w:right w:type="dxa" w:w="240"/>
            </w:tcMar>
          </w:tcPr>
          <w:p>
            <w:pPr>
              <w:spacing w:before="50" w:after="0"/>
            </w:pPr>
            <w:r>
              <w:rPr>
                <w:rFonts w:ascii="Arial" w:cs="Arial" w:eastAsia="Arial" w:hAnsi="Arial"/>
                <w:b/>
                <w:bCs/>
                <w:color w:val="1540A0"/>
                <w:sz w:val="21"/>
                <w:szCs w:val="21"/>
              </w:rPr>
              <w:t xml:space="preserve">Academic Integrity &amp; Originality Assurance</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D2B6E"/>
                <w:sz w:val="20"/>
                <w:szCs w:val="20"/>
              </w:rPr>
              <w:t xml:space="preserve">▸  </w:t>
            </w:r>
            <w:r>
              <w:rPr>
                <w:rFonts w:ascii="Arial" w:cs="Arial" w:eastAsia="Arial" w:hAnsi="Arial"/>
                <w:color w:val="14202E"/>
                <w:sz w:val="20"/>
                <w:szCs w:val="20"/>
              </w:rPr>
              <w:t xml:space="preserve">Multi-engine plagiarism detection: all written submissions are processed through the platform's originality checking engine — comparing against: published academic papers and web content (via Turnitin or iThenticate integration), previously submitted student projects across the platform's network (detecting inter-school copying), the submitting school's own submission history (detecting year-on-year recycling), and the student's own prior work (detecting self-plagiarism across different assessments).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D2B6E"/>
                <w:sz w:val="20"/>
                <w:szCs w:val="20"/>
              </w:rPr>
              <w:t xml:space="preserve">▸  </w:t>
            </w:r>
            <w:r>
              <w:rPr>
                <w:rFonts w:ascii="Arial" w:cs="Arial" w:eastAsia="Arial" w:hAnsi="Arial"/>
                <w:color w:val="14202E"/>
                <w:sz w:val="20"/>
                <w:szCs w:val="20"/>
              </w:rPr>
              <w:t xml:space="preserve">Originality report generation and teacher review: a detailed originality report is generated within 30 minutes of submission — showing overall similarity percentage, source-by-source breakdown, text highlight overlay on the submitted document, and a Genuine Authorship Confidence Score — the teacher reviews the report before beginning substantive evaluation, with high-similarity submissions automatically routed to an academic integrity review queue.</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D2B6E"/>
                <w:sz w:val="20"/>
                <w:szCs w:val="20"/>
              </w:rPr>
              <w:t xml:space="preserve">▸  </w:t>
            </w:r>
            <w:r>
              <w:rPr>
                <w:rFonts w:ascii="Arial" w:cs="Arial" w:eastAsia="Arial" w:hAnsi="Arial"/>
                <w:color w:val="14202E"/>
                <w:sz w:val="20"/>
                <w:szCs w:val="20"/>
              </w:rPr>
              <w:t xml:space="preserve">AI-generated content detection: an AI authorship likelihood indicator is applied to all written submissions — using statistical analysis of writing style, vocabulary distribution, sentence structure patterns, and argument coherence to estimate the probability that portions of the work were AI-generated — flagged sections are highlighted for teacher review, supporting informed academic integrity assessment.</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D2B6E"/>
                <w:sz w:val="20"/>
                <w:szCs w:val="20"/>
              </w:rPr>
              <w:t xml:space="preserve">▸  </w:t>
            </w:r>
            <w:r>
              <w:rPr>
                <w:rFonts w:ascii="Arial" w:cs="Arial" w:eastAsia="Arial" w:hAnsi="Arial"/>
                <w:color w:val="14202E"/>
                <w:sz w:val="20"/>
                <w:szCs w:val="20"/>
              </w:rPr>
              <w:t xml:space="preserve">Process portfolio as integrity evidence: the complete submission history — drafts, milestone submissions, version timestamps, and facilitator feedback responses — is presented alongside the final submission as evidence of authentic project development over time — students who cannot demonstrate a plausible development process for work with high AI or plagiarism flags face a higher academic integrity risk classification.</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D2B6E"/>
                <w:sz w:val="20"/>
                <w:szCs w:val="20"/>
              </w:rPr>
              <w:t xml:space="preserve">▸  </w:t>
            </w:r>
            <w:r>
              <w:rPr>
                <w:rFonts w:ascii="Arial" w:cs="Arial" w:eastAsia="Arial" w:hAnsi="Arial"/>
                <w:color w:val="14202E"/>
                <w:sz w:val="20"/>
                <w:szCs w:val="20"/>
              </w:rPr>
              <w:t xml:space="preserve">Integrity acknowledgement at submission: before finalising any submission, students must check a declaration confirming the work is their own, all sources are cited, AI assistance (if any) has been disclosed per school policy, and they understand the consequences of academic dishonesty — this declaration is timestamped and stored permanently with the submission record.</w:t>
            </w:r>
          </w:p>
        </w:tc>
      </w:tr>
    </w:tbl>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C8D6" w:sz="1"/>
              <w:left w:val="single" w:color="B4C8D6" w:sz="1"/>
              <w:bottom w:val="single" w:color="B4C8D6" w:sz="1"/>
              <w:right w:val="single" w:color="B4C8D6" w:sz="1"/>
            </w:tcBorders>
            <w:shd w:fill="4A0E5C" w:val="clear"/>
            <w:tcMar>
              <w:top w:type="dxa" w:w="155"/>
              <w:left w:type="dxa" w:w="240"/>
              <w:bottom w:type="dxa" w:w="155"/>
              <w:right w:type="dxa" w:w="240"/>
            </w:tcMar>
          </w:tcPr>
          <w:p>
            <w:r>
              <w:rPr>
                <w:rFonts w:ascii="Arial" w:cs="Arial" w:eastAsia="Arial" w:hAnsi="Arial"/>
                <w:b/>
                <w:bCs/>
                <w:color w:val="FFFFFF"/>
                <w:sz w:val="24"/>
                <w:szCs w:val="24"/>
              </w:rPr>
              <w:t xml:space="preserve">3.  </w:t>
            </w:r>
            <w:r>
              <w:rPr>
                <w:rFonts w:ascii="Arial" w:cs="Arial" w:eastAsia="Arial" w:hAnsi="Arial"/>
                <w:b/>
                <w:bCs/>
                <w:color w:val="FFFFFF"/>
                <w:sz w:val="32"/>
                <w:szCs w:val="32"/>
              </w:rPr>
              <w:t xml:space="preserve">Mentor Review System</w:t>
            </w:r>
          </w:p>
        </w:tc>
      </w:tr>
      <w:tr>
        <w:tc>
          <w:tcPr>
            <w:tcW w:type="dxa" w:w="9360"/>
            <w:tcBorders>
              <w:top w:val="single" w:color="B4C8D6" w:sz="1"/>
              <w:left w:val="single" w:color="B4C8D6" w:sz="1"/>
              <w:bottom w:val="single" w:color="B4C8D6" w:sz="1"/>
              <w:right w:val="single" w:color="B4C8D6" w:sz="1"/>
            </w:tcBorders>
            <w:shd w:fill="EDD6F7" w:val="clear"/>
            <w:tcMar>
              <w:top w:type="dxa" w:w="115"/>
              <w:left w:type="dxa" w:w="240"/>
              <w:bottom w:type="dxa" w:w="115"/>
              <w:right w:type="dxa" w:w="240"/>
            </w:tcMar>
          </w:tcPr>
          <w:p>
            <w:r>
              <w:rPr>
                <w:rFonts w:ascii="Arial" w:cs="Arial" w:eastAsia="Arial" w:hAnsi="Arial"/>
                <w:b/>
                <w:bCs/>
                <w:color w:val="4A0E5C"/>
                <w:sz w:val="21"/>
                <w:szCs w:val="21"/>
              </w:rPr>
              <w:t xml:space="preserve">Overview  </w:t>
            </w:r>
            <w:r>
              <w:rPr>
                <w:rFonts w:ascii="Arial" w:cs="Arial" w:eastAsia="Arial" w:hAnsi="Arial"/>
                <w:i/>
                <w:iCs/>
                <w:color w:val="14202E"/>
                <w:sz w:val="21"/>
                <w:szCs w:val="21"/>
              </w:rPr>
              <w:t xml:space="preserve">A structured, asynchronous and synchronous mentor engagement platform that connects students with school teachers, subject specialists, and external industry mentors throughout the project lifecycle — providing formative guidance at every stage through a governed review workflow that ensures mentor support is timely, documented, and pedagogically purposeful.</w:t>
            </w:r>
          </w:p>
        </w:tc>
      </w:tr>
      <w:tr>
        <w:tc>
          <w:tcPr>
            <w:tcW w:type="dxa" w:w="9360"/>
            <w:tcBorders>
              <w:top w:val="single" w:color="B4C8D6" w:sz="1"/>
              <w:left w:val="single" w:color="B4C8D6" w:sz="1"/>
              <w:bottom w:val="single" w:color="B4C8D6" w:sz="1"/>
              <w:right w:val="single" w:color="B4C8D6" w:sz="1"/>
            </w:tcBorders>
            <w:shd w:fill="F2F6FA" w:val="clear"/>
            <w:tcMar>
              <w:top w:type="dxa" w:w="100"/>
              <w:left w:type="dxa" w:w="240"/>
              <w:bottom w:type="dxa" w:w="10"/>
              <w:right w:type="dxa" w:w="240"/>
            </w:tcMar>
          </w:tcPr>
          <w:p>
            <w:pPr>
              <w:spacing w:before="50" w:after="0"/>
            </w:pPr>
            <w:r>
              <w:rPr>
                <w:rFonts w:ascii="Arial" w:cs="Arial" w:eastAsia="Arial" w:hAnsi="Arial"/>
                <w:b/>
                <w:bCs/>
                <w:color w:val="6A1490"/>
                <w:sz w:val="21"/>
                <w:szCs w:val="21"/>
              </w:rPr>
              <w:t xml:space="preserve">Mentor Assignment &amp; Matching</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4A0E5C"/>
                <w:sz w:val="20"/>
                <w:szCs w:val="20"/>
              </w:rPr>
              <w:t xml:space="preserve">▸  </w:t>
            </w:r>
            <w:r>
              <w:rPr>
                <w:rFonts w:ascii="Arial" w:cs="Arial" w:eastAsia="Arial" w:hAnsi="Arial"/>
                <w:color w:val="14202E"/>
                <w:sz w:val="20"/>
                <w:szCs w:val="20"/>
              </w:rPr>
              <w:t xml:space="preserve">Three-tier mentor structure: every project student has access to three mentoring layers — the Primary Teacher Mentor (the subject teacher who assigned the project, providing academic content guidance and assessment oversight), the Skill Development Mentor (the student's assigned skill development facilitator, coaching on project process skills — planning, teamwork, communication, problem-solving), and optionally an Industry Expert Mentor (a verified professional from a partner organisation, providing real-world application insight and professional practice guidance for industry-aligned projects).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4A0E5C"/>
                <w:sz w:val="20"/>
                <w:szCs w:val="20"/>
              </w:rPr>
              <w:t xml:space="preserve">▸  </w:t>
            </w:r>
            <w:r>
              <w:rPr>
                <w:rFonts w:ascii="Arial" w:cs="Arial" w:eastAsia="Arial" w:hAnsi="Arial"/>
                <w:color w:val="14202E"/>
                <w:sz w:val="20"/>
                <w:szCs w:val="20"/>
              </w:rPr>
              <w:t xml:space="preserve">Mentor-project matching algorithm: for projects requiring specialist expertise beyond the assigning teacher's domain (e.g., a social impact project requiring community development expertise, or a computational project requiring software engineering insight), the platform's matching engine identifies the most suitable mentor from the school's faculty roster or the platform's verified industry mentor network — based on expertise tags, availability, current mentee load, and previous mentoring effectiveness ratings.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4A0E5C"/>
                <w:sz w:val="20"/>
                <w:szCs w:val="20"/>
              </w:rPr>
              <w:t xml:space="preserve">▸  </w:t>
            </w:r>
            <w:r>
              <w:rPr>
                <w:rFonts w:ascii="Arial" w:cs="Arial" w:eastAsia="Arial" w:hAnsi="Arial"/>
                <w:color w:val="14202E"/>
                <w:sz w:val="20"/>
                <w:szCs w:val="20"/>
              </w:rPr>
              <w:t xml:space="preserve">Mentor capacity management: each mentor has a configurable maximum concurrent mentee load — the system prevents assignment of additional projects when a mentor is at capacity, displaying the mentor's current load and estimated availability for new assignments to the coordinator making allocation decisions.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4A0E5C"/>
                <w:sz w:val="20"/>
                <w:szCs w:val="20"/>
              </w:rPr>
              <w:t xml:space="preserve">▸  </w:t>
            </w:r>
            <w:r>
              <w:rPr>
                <w:rFonts w:ascii="Arial" w:cs="Arial" w:eastAsia="Arial" w:hAnsi="Arial"/>
                <w:color w:val="14202E"/>
                <w:sz w:val="20"/>
                <w:szCs w:val="20"/>
              </w:rPr>
              <w:t xml:space="preserve">Co-mentoring for interdisciplinary projects: projects spanning multiple subject domains are assigned a co-mentoring pair — two subject teachers with relevant expertise who jointly review the project, each providing feedback on the dimensions within their specialist area — the platform manages the coordination of co-mentor feedback to ensure students receive a unified, non-contradictory guidance narrative.</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4A0E5C"/>
                <w:sz w:val="20"/>
                <w:szCs w:val="20"/>
              </w:rPr>
              <w:t xml:space="preserve">▸  </w:t>
            </w:r>
            <w:r>
              <w:rPr>
                <w:rFonts w:ascii="Arial" w:cs="Arial" w:eastAsia="Arial" w:hAnsi="Arial"/>
                <w:color w:val="14202E"/>
                <w:sz w:val="20"/>
                <w:szCs w:val="20"/>
              </w:rPr>
              <w:t xml:space="preserve">Mentor acceptance and commitment confirmation: assigned mentors receive a notification detailing the project brief, the student or team, the mentoring timeline, and the expected engagement commitments — mentors formally accept or decline with an alternate suggestion — ensuring all mentoring relationships are entered into willingly and with clear expectations.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4A0E5C"/>
                <w:sz w:val="20"/>
                <w:szCs w:val="20"/>
              </w:rPr>
              <w:t xml:space="preserve">▸  </w:t>
            </w:r>
            <w:r>
              <w:rPr>
                <w:rFonts w:ascii="Arial" w:cs="Arial" w:eastAsia="Arial" w:hAnsi="Arial"/>
                <w:color w:val="14202E"/>
                <w:sz w:val="20"/>
                <w:szCs w:val="20"/>
              </w:rPr>
              <w:t xml:space="preserve">Student mentor selection preference: for elective or passion projects, students can express a mentor preference from a published list of available mentors — factoring in preference alongside expertise and capacity in the final assignment — increasing student investment in the mentoring relationship.</w:t>
            </w:r>
          </w:p>
        </w:tc>
      </w:tr>
      <w:tr>
        <w:tc>
          <w:tcPr>
            <w:tcW w:type="dxa" w:w="9360"/>
            <w:tcBorders>
              <w:top w:val="single" w:color="B4C8D6" w:sz="1"/>
              <w:left w:val="single" w:color="B4C8D6" w:sz="1"/>
              <w:bottom w:val="single" w:color="B4C8D6" w:sz="1"/>
              <w:right w:val="single" w:color="B4C8D6" w:sz="1"/>
            </w:tcBorders>
            <w:shd w:fill="F2F6FA" w:val="clear"/>
            <w:tcMar>
              <w:top w:type="dxa" w:w="100"/>
              <w:left w:type="dxa" w:w="240"/>
              <w:bottom w:type="dxa" w:w="10"/>
              <w:right w:type="dxa" w:w="240"/>
            </w:tcMar>
          </w:tcPr>
          <w:p>
            <w:pPr>
              <w:spacing w:before="50" w:after="0"/>
            </w:pPr>
            <w:r>
              <w:rPr>
                <w:rFonts w:ascii="Arial" w:cs="Arial" w:eastAsia="Arial" w:hAnsi="Arial"/>
                <w:b/>
                <w:bCs/>
                <w:color w:val="6A1490"/>
                <w:sz w:val="21"/>
                <w:szCs w:val="21"/>
              </w:rPr>
              <w:t xml:space="preserve">Review Session Management</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4A0E5C"/>
                <w:sz w:val="20"/>
                <w:szCs w:val="20"/>
              </w:rPr>
              <w:t xml:space="preserve">▸  </w:t>
            </w:r>
            <w:r>
              <w:rPr>
                <w:rFonts w:ascii="Arial" w:cs="Arial" w:eastAsia="Arial" w:hAnsi="Arial"/>
                <w:color w:val="14202E"/>
                <w:sz w:val="20"/>
                <w:szCs w:val="20"/>
              </w:rPr>
              <w:t xml:space="preserve">Structured review session scheduling: mentors and students schedule review sessions through the platform's integrated calendar — session types include Project Kick-off (initial brief clarification and planning session), Progress Review (milestone-linked check-in), Draft Review (formative feedback on a submitted draft), Problem-Solving Session (targeted discussion of a specific challenge), and Pre-Submission Review (final check before formal submission).</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4A0E5C"/>
                <w:sz w:val="20"/>
                <w:szCs w:val="20"/>
              </w:rPr>
              <w:t xml:space="preserve">▸  </w:t>
            </w:r>
            <w:r>
              <w:rPr>
                <w:rFonts w:ascii="Arial" w:cs="Arial" w:eastAsia="Arial" w:hAnsi="Arial"/>
                <w:color w:val="14202E"/>
                <w:sz w:val="20"/>
                <w:szCs w:val="20"/>
              </w:rPr>
              <w:t xml:space="preserve">Session brief preparation by students: before each review session, students are required to submit a brief session preparation note — specifying their progress since the last session, specific questions or challenges they want to address, materials they are bringing to the session, and what they hope to achieve — conditioning students to arrive at mentoring sessions prepared and purposeful rather than passive.</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4A0E5C"/>
                <w:sz w:val="20"/>
                <w:szCs w:val="20"/>
              </w:rPr>
              <w:t xml:space="preserve">▸  </w:t>
            </w:r>
            <w:r>
              <w:rPr>
                <w:rFonts w:ascii="Arial" w:cs="Arial" w:eastAsia="Arial" w:hAnsi="Arial"/>
                <w:color w:val="14202E"/>
                <w:sz w:val="20"/>
                <w:szCs w:val="20"/>
              </w:rPr>
              <w:t xml:space="preserve">Asynchronous review workflow for written feedback: for draft review, mentor feedback can be delivered asynchronously — the mentor accesses the student's submitted draft, adds inline annotations and comments directly on the document, completes a structured feedback form (highlighting strengths, raising questions, suggesting improvements), and returns the annotated version to the student — enabling mentors to review work at their convenience without requiring synchronous sessions for every feedback round.</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4A0E5C"/>
                <w:sz w:val="20"/>
                <w:szCs w:val="20"/>
              </w:rPr>
              <w:t xml:space="preserve">▸  </w:t>
            </w:r>
            <w:r>
              <w:rPr>
                <w:rFonts w:ascii="Arial" w:cs="Arial" w:eastAsia="Arial" w:hAnsi="Arial"/>
                <w:color w:val="14202E"/>
                <w:sz w:val="20"/>
                <w:szCs w:val="20"/>
              </w:rPr>
              <w:t xml:space="preserve">Mentor feedback quality framework: all mentor feedback is structured around four elements — Affirm (what is strong and why), Question (what the mentor needs clarification on), Suggest (specific, actionable improvement recommendations), and Challenge (a stretching question or task that pushes the student's thinking beyond their current position) — known as the AQSC Framework — ensuring feedback is consistently constructive, specific, and developmentally challenging.</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4A0E5C"/>
                <w:sz w:val="20"/>
                <w:szCs w:val="20"/>
              </w:rPr>
              <w:t xml:space="preserve">▸  </w:t>
            </w:r>
            <w:r>
              <w:rPr>
                <w:rFonts w:ascii="Arial" w:cs="Arial" w:eastAsia="Arial" w:hAnsi="Arial"/>
                <w:color w:val="14202E"/>
                <w:sz w:val="20"/>
                <w:szCs w:val="20"/>
              </w:rPr>
              <w:t xml:space="preserve">Session recording and transcript: all virtual review sessions are recorded with participant consent — recordings are automatically transcribed and key action points are extracted by the AI — both the recording and the action point summary are stored in the student's project record for reference, creating a reliable memory of commitments made in verbal conversations.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4A0E5C"/>
                <w:sz w:val="20"/>
                <w:szCs w:val="20"/>
              </w:rPr>
              <w:t xml:space="preserve">▸  </w:t>
            </w:r>
            <w:r>
              <w:rPr>
                <w:rFonts w:ascii="Arial" w:cs="Arial" w:eastAsia="Arial" w:hAnsi="Arial"/>
                <w:color w:val="14202E"/>
                <w:sz w:val="20"/>
                <w:szCs w:val="20"/>
              </w:rPr>
              <w:t xml:space="preserve">Response tracking for asynchronous feedback: when a mentor provides written feedback, the platform tracks whether the student has read and acted upon it — students submit a brief response note acknowledging the feedback and describing how they will address each suggestion — creating a dialogue rather than a one-way feedback broadcast and holding students accountable for acting on mentor input.</w:t>
            </w:r>
          </w:p>
        </w:tc>
      </w:tr>
      <w:tr>
        <w:tc>
          <w:tcPr>
            <w:tcW w:type="dxa" w:w="9360"/>
            <w:tcBorders>
              <w:top w:val="single" w:color="B4C8D6" w:sz="1"/>
              <w:left w:val="single" w:color="B4C8D6" w:sz="1"/>
              <w:bottom w:val="single" w:color="B4C8D6" w:sz="1"/>
              <w:right w:val="single" w:color="B4C8D6" w:sz="1"/>
            </w:tcBorders>
            <w:shd w:fill="F2F6FA" w:val="clear"/>
            <w:tcMar>
              <w:top w:type="dxa" w:w="100"/>
              <w:left w:type="dxa" w:w="240"/>
              <w:bottom w:type="dxa" w:w="10"/>
              <w:right w:type="dxa" w:w="240"/>
            </w:tcMar>
          </w:tcPr>
          <w:p>
            <w:pPr>
              <w:spacing w:before="50" w:after="0"/>
            </w:pPr>
            <w:r>
              <w:rPr>
                <w:rFonts w:ascii="Arial" w:cs="Arial" w:eastAsia="Arial" w:hAnsi="Arial"/>
                <w:b/>
                <w:bCs/>
                <w:color w:val="6A1490"/>
                <w:sz w:val="21"/>
                <w:szCs w:val="21"/>
              </w:rPr>
              <w:t xml:space="preserve">Progress Monitoring &amp; Escalation</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4A0E5C"/>
                <w:sz w:val="20"/>
                <w:szCs w:val="20"/>
              </w:rPr>
              <w:t xml:space="preserve">▸  </w:t>
            </w:r>
            <w:r>
              <w:rPr>
                <w:rFonts w:ascii="Arial" w:cs="Arial" w:eastAsia="Arial" w:hAnsi="Arial"/>
                <w:color w:val="14202E"/>
                <w:sz w:val="20"/>
                <w:szCs w:val="20"/>
              </w:rPr>
              <w:t xml:space="preserve">Mentor progress dashboard: each mentor's dashboard shows all their current mentees' project status — milestone completion rates, days since last interaction, submission history, and any flagged risks — enabling mentors to identify students who are drifting without proactive escalation before the project is significantly off track.</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4A0E5C"/>
                <w:sz w:val="20"/>
                <w:szCs w:val="20"/>
              </w:rPr>
              <w:t xml:space="preserve">▸  </w:t>
            </w:r>
            <w:r>
              <w:rPr>
                <w:rFonts w:ascii="Arial" w:cs="Arial" w:eastAsia="Arial" w:hAnsi="Arial"/>
                <w:color w:val="14202E"/>
                <w:sz w:val="20"/>
                <w:szCs w:val="20"/>
              </w:rPr>
              <w:t xml:space="preserve">Automated inactivity alerts: if a student or team has not submitted any project activity (draft upload, milestone submission, session attendance) for more than 7 days, the system automatically alerts their mentor and form teacher — triggering a welfare-informed check-in rather than waiting for the student to surface a problem independently.</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4A0E5C"/>
                <w:sz w:val="20"/>
                <w:szCs w:val="20"/>
              </w:rPr>
              <w:t xml:space="preserve">▸  </w:t>
            </w:r>
            <w:r>
              <w:rPr>
                <w:rFonts w:ascii="Arial" w:cs="Arial" w:eastAsia="Arial" w:hAnsi="Arial"/>
                <w:color w:val="14202E"/>
                <w:sz w:val="20"/>
                <w:szCs w:val="20"/>
              </w:rPr>
              <w:t xml:space="preserve">Risk flag system: mentors can formally flag a project as At Risk — specifying the risk type (scope creep, team conflict, research dead-end, external dependency delay, student wellbeing concern) — flagged projects trigger an escalation notification to the academic coordinator, who can intervene with additional support resources, deadline adjustments, or pastoral support referrals.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4A0E5C"/>
                <w:sz w:val="20"/>
                <w:szCs w:val="20"/>
              </w:rPr>
              <w:t xml:space="preserve">▸  </w:t>
            </w:r>
            <w:r>
              <w:rPr>
                <w:rFonts w:ascii="Arial" w:cs="Arial" w:eastAsia="Arial" w:hAnsi="Arial"/>
                <w:color w:val="14202E"/>
                <w:sz w:val="20"/>
                <w:szCs w:val="20"/>
              </w:rPr>
              <w:t xml:space="preserve">Mentor handover protocol: if a mentor is unexpectedly unavailable (illness, departure) mid-project, a formal handover protocol is triggered — the outgoing mentor documents project status, key decisions made, outstanding feedback, and student-specific notes — the incoming mentor receives this documentation before their first interaction, ensuring continuity of support without students needing to re-explain their project from the beginning.</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4A0E5C"/>
                <w:sz w:val="20"/>
                <w:szCs w:val="20"/>
              </w:rPr>
              <w:t xml:space="preserve">▸  </w:t>
            </w:r>
            <w:r>
              <w:rPr>
                <w:rFonts w:ascii="Arial" w:cs="Arial" w:eastAsia="Arial" w:hAnsi="Arial"/>
                <w:color w:val="14202E"/>
                <w:sz w:val="20"/>
                <w:szCs w:val="20"/>
              </w:rPr>
              <w:t xml:space="preserve">Milestone sign-off authority: mentors formally sign off on each completed milestone checkpoint — a digital signature confirming the milestone meets the required standard before the student proceeds to the next phase — the sign-off is timestamped and stored in the project record, providing a clear record of the formative assessment process.</w:t>
            </w:r>
          </w:p>
        </w:tc>
      </w:tr>
      <w:tr>
        <w:tc>
          <w:tcPr>
            <w:tcW w:type="dxa" w:w="9360"/>
            <w:tcBorders>
              <w:top w:val="single" w:color="B4C8D6" w:sz="1"/>
              <w:left w:val="single" w:color="B4C8D6" w:sz="1"/>
              <w:bottom w:val="single" w:color="B4C8D6" w:sz="1"/>
              <w:right w:val="single" w:color="B4C8D6" w:sz="1"/>
            </w:tcBorders>
            <w:shd w:fill="F2F6FA" w:val="clear"/>
            <w:tcMar>
              <w:top w:type="dxa" w:w="100"/>
              <w:left w:type="dxa" w:w="240"/>
              <w:bottom w:type="dxa" w:w="10"/>
              <w:right w:type="dxa" w:w="240"/>
            </w:tcMar>
          </w:tcPr>
          <w:p>
            <w:pPr>
              <w:spacing w:before="50" w:after="0"/>
            </w:pPr>
            <w:r>
              <w:rPr>
                <w:rFonts w:ascii="Arial" w:cs="Arial" w:eastAsia="Arial" w:hAnsi="Arial"/>
                <w:b/>
                <w:bCs/>
                <w:color w:val="6A1490"/>
                <w:sz w:val="21"/>
                <w:szCs w:val="21"/>
              </w:rPr>
              <w:t xml:space="preserve">External &amp; Industry Mentor Experience</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4A0E5C"/>
                <w:sz w:val="20"/>
                <w:szCs w:val="20"/>
              </w:rPr>
              <w:t xml:space="preserve">▸  </w:t>
            </w:r>
            <w:r>
              <w:rPr>
                <w:rFonts w:ascii="Arial" w:cs="Arial" w:eastAsia="Arial" w:hAnsi="Arial"/>
                <w:color w:val="14202E"/>
                <w:sz w:val="20"/>
                <w:szCs w:val="20"/>
              </w:rPr>
              <w:t xml:space="preserve">Verified industry mentor onboarding: external mentors undergo a streamlined onboarding process — identity verification, professional background check, child safeguarding training completion confirmation, platform terms acceptance, and a brief orientation to the school's project expectations and communication norms — creating a trusted, governed professional relationship.</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4A0E5C"/>
                <w:sz w:val="20"/>
                <w:szCs w:val="20"/>
              </w:rPr>
              <w:t xml:space="preserve">▸  </w:t>
            </w:r>
            <w:r>
              <w:rPr>
                <w:rFonts w:ascii="Arial" w:cs="Arial" w:eastAsia="Arial" w:hAnsi="Arial"/>
                <w:color w:val="14202E"/>
                <w:sz w:val="20"/>
                <w:szCs w:val="20"/>
              </w:rPr>
              <w:t xml:space="preserve">Scoped access for external mentors: industry mentors have carefully scoped platform access — limited to the projects and students they are assigned to mentor, with read access to project briefs and student submissions but no access to personal student data, academic records, or school administrative systems — maintaining student privacy and data minimisation.</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4A0E5C"/>
                <w:sz w:val="20"/>
                <w:szCs w:val="20"/>
              </w:rPr>
              <w:t xml:space="preserve">▸  </w:t>
            </w:r>
            <w:r>
              <w:rPr>
                <w:rFonts w:ascii="Arial" w:cs="Arial" w:eastAsia="Arial" w:hAnsi="Arial"/>
                <w:color w:val="14202E"/>
                <w:sz w:val="20"/>
                <w:szCs w:val="20"/>
              </w:rPr>
              <w:t xml:space="preserve">Professional communication archive: all communications between students and industry mentors are conducted within the platform's messaging system — creating a full, school-visible archive of all mentor-student interactions — giving school staff the ability to monitor that interactions are professional and appropriate without conducting surveillance on private channels.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4A0E5C"/>
                <w:sz w:val="20"/>
                <w:szCs w:val="20"/>
              </w:rPr>
              <w:t xml:space="preserve">▸  </w:t>
            </w:r>
            <w:r>
              <w:rPr>
                <w:rFonts w:ascii="Arial" w:cs="Arial" w:eastAsia="Arial" w:hAnsi="Arial"/>
                <w:color w:val="14202E"/>
                <w:sz w:val="20"/>
                <w:szCs w:val="20"/>
              </w:rPr>
              <w:t xml:space="preserve">Industry mentor evaluation of professional practice: at project completion, industry mentors provide a structured evaluation of the student's professional readiness — rating dimensions including Professional Communication, Meeting Preparation, Feedback Responsiveness, Initiative and Self-Direction, and Quality of Deliverable to Professional Standard — this evaluation contributes to both the project score and the student's Employability Readiness Score.</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4A0E5C"/>
                <w:sz w:val="20"/>
                <w:szCs w:val="20"/>
              </w:rPr>
              <w:t xml:space="preserve">▸  </w:t>
            </w:r>
            <w:r>
              <w:rPr>
                <w:rFonts w:ascii="Arial" w:cs="Arial" w:eastAsia="Arial" w:hAnsi="Arial"/>
                <w:color w:val="14202E"/>
                <w:sz w:val="20"/>
                <w:szCs w:val="20"/>
              </w:rPr>
              <w:t xml:space="preserve">Mentor experience rating by students: after project completion, students complete a structured evaluation of their mentoring experience — rating session quality, feedback usefulness, mentor responsiveness, and overall value — aggregate mentor ratings inform the quality of the mentor network and guide future matching decisions.</w:t>
            </w:r>
          </w:p>
        </w:tc>
      </w:tr>
    </w:tbl>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C8D6" w:sz="1"/>
              <w:left w:val="single" w:color="B4C8D6" w:sz="1"/>
              <w:bottom w:val="single" w:color="B4C8D6" w:sz="1"/>
              <w:right w:val="single" w:color="B4C8D6" w:sz="1"/>
            </w:tcBorders>
            <w:shd w:fill="6B2200" w:val="clear"/>
            <w:tcMar>
              <w:top w:type="dxa" w:w="155"/>
              <w:left w:type="dxa" w:w="240"/>
              <w:bottom w:type="dxa" w:w="155"/>
              <w:right w:type="dxa" w:w="240"/>
            </w:tcMar>
          </w:tcPr>
          <w:p>
            <w:r>
              <w:rPr>
                <w:rFonts w:ascii="Arial" w:cs="Arial" w:eastAsia="Arial" w:hAnsi="Arial"/>
                <w:b/>
                <w:bCs/>
                <w:color w:val="FFFFFF"/>
                <w:sz w:val="24"/>
                <w:szCs w:val="24"/>
              </w:rPr>
              <w:t xml:space="preserve">4.  </w:t>
            </w:r>
            <w:r>
              <w:rPr>
                <w:rFonts w:ascii="Arial" w:cs="Arial" w:eastAsia="Arial" w:hAnsi="Arial"/>
                <w:b/>
                <w:bCs/>
                <w:color w:val="FFFFFF"/>
                <w:sz w:val="32"/>
                <w:szCs w:val="32"/>
              </w:rPr>
              <w:t xml:space="preserve">Project Evaluation Scoring</w:t>
            </w:r>
          </w:p>
        </w:tc>
      </w:tr>
      <w:tr>
        <w:tc>
          <w:tcPr>
            <w:tcW w:type="dxa" w:w="9360"/>
            <w:tcBorders>
              <w:top w:val="single" w:color="B4C8D6" w:sz="1"/>
              <w:left w:val="single" w:color="B4C8D6" w:sz="1"/>
              <w:bottom w:val="single" w:color="B4C8D6" w:sz="1"/>
              <w:right w:val="single" w:color="B4C8D6" w:sz="1"/>
            </w:tcBorders>
            <w:shd w:fill="F7E0D4" w:val="clear"/>
            <w:tcMar>
              <w:top w:type="dxa" w:w="115"/>
              <w:left w:type="dxa" w:w="240"/>
              <w:bottom w:type="dxa" w:w="115"/>
              <w:right w:type="dxa" w:w="240"/>
            </w:tcMar>
          </w:tcPr>
          <w:p>
            <w:r>
              <w:rPr>
                <w:rFonts w:ascii="Arial" w:cs="Arial" w:eastAsia="Arial" w:hAnsi="Arial"/>
                <w:b/>
                <w:bCs/>
                <w:color w:val="6B2200"/>
                <w:sz w:val="21"/>
                <w:szCs w:val="21"/>
              </w:rPr>
              <w:t xml:space="preserve">Overview  </w:t>
            </w:r>
            <w:r>
              <w:rPr>
                <w:rFonts w:ascii="Arial" w:cs="Arial" w:eastAsia="Arial" w:hAnsi="Arial"/>
                <w:i/>
                <w:iCs/>
                <w:color w:val="14202E"/>
                <w:sz w:val="21"/>
                <w:szCs w:val="21"/>
              </w:rPr>
              <w:t xml:space="preserve">A comprehensive, multi-dimensional evaluation system that assesses project work across output quality, process quality, individual contribution, collaboration effectiveness, and professional skills — combining teacher evaluation, peer review, industry mentor assessment, and self-reflection into a holistic, evidence-rich project score that captures the full value of project-based learning.</w:t>
            </w:r>
          </w:p>
        </w:tc>
      </w:tr>
      <w:tr>
        <w:tc>
          <w:tcPr>
            <w:tcW w:type="dxa" w:w="9360"/>
            <w:tcBorders>
              <w:top w:val="single" w:color="B4C8D6" w:sz="1"/>
              <w:left w:val="single" w:color="B4C8D6" w:sz="1"/>
              <w:bottom w:val="single" w:color="B4C8D6" w:sz="1"/>
              <w:right w:val="single" w:color="B4C8D6" w:sz="1"/>
            </w:tcBorders>
            <w:shd w:fill="F2F6FA" w:val="clear"/>
            <w:tcMar>
              <w:top w:type="dxa" w:w="100"/>
              <w:left w:type="dxa" w:w="240"/>
              <w:bottom w:type="dxa" w:w="10"/>
              <w:right w:type="dxa" w:w="240"/>
            </w:tcMar>
          </w:tcPr>
          <w:p>
            <w:pPr>
              <w:spacing w:before="50" w:after="0"/>
            </w:pPr>
            <w:r>
              <w:rPr>
                <w:rFonts w:ascii="Arial" w:cs="Arial" w:eastAsia="Arial" w:hAnsi="Arial"/>
                <w:b/>
                <w:bCs/>
                <w:color w:val="923010"/>
                <w:sz w:val="21"/>
                <w:szCs w:val="21"/>
              </w:rPr>
              <w:t xml:space="preserve">Evaluation Framework &amp; Rubric Design</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6B2200"/>
                <w:sz w:val="20"/>
                <w:szCs w:val="20"/>
              </w:rPr>
              <w:t xml:space="preserve">▸  </w:t>
            </w:r>
            <w:r>
              <w:rPr>
                <w:rFonts w:ascii="Arial" w:cs="Arial" w:eastAsia="Arial" w:hAnsi="Arial"/>
                <w:color w:val="14202E"/>
                <w:sz w:val="20"/>
                <w:szCs w:val="20"/>
              </w:rPr>
              <w:t xml:space="preserve">Five-pillar evaluation framework: every project evaluation encompasses five assessment pillars — Content and Knowledge Quality (depth of understanding, accuracy, curriculum alignment, intellectual rigour), Process and Methodology (quality of research/design approach, problem-solving strategy, use of feedback, iterative improvement), Output and Presentation Quality (clarity, completeness, professional standard of the final deliverable), Collaboration and Teamwork (for group projects: role fulfilment, contribution equity, communication, conflict resolution), and Skills Development Evidence (demonstration of mapped skill competencies throughout the project lifecycle) — each pillar weighted according to the project type and grade level.</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6B2200"/>
                <w:sz w:val="20"/>
                <w:szCs w:val="20"/>
              </w:rPr>
              <w:t xml:space="preserve">▸  </w:t>
            </w:r>
            <w:r>
              <w:rPr>
                <w:rFonts w:ascii="Arial" w:cs="Arial" w:eastAsia="Arial" w:hAnsi="Arial"/>
                <w:color w:val="14202E"/>
                <w:sz w:val="20"/>
                <w:szCs w:val="20"/>
              </w:rPr>
              <w:t xml:space="preserve">Behaviourally anchored rubric scales: each evaluation criterion is described at four performance levels — Exemplary (exceeds expectations with evidence of independent extension), Proficient (fully meets expectations with clear evidence), Developing (partially meets expectations with some evidence), and Emerging (beginning to address the criteria with limited evidence) — each level description references specific, observable artefacts rather than vague quality descriptors, ensuring evaluation consistency across different markers.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6B2200"/>
                <w:sz w:val="20"/>
                <w:szCs w:val="20"/>
              </w:rPr>
              <w:t xml:space="preserve">▸  </w:t>
            </w:r>
            <w:r>
              <w:rPr>
                <w:rFonts w:ascii="Arial" w:cs="Arial" w:eastAsia="Arial" w:hAnsi="Arial"/>
                <w:color w:val="14202E"/>
                <w:sz w:val="20"/>
                <w:szCs w:val="20"/>
              </w:rPr>
              <w:t xml:space="preserve">Process portfolio evidence weighting: the evaluation framework explicitly weights process evidence alongside output quality — recognising that the quality of a student's project journey (draft iterations, mentor engagement, team collaboration, problem-solving responses) reflects learning of equal or greater value to the quality of the final product — particularly important for projects where external factors (equipment failure, data loss, community partner changes) may affect output quality without reflecting the student's effort and competence.</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6B2200"/>
                <w:sz w:val="20"/>
                <w:szCs w:val="20"/>
              </w:rPr>
              <w:t xml:space="preserve">▸  </w:t>
            </w:r>
            <w:r>
              <w:rPr>
                <w:rFonts w:ascii="Arial" w:cs="Arial" w:eastAsia="Arial" w:hAnsi="Arial"/>
                <w:color w:val="14202E"/>
                <w:sz w:val="20"/>
                <w:szCs w:val="20"/>
              </w:rPr>
              <w:t xml:space="preserve">Differential rubric for group vs. individual projects: group project rubrics include team-level evaluation criteria (collective output quality, team communication evidence) alongside individual contribution criteria (role fulfilment, individual section quality, contribution declaration consistency with output) — ensuring individual accountability within collaborative contexts.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6B2200"/>
                <w:sz w:val="20"/>
                <w:szCs w:val="20"/>
              </w:rPr>
              <w:t xml:space="preserve">▸  </w:t>
            </w:r>
            <w:r>
              <w:rPr>
                <w:rFonts w:ascii="Arial" w:cs="Arial" w:eastAsia="Arial" w:hAnsi="Arial"/>
                <w:color w:val="14202E"/>
                <w:sz w:val="20"/>
                <w:szCs w:val="20"/>
              </w:rPr>
              <w:t xml:space="preserve">Subject-specific evaluation modules: for specialist project types (scientific investigations, computational projects, art productions), subject-specific evaluation modules extend the standard framework with domain-appropriate criteria — e.g., Experimental Design validity for science projects, Code Quality and Documentation standards for computational projects, and Artistic Intent and Technical Execution for creative projects.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6B2200"/>
                <w:sz w:val="20"/>
                <w:szCs w:val="20"/>
              </w:rPr>
              <w:t xml:space="preserve">▸  </w:t>
            </w:r>
            <w:r>
              <w:rPr>
                <w:rFonts w:ascii="Arial" w:cs="Arial" w:eastAsia="Arial" w:hAnsi="Arial"/>
                <w:color w:val="14202E"/>
                <w:sz w:val="20"/>
                <w:szCs w:val="20"/>
              </w:rPr>
              <w:t xml:space="preserve">Rubric co-design with students: for senior school projects, the evaluation rubric is shared and discussed with students at the project launch — and optionally, students contribute to defining the success criteria through facilitated negotiation — increasing student ownership of quality standards and improving alignment between student effort and evaluator expectations.</w:t>
            </w:r>
          </w:p>
        </w:tc>
      </w:tr>
      <w:tr>
        <w:tc>
          <w:tcPr>
            <w:tcW w:type="dxa" w:w="9360"/>
            <w:tcBorders>
              <w:top w:val="single" w:color="B4C8D6" w:sz="1"/>
              <w:left w:val="single" w:color="B4C8D6" w:sz="1"/>
              <w:bottom w:val="single" w:color="B4C8D6" w:sz="1"/>
              <w:right w:val="single" w:color="B4C8D6" w:sz="1"/>
            </w:tcBorders>
            <w:shd w:fill="F2F6FA" w:val="clear"/>
            <w:tcMar>
              <w:top w:type="dxa" w:w="100"/>
              <w:left w:type="dxa" w:w="240"/>
              <w:bottom w:type="dxa" w:w="10"/>
              <w:right w:type="dxa" w:w="240"/>
            </w:tcMar>
          </w:tcPr>
          <w:p>
            <w:pPr>
              <w:spacing w:before="50" w:after="0"/>
            </w:pPr>
            <w:r>
              <w:rPr>
                <w:rFonts w:ascii="Arial" w:cs="Arial" w:eastAsia="Arial" w:hAnsi="Arial"/>
                <w:b/>
                <w:bCs/>
                <w:color w:val="923010"/>
                <w:sz w:val="21"/>
                <w:szCs w:val="21"/>
              </w:rPr>
              <w:t xml:space="preserve">Evaluation Workflow &amp; Moderation</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6B2200"/>
                <w:sz w:val="20"/>
                <w:szCs w:val="20"/>
              </w:rPr>
              <w:t xml:space="preserve">▸  </w:t>
            </w:r>
            <w:r>
              <w:rPr>
                <w:rFonts w:ascii="Arial" w:cs="Arial" w:eastAsia="Arial" w:hAnsi="Arial"/>
                <w:color w:val="14202E"/>
                <w:sz w:val="20"/>
                <w:szCs w:val="20"/>
              </w:rPr>
              <w:t xml:space="preserve">Primary evaluator and moderator assignment: each project submission has a designated primary evaluator (typically the assigning teacher) and a moderator (the HOD or a peer teacher) — the primary evaluator completes the full rubric evaluation independently, then the moderator reviews a sample of evaluations to confirm standards consistency before scores are finalised.</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6B2200"/>
                <w:sz w:val="20"/>
                <w:szCs w:val="20"/>
              </w:rPr>
              <w:t xml:space="preserve">▸  </w:t>
            </w:r>
            <w:r>
              <w:rPr>
                <w:rFonts w:ascii="Arial" w:cs="Arial" w:eastAsia="Arial" w:hAnsi="Arial"/>
                <w:color w:val="14202E"/>
                <w:sz w:val="20"/>
                <w:szCs w:val="20"/>
              </w:rPr>
              <w:t xml:space="preserve">Blind moderation for objectivity: the moderation interface presents the project submission and the primary evaluator's scores without identifying the evaluating teacher — the moderator scores the work independently before seeing the primary evaluation — when scores diverge by more than a configurable threshold, a reconciliation discussion is triggered to reach an agreed final score.</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6B2200"/>
                <w:sz w:val="20"/>
                <w:szCs w:val="20"/>
              </w:rPr>
              <w:t xml:space="preserve">▸  </w:t>
            </w:r>
            <w:r>
              <w:rPr>
                <w:rFonts w:ascii="Arial" w:cs="Arial" w:eastAsia="Arial" w:hAnsi="Arial"/>
                <w:color w:val="14202E"/>
                <w:sz w:val="20"/>
                <w:szCs w:val="20"/>
              </w:rPr>
              <w:t xml:space="preserve">Interim formative evaluations at milestones: teachers complete brief formative evaluations at each milestone checkpoint — providing rubric-referenced feedback that guides the student's remaining work — these formative evaluations are averaged with the final summative evaluation at a configurable weight (e.g., 20% formative, 80% summative) to reward consistent effort throughout the project rather than only the final output.</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6B2200"/>
                <w:sz w:val="20"/>
                <w:szCs w:val="20"/>
              </w:rPr>
              <w:t xml:space="preserve">▸  </w:t>
            </w:r>
            <w:r>
              <w:rPr>
                <w:rFonts w:ascii="Arial" w:cs="Arial" w:eastAsia="Arial" w:hAnsi="Arial"/>
                <w:color w:val="14202E"/>
                <w:sz w:val="20"/>
                <w:szCs w:val="20"/>
              </w:rPr>
              <w:t xml:space="preserve">Multi-evaluator aggregation for industry projects: for industry-commissioned projects evaluated by both the school teacher and an industry mentor, the platform aggregates scores using a weighted average — teacher evaluation carries 60% weight (curriculum and academic standards focus) and industry mentor evaluation carries 40% weight (professional standards and real-world applicability focus) — with both weights configurable by the school.</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6B2200"/>
                <w:sz w:val="20"/>
                <w:szCs w:val="20"/>
              </w:rPr>
              <w:t xml:space="preserve">▸  </w:t>
            </w:r>
            <w:r>
              <w:rPr>
                <w:rFonts w:ascii="Arial" w:cs="Arial" w:eastAsia="Arial" w:hAnsi="Arial"/>
                <w:color w:val="14202E"/>
                <w:sz w:val="20"/>
                <w:szCs w:val="20"/>
              </w:rPr>
              <w:t xml:space="preserve">Late submission penalty application: if a final submission arrives after the deadline, the configured late penalty (e.g., 5% per day, maximum 25%) is automatically calculated and applied — shown as a clear deduction in the score breakdown — distinguishing the raw quality score from the penalised final score for analytical purposes.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6B2200"/>
                <w:sz w:val="20"/>
                <w:szCs w:val="20"/>
              </w:rPr>
              <w:t xml:space="preserve">▸  </w:t>
            </w:r>
            <w:r>
              <w:rPr>
                <w:rFonts w:ascii="Arial" w:cs="Arial" w:eastAsia="Arial" w:hAnsi="Arial"/>
                <w:color w:val="14202E"/>
                <w:sz w:val="20"/>
                <w:szCs w:val="20"/>
              </w:rPr>
              <w:t xml:space="preserve">Score appeal and review process: students who believe their evaluation is inaccurate can submit a formal appeal — citing specific rubric criteria and providing evidence for a higher rating — appeals are reviewed by the HOD (not the original evaluator), with the decision recorded in the evaluation audit log — preserving both student recourse and evaluator accountability.</w:t>
            </w:r>
          </w:p>
        </w:tc>
      </w:tr>
      <w:tr>
        <w:tc>
          <w:tcPr>
            <w:tcW w:type="dxa" w:w="9360"/>
            <w:tcBorders>
              <w:top w:val="single" w:color="B4C8D6" w:sz="1"/>
              <w:left w:val="single" w:color="B4C8D6" w:sz="1"/>
              <w:bottom w:val="single" w:color="B4C8D6" w:sz="1"/>
              <w:right w:val="single" w:color="B4C8D6" w:sz="1"/>
            </w:tcBorders>
            <w:shd w:fill="F2F6FA" w:val="clear"/>
            <w:tcMar>
              <w:top w:type="dxa" w:w="100"/>
              <w:left w:type="dxa" w:w="240"/>
              <w:bottom w:type="dxa" w:w="10"/>
              <w:right w:type="dxa" w:w="240"/>
            </w:tcMar>
          </w:tcPr>
          <w:p>
            <w:pPr>
              <w:spacing w:before="50" w:after="0"/>
            </w:pPr>
            <w:r>
              <w:rPr>
                <w:rFonts w:ascii="Arial" w:cs="Arial" w:eastAsia="Arial" w:hAnsi="Arial"/>
                <w:b/>
                <w:bCs/>
                <w:color w:val="923010"/>
                <w:sz w:val="21"/>
                <w:szCs w:val="21"/>
              </w:rPr>
              <w:t xml:space="preserve">Individual Scoring Within Team Projects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6B2200"/>
                <w:sz w:val="20"/>
                <w:szCs w:val="20"/>
              </w:rPr>
              <w:t xml:space="preserve">▸  </w:t>
            </w:r>
            <w:r>
              <w:rPr>
                <w:rFonts w:ascii="Arial" w:cs="Arial" w:eastAsia="Arial" w:hAnsi="Arial"/>
                <w:color w:val="14202E"/>
                <w:sz w:val="20"/>
                <w:szCs w:val="20"/>
              </w:rPr>
              <w:t xml:space="preserve">Team output score and individual performance modifier: team projects produce a base Team Output Score (the same for all team members as it reflects collective work quality) — this base score is then adjusted for each individual using a Personal Contribution Modifier calculated from peer contribution ratings, individual contribution declaration analysis, and any individual component scores — producing a fair, differentiated final score for each team member.</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6B2200"/>
                <w:sz w:val="20"/>
                <w:szCs w:val="20"/>
              </w:rPr>
              <w:t xml:space="preserve">▸  </w:t>
            </w:r>
            <w:r>
              <w:rPr>
                <w:rFonts w:ascii="Arial" w:cs="Arial" w:eastAsia="Arial" w:hAnsi="Arial"/>
                <w:color w:val="14202E"/>
                <w:sz w:val="20"/>
                <w:szCs w:val="20"/>
              </w:rPr>
              <w:t xml:space="preserve">Peer contribution assessment: each team member rates their peers on four contribution dimensions — Task Fulfilment (completed their assigned responsibilities), Quality Contribution (the standard of their individual contribution), Collaboration Behaviour (communication, reliability, flexibility), and Initiative (proactively added value beyond assigned role) — anonymised ratings from all team members are aggregated to produce a peer-validated individual contribution score.</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6B2200"/>
                <w:sz w:val="20"/>
                <w:szCs w:val="20"/>
              </w:rPr>
              <w:t xml:space="preserve">▸  </w:t>
            </w:r>
            <w:r>
              <w:rPr>
                <w:rFonts w:ascii="Arial" w:cs="Arial" w:eastAsia="Arial" w:hAnsi="Arial"/>
                <w:color w:val="14202E"/>
                <w:sz w:val="20"/>
                <w:szCs w:val="20"/>
              </w:rPr>
              <w:t xml:space="preserve">Outlier detection in peer ratings: the system detects significantly inflated ratings (friends rating each other very highly) and deflated ratings (interpersonal conflict manifesting in unfairly low ratings) by comparing each student's peer-given scores against the group distribution — statistical outliers are flagged for teacher review before being included in the final contribution modifier calculation.</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6B2200"/>
                <w:sz w:val="20"/>
                <w:szCs w:val="20"/>
              </w:rPr>
              <w:t xml:space="preserve">▸  </w:t>
            </w:r>
            <w:r>
              <w:rPr>
                <w:rFonts w:ascii="Arial" w:cs="Arial" w:eastAsia="Arial" w:hAnsi="Arial"/>
                <w:color w:val="14202E"/>
                <w:sz w:val="20"/>
                <w:szCs w:val="20"/>
              </w:rPr>
              <w:t xml:space="preserve">Facilitator override for exceptional individual performance: when a student's individual contribution significantly exceeded or fell short of the team output quality (e.g., one student carried the entire project or was effectively disengaged), the teacher can apply a discretionary individual override — documented with specific evidence and rationale — to produce a more accurate individual score than the formula alone would generate.</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6B2200"/>
                <w:sz w:val="20"/>
                <w:szCs w:val="20"/>
              </w:rPr>
              <w:t xml:space="preserve">▸  </w:t>
            </w:r>
            <w:r>
              <w:rPr>
                <w:rFonts w:ascii="Arial" w:cs="Arial" w:eastAsia="Arial" w:hAnsi="Arial"/>
                <w:color w:val="14202E"/>
                <w:sz w:val="20"/>
                <w:szCs w:val="20"/>
              </w:rPr>
              <w:t xml:space="preserve">Self-assessment integration in individual scoring: students' own contribution self-assessments (completed at project end) are compared against peer and teacher assessments — significant self-perception gaps are noted in the student's feedback report as metacognitive development opportunities, and the self-assessment (at a low weight, e.g., 10%) contributes to the individual performance modifier.</w:t>
            </w:r>
          </w:p>
        </w:tc>
      </w:tr>
      <w:tr>
        <w:tc>
          <w:tcPr>
            <w:tcW w:type="dxa" w:w="9360"/>
            <w:tcBorders>
              <w:top w:val="single" w:color="B4C8D6" w:sz="1"/>
              <w:left w:val="single" w:color="B4C8D6" w:sz="1"/>
              <w:bottom w:val="single" w:color="B4C8D6" w:sz="1"/>
              <w:right w:val="single" w:color="B4C8D6" w:sz="1"/>
            </w:tcBorders>
            <w:shd w:fill="F2F6FA" w:val="clear"/>
            <w:tcMar>
              <w:top w:type="dxa" w:w="100"/>
              <w:left w:type="dxa" w:w="240"/>
              <w:bottom w:type="dxa" w:w="10"/>
              <w:right w:type="dxa" w:w="240"/>
            </w:tcMar>
          </w:tcPr>
          <w:p>
            <w:pPr>
              <w:spacing w:before="50" w:after="0"/>
            </w:pPr>
            <w:r>
              <w:rPr>
                <w:rFonts w:ascii="Arial" w:cs="Arial" w:eastAsia="Arial" w:hAnsi="Arial"/>
                <w:b/>
                <w:bCs/>
                <w:color w:val="923010"/>
                <w:sz w:val="21"/>
                <w:szCs w:val="21"/>
              </w:rPr>
              <w:t xml:space="preserve">Score Integration &amp; Academic Records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6B2200"/>
                <w:sz w:val="20"/>
                <w:szCs w:val="20"/>
              </w:rPr>
              <w:t xml:space="preserve">▸  </w:t>
            </w:r>
            <w:r>
              <w:rPr>
                <w:rFonts w:ascii="Arial" w:cs="Arial" w:eastAsia="Arial" w:hAnsi="Arial"/>
                <w:color w:val="14202E"/>
                <w:sz w:val="20"/>
                <w:szCs w:val="20"/>
              </w:rPr>
              <w:t xml:space="preserve">Automatic academic ledger posting: finalized project scores are automatically posted to the student's academic marks ledger — categorised by the assessment type (e.g., CBSE Annual Project, Internal Assessment Project, Co-scholastic Activity) and subject — no manual data re-entry required, eliminating transcription errors and reducing administrative workload.</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6B2200"/>
                <w:sz w:val="20"/>
                <w:szCs w:val="20"/>
              </w:rPr>
              <w:t xml:space="preserve">▸  </w:t>
            </w:r>
            <w:r>
              <w:rPr>
                <w:rFonts w:ascii="Arial" w:cs="Arial" w:eastAsia="Arial" w:hAnsi="Arial"/>
                <w:color w:val="14202E"/>
                <w:sz w:val="20"/>
                <w:szCs w:val="20"/>
              </w:rPr>
              <w:t xml:space="preserve">Skill profile contribution: project evaluation scores are translated into skill development evidence — specific rubric criteria scores are mapped to corresponding skill taxonomy competencies and contribute evidence to the student's skill profile — ensuring project work directly feeds the student's longitudinal skill development record.</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6B2200"/>
                <w:sz w:val="20"/>
                <w:szCs w:val="20"/>
              </w:rPr>
              <w:t xml:space="preserve">▸  </w:t>
            </w:r>
            <w:r>
              <w:rPr>
                <w:rFonts w:ascii="Arial" w:cs="Arial" w:eastAsia="Arial" w:hAnsi="Arial"/>
                <w:color w:val="14202E"/>
                <w:sz w:val="20"/>
                <w:szCs w:val="20"/>
              </w:rPr>
              <w:t xml:space="preserve">Grade impact transparency: students can see exactly how each component of their project evaluation (milestone submissions, peer contributions, final output) contributed to their final project grade and its impact on their subject cumulative assessment score — making the evaluation formula transparent and reducing grade disputes.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6B2200"/>
                <w:sz w:val="20"/>
                <w:szCs w:val="20"/>
              </w:rPr>
              <w:t xml:space="preserve">▸  </w:t>
            </w:r>
            <w:r>
              <w:rPr>
                <w:rFonts w:ascii="Arial" w:cs="Arial" w:eastAsia="Arial" w:hAnsi="Arial"/>
                <w:color w:val="14202E"/>
                <w:sz w:val="20"/>
                <w:szCs w:val="20"/>
              </w:rPr>
              <w:t xml:space="preserve">Report card narrative generation: the platform generates a structured project performance narrative for each student — a 2–3 sentence plain-language description of the project undertaken, key achievements, and evaluator commentary — suitable for inclusion in the student's formal academic report card alongside the numerical score.</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6B2200"/>
                <w:sz w:val="20"/>
                <w:szCs w:val="20"/>
              </w:rPr>
              <w:t xml:space="preserve">▸  </w:t>
            </w:r>
            <w:r>
              <w:rPr>
                <w:rFonts w:ascii="Arial" w:cs="Arial" w:eastAsia="Arial" w:hAnsi="Arial"/>
                <w:color w:val="14202E"/>
                <w:sz w:val="20"/>
                <w:szCs w:val="20"/>
              </w:rPr>
              <w:t xml:space="preserve">Cross-year project score analytics: longitudinal analysis of student project scores across academic years — tracking whether project performance is improving, plateauing, or declining relative to other assessment types — informing teacher decisions about scaffolding support and project complexity calibration for individual students.</w:t>
            </w:r>
          </w:p>
        </w:tc>
      </w:tr>
    </w:tbl>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C8D6" w:sz="1"/>
              <w:left w:val="single" w:color="B4C8D6" w:sz="1"/>
              <w:bottom w:val="single" w:color="B4C8D6" w:sz="1"/>
              <w:right w:val="single" w:color="B4C8D6" w:sz="1"/>
            </w:tcBorders>
            <w:shd w:fill="1A2B3A" w:val="clear"/>
            <w:tcMar>
              <w:top w:type="dxa" w:w="155"/>
              <w:left w:type="dxa" w:w="240"/>
              <w:bottom w:type="dxa" w:w="155"/>
              <w:right w:type="dxa" w:w="240"/>
            </w:tcMar>
          </w:tcPr>
          <w:p>
            <w:r>
              <w:rPr>
                <w:rFonts w:ascii="Arial" w:cs="Arial" w:eastAsia="Arial" w:hAnsi="Arial"/>
                <w:b/>
                <w:bCs/>
                <w:color w:val="FFFFFF"/>
                <w:sz w:val="24"/>
                <w:szCs w:val="24"/>
              </w:rPr>
              <w:t xml:space="preserve">5.  </w:t>
            </w:r>
            <w:r>
              <w:rPr>
                <w:rFonts w:ascii="Arial" w:cs="Arial" w:eastAsia="Arial" w:hAnsi="Arial"/>
                <w:b/>
                <w:bCs/>
                <w:color w:val="FFFFFF"/>
                <w:sz w:val="32"/>
                <w:szCs w:val="32"/>
              </w:rPr>
              <w:t xml:space="preserve">Project Portfolio Generation</w:t>
            </w:r>
          </w:p>
        </w:tc>
      </w:tr>
      <w:tr>
        <w:tc>
          <w:tcPr>
            <w:tcW w:type="dxa" w:w="9360"/>
            <w:tcBorders>
              <w:top w:val="single" w:color="B4C8D6" w:sz="1"/>
              <w:left w:val="single" w:color="B4C8D6" w:sz="1"/>
              <w:bottom w:val="single" w:color="B4C8D6" w:sz="1"/>
              <w:right w:val="single" w:color="B4C8D6" w:sz="1"/>
            </w:tcBorders>
            <w:shd w:fill="D6E2EC" w:val="clear"/>
            <w:tcMar>
              <w:top w:type="dxa" w:w="115"/>
              <w:left w:type="dxa" w:w="240"/>
              <w:bottom w:type="dxa" w:w="115"/>
              <w:right w:type="dxa" w:w="240"/>
            </w:tcMar>
          </w:tcPr>
          <w:p>
            <w:r>
              <w:rPr>
                <w:rFonts w:ascii="Arial" w:cs="Arial" w:eastAsia="Arial" w:hAnsi="Arial"/>
                <w:b/>
                <w:bCs/>
                <w:color w:val="1A2B3A"/>
                <w:sz w:val="21"/>
                <w:szCs w:val="21"/>
              </w:rPr>
              <w:t xml:space="preserve">Overview  </w:t>
            </w:r>
            <w:r>
              <w:rPr>
                <w:rFonts w:ascii="Arial" w:cs="Arial" w:eastAsia="Arial" w:hAnsi="Arial"/>
                <w:i/>
                <w:iCs/>
                <w:color w:val="14202E"/>
                <w:sz w:val="21"/>
                <w:szCs w:val="21"/>
              </w:rPr>
              <w:t xml:space="preserve">An intelligent, automated portfolio assembly system that curates the most compelling evidence of each student's project-based learning journey — transforming raw project artefacts, evaluation scores, mentor feedback, reflection narratives, and skill evidence into a professionally presented, shareable digital portfolio that serves as a cornerstone of the student's academic identity and future opportunities record.</w:t>
            </w:r>
          </w:p>
        </w:tc>
      </w:tr>
      <w:tr>
        <w:tc>
          <w:tcPr>
            <w:tcW w:type="dxa" w:w="9360"/>
            <w:tcBorders>
              <w:top w:val="single" w:color="B4C8D6" w:sz="1"/>
              <w:left w:val="single" w:color="B4C8D6" w:sz="1"/>
              <w:bottom w:val="single" w:color="B4C8D6" w:sz="1"/>
              <w:right w:val="single" w:color="B4C8D6" w:sz="1"/>
            </w:tcBorders>
            <w:shd w:fill="F2F6FA" w:val="clear"/>
            <w:tcMar>
              <w:top w:type="dxa" w:w="100"/>
              <w:left w:type="dxa" w:w="240"/>
              <w:bottom w:type="dxa" w:w="10"/>
              <w:right w:type="dxa" w:w="240"/>
            </w:tcMar>
          </w:tcPr>
          <w:p>
            <w:pPr>
              <w:spacing w:before="50" w:after="0"/>
            </w:pPr>
            <w:r>
              <w:rPr>
                <w:rFonts w:ascii="Arial" w:cs="Arial" w:eastAsia="Arial" w:hAnsi="Arial"/>
                <w:b/>
                <w:bCs/>
                <w:color w:val="2A3F52"/>
                <w:sz w:val="21"/>
                <w:szCs w:val="21"/>
              </w:rPr>
              <w:t xml:space="preserve">Portfolio Architecture &amp; Curation Intelligence</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1A2B3A"/>
                <w:sz w:val="20"/>
                <w:szCs w:val="20"/>
              </w:rPr>
              <w:t xml:space="preserve">▸  </w:t>
            </w:r>
            <w:r>
              <w:rPr>
                <w:rFonts w:ascii="Arial" w:cs="Arial" w:eastAsia="Arial" w:hAnsi="Arial"/>
                <w:color w:val="14202E"/>
                <w:sz w:val="20"/>
                <w:szCs w:val="20"/>
              </w:rPr>
              <w:t xml:space="preserve">Automated portfolio population: the platform automatically assembles each student's portfolio from all project records — extracting project titles, briefs, final outputs, evaluation scores, facilitator comments, peer feedback summaries, mentor endorsements, and self-reflections — creating a draft portfolio that requires only student review and curation rather than manual assembly from scratch.</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1A2B3A"/>
                <w:sz w:val="20"/>
                <w:szCs w:val="20"/>
              </w:rPr>
              <w:t xml:space="preserve">▸  </w:t>
            </w:r>
            <w:r>
              <w:rPr>
                <w:rFonts w:ascii="Arial" w:cs="Arial" w:eastAsia="Arial" w:hAnsi="Arial"/>
                <w:color w:val="14202E"/>
                <w:sz w:val="20"/>
                <w:szCs w:val="20"/>
              </w:rPr>
              <w:t xml:space="preserve">AI-powered content selection: the platform's curation AI analyses all available project artefacts and recommends the strongest evidence items for each portfolio section — selecting the project outputs that best demonstrate the student's capabilities, the most insightful reflective writing, and the feedback that most clearly articulates the student's growth — students can accept, modify, or override AI recommendations with full manual control.</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1A2B3A"/>
                <w:sz w:val="20"/>
                <w:szCs w:val="20"/>
              </w:rPr>
              <w:t xml:space="preserve">▸  </w:t>
            </w:r>
            <w:r>
              <w:rPr>
                <w:rFonts w:ascii="Arial" w:cs="Arial" w:eastAsia="Arial" w:hAnsi="Arial"/>
                <w:color w:val="14202E"/>
                <w:sz w:val="20"/>
                <w:szCs w:val="20"/>
              </w:rPr>
              <w:t xml:space="preserve">Project story narrative generation: for each project in the portfolio, an AI-assisted narrative editor helps students write a compelling project story — structured around: What was the challenge?, What was my approach?, What did I create or discover?, What were the results or impact?, and What did I learn? — transforming raw project experience into a persuasive, reflective narrative suitable for college applications and career portfolios.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1A2B3A"/>
                <w:sz w:val="20"/>
                <w:szCs w:val="20"/>
              </w:rPr>
              <w:t xml:space="preserve">▸  </w:t>
            </w:r>
            <w:r>
              <w:rPr>
                <w:rFonts w:ascii="Arial" w:cs="Arial" w:eastAsia="Arial" w:hAnsi="Arial"/>
                <w:color w:val="14202E"/>
                <w:sz w:val="20"/>
                <w:szCs w:val="20"/>
              </w:rPr>
              <w:t xml:space="preserve">Multi-audience portfolio variants: the portfolio system generates three purpose-specific versions from the same underlying data — Academic Portfolio (comprehensive, evidence-heavy, designed for school assessments and academic progression), College Application Portfolio (concise, narrative-rich, optimised for higher education applications with highlights and learning reflections), and Professional Portfolio (skills-forward, impact-focused, designed for internship applications and employer review) — each version uses different content selection criteria and formatting templates.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1A2B3A"/>
                <w:sz w:val="20"/>
                <w:szCs w:val="20"/>
              </w:rPr>
              <w:t xml:space="preserve">▸  </w:t>
            </w:r>
            <w:r>
              <w:rPr>
                <w:rFonts w:ascii="Arial" w:cs="Arial" w:eastAsia="Arial" w:hAnsi="Arial"/>
                <w:color w:val="14202E"/>
                <w:sz w:val="20"/>
                <w:szCs w:val="20"/>
              </w:rPr>
              <w:t xml:space="preserve">Portfolio completeness and quality score: a portfolio quality indicator tracks completeness across eight dimensions — Project Breadth (variety of project types), Depth Evidence (process documentation quality), Skill Coverage (range of skill competencies evidenced), Reflection Quality (depth and authenticity of learning reflections), External Validation (industry mentor endorsements and external evaluations), Presentation Quality (visual clarity and professional presentation), Curriculum Alignment (coverage of key learning areas), and Growth Evidence (demonstration of improvement over time) — prompting students to strengthen weak areas before sharing.</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1A2B3A"/>
                <w:sz w:val="20"/>
                <w:szCs w:val="20"/>
              </w:rPr>
              <w:t xml:space="preserve">▸  </w:t>
            </w:r>
            <w:r>
              <w:rPr>
                <w:rFonts w:ascii="Arial" w:cs="Arial" w:eastAsia="Arial" w:hAnsi="Arial"/>
                <w:color w:val="14202E"/>
                <w:sz w:val="20"/>
                <w:szCs w:val="20"/>
              </w:rPr>
              <w:t xml:space="preserve">Portfolio version history: every iteration of the portfolio is versioned — students can review how their portfolio has evolved over their school career, see what has been added each year, and selectively restore earlier versions if a recent update inadvertently reduced quality — creating a meta-narrative of continuous portfolio development over the student's school journey.</w:t>
            </w:r>
          </w:p>
        </w:tc>
      </w:tr>
      <w:tr>
        <w:tc>
          <w:tcPr>
            <w:tcW w:type="dxa" w:w="9360"/>
            <w:tcBorders>
              <w:top w:val="single" w:color="B4C8D6" w:sz="1"/>
              <w:left w:val="single" w:color="B4C8D6" w:sz="1"/>
              <w:bottom w:val="single" w:color="B4C8D6" w:sz="1"/>
              <w:right w:val="single" w:color="B4C8D6" w:sz="1"/>
            </w:tcBorders>
            <w:shd w:fill="F2F6FA" w:val="clear"/>
            <w:tcMar>
              <w:top w:type="dxa" w:w="100"/>
              <w:left w:type="dxa" w:w="240"/>
              <w:bottom w:type="dxa" w:w="10"/>
              <w:right w:type="dxa" w:w="240"/>
            </w:tcMar>
          </w:tcPr>
          <w:p>
            <w:pPr>
              <w:spacing w:before="50" w:after="0"/>
            </w:pPr>
            <w:r>
              <w:rPr>
                <w:rFonts w:ascii="Arial" w:cs="Arial" w:eastAsia="Arial" w:hAnsi="Arial"/>
                <w:b/>
                <w:bCs/>
                <w:color w:val="2A3F52"/>
                <w:sz w:val="21"/>
                <w:szCs w:val="21"/>
              </w:rPr>
              <w:t xml:space="preserve">Portfolio Content Types &amp; Presentation</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1A2B3A"/>
                <w:sz w:val="20"/>
                <w:szCs w:val="20"/>
              </w:rPr>
              <w:t xml:space="preserve">▸  </w:t>
            </w:r>
            <w:r>
              <w:rPr>
                <w:rFonts w:ascii="Arial" w:cs="Arial" w:eastAsia="Arial" w:hAnsi="Arial"/>
                <w:color w:val="14202E"/>
                <w:sz w:val="20"/>
                <w:szCs w:val="20"/>
              </w:rPr>
              <w:t xml:space="preserve">Rich media project showcase pages: each project in the portfolio has a dedicated showcase page featuring — a project title and description, the challenge statement, a gallery of up to 10 output images or document pages, an embedded video (project demonstration, presentation recording, or student reflection video), key evaluation highlights, mentor endorsement quote, and the student's reflective narrative — presented in a visually polished, responsive layout.</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1A2B3A"/>
                <w:sz w:val="20"/>
                <w:szCs w:val="20"/>
              </w:rPr>
              <w:t xml:space="preserve">▸  </w:t>
            </w:r>
            <w:r>
              <w:rPr>
                <w:rFonts w:ascii="Arial" w:cs="Arial" w:eastAsia="Arial" w:hAnsi="Arial"/>
                <w:color w:val="14202E"/>
                <w:sz w:val="20"/>
                <w:szCs w:val="20"/>
              </w:rPr>
              <w:t xml:space="preserve">Interactive prototype and code embedding: for design and computational projects, the portfolio supports embedded interactive content — live website demos, interactive data visualisations, working prototype videos, and code sandbox environments — allowing portfolio viewers to directly experience the student's work rather than viewing static screenshots.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1A2B3A"/>
                <w:sz w:val="20"/>
                <w:szCs w:val="20"/>
              </w:rPr>
              <w:t xml:space="preserve">▸  </w:t>
            </w:r>
            <w:r>
              <w:rPr>
                <w:rFonts w:ascii="Arial" w:cs="Arial" w:eastAsia="Arial" w:hAnsi="Arial"/>
                <w:color w:val="14202E"/>
                <w:sz w:val="20"/>
                <w:szCs w:val="20"/>
              </w:rPr>
              <w:t xml:space="preserve">Certificate and credential integration: all project certifications, skill badges earned, and mentor endorsements are displayed within the relevant portfolio project pages — connecting achievement recognition directly to the project context in which it was earned, rather than presenting credentials as an isolated list.</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1A2B3A"/>
                <w:sz w:val="20"/>
                <w:szCs w:val="20"/>
              </w:rPr>
              <w:t xml:space="preserve">▸  </w:t>
            </w:r>
            <w:r>
              <w:rPr>
                <w:rFonts w:ascii="Arial" w:cs="Arial" w:eastAsia="Arial" w:hAnsi="Arial"/>
                <w:color w:val="14202E"/>
                <w:sz w:val="20"/>
                <w:szCs w:val="20"/>
              </w:rPr>
              <w:t xml:space="preserve">Before-and-after growth evidence showcase: the portfolio can display a 'Growth Journey' section for key skill areas — showing excerpts from an early project alongside excerpts from a recent project in the same area, with the student's reflective commentary on how their capabilities have developed — making growth visible and compelling.</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1A2B3A"/>
                <w:sz w:val="20"/>
                <w:szCs w:val="20"/>
              </w:rPr>
              <w:t xml:space="preserve">▸  </w:t>
            </w:r>
            <w:r>
              <w:rPr>
                <w:rFonts w:ascii="Arial" w:cs="Arial" w:eastAsia="Arial" w:hAnsi="Arial"/>
                <w:color w:val="14202E"/>
                <w:sz w:val="20"/>
                <w:szCs w:val="20"/>
              </w:rPr>
              <w:t xml:space="preserve">Peer recognition section: peer feedback highlights and peer contribution commendations from collaborative projects are curated into a brief peer recognition section — evidencing the student's collaborative qualities as seen by their peers, adding a social validity dimension to the portfolio that self-reported skills cannot provide.</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1A2B3A"/>
                <w:sz w:val="20"/>
                <w:szCs w:val="20"/>
              </w:rPr>
              <w:t xml:space="preserve">▸  </w:t>
            </w:r>
            <w:r>
              <w:rPr>
                <w:rFonts w:ascii="Arial" w:cs="Arial" w:eastAsia="Arial" w:hAnsi="Arial"/>
                <w:color w:val="14202E"/>
                <w:sz w:val="20"/>
                <w:szCs w:val="20"/>
              </w:rPr>
              <w:t xml:space="preserve">Facilitator spotlight endorsements: teachers and mentors can contribute brief written endorsements to the student's portfolio — contextualising a specific project achievement in the broader context of the student's development journey — with the endorser's professional details (role, subject, school) displayed alongside the endorsement for credibility.</w:t>
            </w:r>
          </w:p>
        </w:tc>
      </w:tr>
      <w:tr>
        <w:tc>
          <w:tcPr>
            <w:tcW w:type="dxa" w:w="9360"/>
            <w:tcBorders>
              <w:top w:val="single" w:color="B4C8D6" w:sz="1"/>
              <w:left w:val="single" w:color="B4C8D6" w:sz="1"/>
              <w:bottom w:val="single" w:color="B4C8D6" w:sz="1"/>
              <w:right w:val="single" w:color="B4C8D6" w:sz="1"/>
            </w:tcBorders>
            <w:shd w:fill="F2F6FA" w:val="clear"/>
            <w:tcMar>
              <w:top w:type="dxa" w:w="100"/>
              <w:left w:type="dxa" w:w="240"/>
              <w:bottom w:type="dxa" w:w="10"/>
              <w:right w:type="dxa" w:w="240"/>
            </w:tcMar>
          </w:tcPr>
          <w:p>
            <w:pPr>
              <w:spacing w:before="50" w:after="0"/>
            </w:pPr>
            <w:r>
              <w:rPr>
                <w:rFonts w:ascii="Arial" w:cs="Arial" w:eastAsia="Arial" w:hAnsi="Arial"/>
                <w:b/>
                <w:bCs/>
                <w:color w:val="2A3F52"/>
                <w:sz w:val="21"/>
                <w:szCs w:val="21"/>
              </w:rPr>
              <w:t xml:space="preserve">Sharing, Privacy &amp; Credentialing</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1A2B3A"/>
                <w:sz w:val="20"/>
                <w:szCs w:val="20"/>
              </w:rPr>
              <w:t xml:space="preserve">▸  </w:t>
            </w:r>
            <w:r>
              <w:rPr>
                <w:rFonts w:ascii="Arial" w:cs="Arial" w:eastAsia="Arial" w:hAnsi="Arial"/>
                <w:color w:val="14202E"/>
                <w:sz w:val="20"/>
                <w:szCs w:val="20"/>
              </w:rPr>
              <w:t xml:space="preserve">Granular portfolio sharing controls: students control who can access their portfolio — options include Private (student only), Shared with School (teachers and coordinators), Parent-Accessible, Custom Link (anyone with the link — no login required), and Public Profile (searchable on the platform's talent showcase for partner institutions) — each section of the portfolio can have independent visibility settings.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1A2B3A"/>
                <w:sz w:val="20"/>
                <w:szCs w:val="20"/>
              </w:rPr>
              <w:t xml:space="preserve">▸  </w:t>
            </w:r>
            <w:r>
              <w:rPr>
                <w:rFonts w:ascii="Arial" w:cs="Arial" w:eastAsia="Arial" w:hAnsi="Arial"/>
                <w:color w:val="14202E"/>
                <w:sz w:val="20"/>
                <w:szCs w:val="20"/>
              </w:rPr>
              <w:t xml:space="preserve">Time-limited share links for applications: students can generate share links with configurable expiry dates — e.g., a link valid for 30 days for a college application — after which the link expires and the recipient can no longer access the portfolio — protecting the student's privacy after the application purpose is fulfilled.</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1A2B3A"/>
                <w:sz w:val="20"/>
                <w:szCs w:val="20"/>
              </w:rPr>
              <w:t xml:space="preserve">▸  </w:t>
            </w:r>
            <w:r>
              <w:rPr>
                <w:rFonts w:ascii="Arial" w:cs="Arial" w:eastAsia="Arial" w:hAnsi="Arial"/>
                <w:color w:val="14202E"/>
                <w:sz w:val="20"/>
                <w:szCs w:val="20"/>
              </w:rPr>
              <w:t xml:space="preserve">Blockchain-verified portfolio credential: the entire portfolio can be issued as a single blockchain-verified credential — a tamper-proof digital document anchored to the distributed ledger — enabling third-party verifiers (universities, employers) to instantly confirm the portfolio's authenticity and the school's endorsement without contacting the school directly.</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1A2B3A"/>
                <w:sz w:val="20"/>
                <w:szCs w:val="20"/>
              </w:rPr>
              <w:t xml:space="preserve">▸  </w:t>
            </w:r>
            <w:r>
              <w:rPr>
                <w:rFonts w:ascii="Arial" w:cs="Arial" w:eastAsia="Arial" w:hAnsi="Arial"/>
                <w:color w:val="14202E"/>
                <w:sz w:val="20"/>
                <w:szCs w:val="20"/>
              </w:rPr>
              <w:t xml:space="preserve">PDF and offline portfolio export: a high-quality print-ready PDF version of the portfolio is available for export — formatted for A4 printing with a professional cover page, table of contents, project sections, and credential appendix — suitable for physical submission, printing for interview portfolio folders, or offline archiving.</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1A2B3A"/>
                <w:sz w:val="20"/>
                <w:szCs w:val="20"/>
              </w:rPr>
              <w:t xml:space="preserve">▸  </w:t>
            </w:r>
            <w:r>
              <w:rPr>
                <w:rFonts w:ascii="Arial" w:cs="Arial" w:eastAsia="Arial" w:hAnsi="Arial"/>
                <w:color w:val="14202E"/>
                <w:sz w:val="20"/>
                <w:szCs w:val="20"/>
              </w:rPr>
              <w:t xml:space="preserve">LinkedIn and digital credential platform integration: one-click export of individual project certificates and the full portfolio credential to LinkedIn, the National Academic Depository (NAD), DigiLocker, and Open Badge-compatible platforms — enabling students to build their professional digital presence from their school portfolio without manual re-entry.</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1A2B3A"/>
                <w:sz w:val="20"/>
                <w:szCs w:val="20"/>
              </w:rPr>
              <w:t xml:space="preserve">▸  </w:t>
            </w:r>
            <w:r>
              <w:rPr>
                <w:rFonts w:ascii="Arial" w:cs="Arial" w:eastAsia="Arial" w:hAnsi="Arial"/>
                <w:color w:val="14202E"/>
                <w:sz w:val="20"/>
                <w:szCs w:val="20"/>
              </w:rPr>
              <w:t xml:space="preserve">Alumni portfolio access: upon graduation, student portfolios transition to Alumni status — maintained in read-only, shareable form for life — alumni can continue sharing their school project portfolio as evidence of early capabilities and foundational achievements throughout their career and higher education journey.</w:t>
            </w:r>
          </w:p>
        </w:tc>
      </w:tr>
      <w:tr>
        <w:tc>
          <w:tcPr>
            <w:tcW w:type="dxa" w:w="9360"/>
            <w:tcBorders>
              <w:top w:val="single" w:color="B4C8D6" w:sz="1"/>
              <w:left w:val="single" w:color="B4C8D6" w:sz="1"/>
              <w:bottom w:val="single" w:color="B4C8D6" w:sz="1"/>
              <w:right w:val="single" w:color="B4C8D6" w:sz="1"/>
            </w:tcBorders>
            <w:shd w:fill="F2F6FA" w:val="clear"/>
            <w:tcMar>
              <w:top w:type="dxa" w:w="100"/>
              <w:left w:type="dxa" w:w="240"/>
              <w:bottom w:type="dxa" w:w="10"/>
              <w:right w:type="dxa" w:w="240"/>
            </w:tcMar>
          </w:tcPr>
          <w:p>
            <w:pPr>
              <w:spacing w:before="50" w:after="0"/>
            </w:pPr>
            <w:r>
              <w:rPr>
                <w:rFonts w:ascii="Arial" w:cs="Arial" w:eastAsia="Arial" w:hAnsi="Arial"/>
                <w:b/>
                <w:bCs/>
                <w:color w:val="2A3F52"/>
                <w:sz w:val="21"/>
                <w:szCs w:val="21"/>
              </w:rPr>
              <w:t xml:space="preserve">Portfolio Programme Analytics for School</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1A2B3A"/>
                <w:sz w:val="20"/>
                <w:szCs w:val="20"/>
              </w:rPr>
              <w:t xml:space="preserve">▸  </w:t>
            </w:r>
            <w:r>
              <w:rPr>
                <w:rFonts w:ascii="Arial" w:cs="Arial" w:eastAsia="Arial" w:hAnsi="Arial"/>
                <w:color w:val="14202E"/>
                <w:sz w:val="20"/>
                <w:szCs w:val="20"/>
              </w:rPr>
              <w:t xml:space="preserve">Portfolio quality distribution: the school-wide portfolio quality score distribution shows what percentage of students have portfolios in each quality band — driving school leadership's awareness of whether students are building meaningful evidence of their learning or merely accumulating uncurated project records.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1A2B3A"/>
                <w:sz w:val="20"/>
                <w:szCs w:val="20"/>
              </w:rPr>
              <w:t xml:space="preserve">▸  </w:t>
            </w:r>
            <w:r>
              <w:rPr>
                <w:rFonts w:ascii="Arial" w:cs="Arial" w:eastAsia="Arial" w:hAnsi="Arial"/>
                <w:color w:val="14202E"/>
                <w:sz w:val="20"/>
                <w:szCs w:val="20"/>
              </w:rPr>
              <w:t xml:space="preserve">Portfolio engagement tracking: analytics showing how frequently students access and update their portfolios — low-engagement patterns indicate the portfolio feature is not being embedded into students' self-directed development habits, prompting facilitated portfolio workshop sessions.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1A2B3A"/>
                <w:sz w:val="20"/>
                <w:szCs w:val="20"/>
              </w:rPr>
              <w:t xml:space="preserve">▸  </w:t>
            </w:r>
            <w:r>
              <w:rPr>
                <w:rFonts w:ascii="Arial" w:cs="Arial" w:eastAsia="Arial" w:hAnsi="Arial"/>
                <w:color w:val="14202E"/>
                <w:sz w:val="20"/>
                <w:szCs w:val="20"/>
              </w:rPr>
              <w:t xml:space="preserve">Outcome correlation study: for graduating cohorts, a retrospective analysis correlates portfolio quality scores and project diversity with college admission outcomes and scholarship awards — building the evidence base that demonstrates portfolio quality's predictive value, motivating continued school investment in project-based learning.</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1A2B3A"/>
                <w:sz w:val="20"/>
                <w:szCs w:val="20"/>
              </w:rPr>
              <w:t xml:space="preserve">▸  </w:t>
            </w:r>
            <w:r>
              <w:rPr>
                <w:rFonts w:ascii="Arial" w:cs="Arial" w:eastAsia="Arial" w:hAnsi="Arial"/>
                <w:color w:val="14202E"/>
                <w:sz w:val="20"/>
                <w:szCs w:val="20"/>
              </w:rPr>
              <w:t xml:space="preserve">School portfolio showcase publication: with student and parent consent, the school can publish a curated selection of exceptional student portfolio projects on the school's public profile page — demonstrating the quality and diversity of project learning to prospective families and community partners.</w:t>
            </w:r>
          </w:p>
        </w:tc>
      </w:tr>
    </w:tbl>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C8D6" w:sz="1"/>
              <w:left w:val="single" w:color="B4C8D6" w:sz="1"/>
              <w:bottom w:val="single" w:color="B4C8D6" w:sz="1"/>
              <w:right w:val="single" w:color="B4C8D6" w:sz="1"/>
            </w:tcBorders>
            <w:shd w:fill="2B4A0E" w:val="clear"/>
            <w:tcMar>
              <w:top w:type="dxa" w:w="155"/>
              <w:left w:type="dxa" w:w="240"/>
              <w:bottom w:type="dxa" w:w="155"/>
              <w:right w:type="dxa" w:w="240"/>
            </w:tcMar>
          </w:tcPr>
          <w:p>
            <w:r>
              <w:rPr>
                <w:rFonts w:ascii="Arial" w:cs="Arial" w:eastAsia="Arial" w:hAnsi="Arial"/>
                <w:b/>
                <w:bCs/>
                <w:color w:val="FFFFFF"/>
                <w:sz w:val="24"/>
                <w:szCs w:val="24"/>
              </w:rPr>
              <w:t xml:space="preserve">6.  </w:t>
            </w:r>
            <w:r>
              <w:rPr>
                <w:rFonts w:ascii="Arial" w:cs="Arial" w:eastAsia="Arial" w:hAnsi="Arial"/>
                <w:b/>
                <w:bCs/>
                <w:color w:val="FFFFFF"/>
                <w:sz w:val="32"/>
                <w:szCs w:val="32"/>
              </w:rPr>
              <w:t xml:space="preserve">Project Analytics</w:t>
            </w:r>
          </w:p>
        </w:tc>
      </w:tr>
      <w:tr>
        <w:tc>
          <w:tcPr>
            <w:tcW w:type="dxa" w:w="9360"/>
            <w:tcBorders>
              <w:top w:val="single" w:color="B4C8D6" w:sz="1"/>
              <w:left w:val="single" w:color="B4C8D6" w:sz="1"/>
              <w:bottom w:val="single" w:color="B4C8D6" w:sz="1"/>
              <w:right w:val="single" w:color="B4C8D6" w:sz="1"/>
            </w:tcBorders>
            <w:shd w:fill="DFF0D4" w:val="clear"/>
            <w:tcMar>
              <w:top w:type="dxa" w:w="115"/>
              <w:left w:type="dxa" w:w="240"/>
              <w:bottom w:type="dxa" w:w="115"/>
              <w:right w:type="dxa" w:w="240"/>
            </w:tcMar>
          </w:tcPr>
          <w:p>
            <w:r>
              <w:rPr>
                <w:rFonts w:ascii="Arial" w:cs="Arial" w:eastAsia="Arial" w:hAnsi="Arial"/>
                <w:b/>
                <w:bCs/>
                <w:color w:val="2B4A0E"/>
                <w:sz w:val="21"/>
                <w:szCs w:val="21"/>
              </w:rPr>
              <w:t xml:space="preserve">Overview  </w:t>
            </w:r>
            <w:r>
              <w:rPr>
                <w:rFonts w:ascii="Arial" w:cs="Arial" w:eastAsia="Arial" w:hAnsi="Arial"/>
                <w:i/>
                <w:iCs/>
                <w:color w:val="14202E"/>
                <w:sz w:val="21"/>
                <w:szCs w:val="21"/>
              </w:rPr>
              <w:t xml:space="preserve">A multi-stakeholder analytics platform that extracts actionable intelligence from all project activity data — providing teachers with formative monitoring, coordinators with programme quality insights, school leadership with strategic evidence, and students with personalised performance understanding — to continuously improve project design, mentor effectiveness, student support, and institutional project-based learning outcomes.</w:t>
            </w:r>
          </w:p>
        </w:tc>
      </w:tr>
      <w:tr>
        <w:tc>
          <w:tcPr>
            <w:tcW w:type="dxa" w:w="9360"/>
            <w:tcBorders>
              <w:top w:val="single" w:color="B4C8D6" w:sz="1"/>
              <w:left w:val="single" w:color="B4C8D6" w:sz="1"/>
              <w:bottom w:val="single" w:color="B4C8D6" w:sz="1"/>
              <w:right w:val="single" w:color="B4C8D6" w:sz="1"/>
            </w:tcBorders>
            <w:shd w:fill="F2F6FA" w:val="clear"/>
            <w:tcMar>
              <w:top w:type="dxa" w:w="100"/>
              <w:left w:type="dxa" w:w="240"/>
              <w:bottom w:type="dxa" w:w="10"/>
              <w:right w:type="dxa" w:w="240"/>
            </w:tcMar>
          </w:tcPr>
          <w:p>
            <w:pPr>
              <w:spacing w:before="50" w:after="0"/>
            </w:pPr>
            <w:r>
              <w:rPr>
                <w:rFonts w:ascii="Arial" w:cs="Arial" w:eastAsia="Arial" w:hAnsi="Arial"/>
                <w:b/>
                <w:bCs/>
                <w:color w:val="3E6A14"/>
                <w:sz w:val="21"/>
                <w:szCs w:val="21"/>
              </w:rPr>
              <w:t xml:space="preserve">Student-Level Project Analytics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2B4A0E"/>
                <w:sz w:val="20"/>
                <w:szCs w:val="20"/>
              </w:rPr>
              <w:t xml:space="preserve">▸  </w:t>
            </w:r>
            <w:r>
              <w:rPr>
                <w:rFonts w:ascii="Arial" w:cs="Arial" w:eastAsia="Arial" w:hAnsi="Arial"/>
                <w:color w:val="14202E"/>
                <w:sz w:val="20"/>
                <w:szCs w:val="20"/>
              </w:rPr>
              <w:t xml:space="preserve">Individual project performance dashboard: each student has a personal project analytics view — showing all projects undertaken (historical and current), evaluation scores with dimension breakdowns, milestone completion rates, mentor engagement frequency, skill competencies developed, portfolio quality score, and comparison of project performance against other assessment types — providing a holistic view of the student's project-based learning health.</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2B4A0E"/>
                <w:sz w:val="20"/>
                <w:szCs w:val="20"/>
              </w:rPr>
              <w:t xml:space="preserve">▸  </w:t>
            </w:r>
            <w:r>
              <w:rPr>
                <w:rFonts w:ascii="Arial" w:cs="Arial" w:eastAsia="Arial" w:hAnsi="Arial"/>
                <w:color w:val="14202E"/>
                <w:sz w:val="20"/>
                <w:szCs w:val="20"/>
              </w:rPr>
              <w:t xml:space="preserve">Project performance trajectory: a longitudinal chart plotting the student's project evaluation scores across all completed projects over their school career — revealing improvement trends, performance plateaus, and any concerning declines — annotated with significant events (topic changes, mentor feedback, team restructuring) that contextualise performance variations.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2B4A0E"/>
                <w:sz w:val="20"/>
                <w:szCs w:val="20"/>
              </w:rPr>
              <w:t xml:space="preserve">▸  </w:t>
            </w:r>
            <w:r>
              <w:rPr>
                <w:rFonts w:ascii="Arial" w:cs="Arial" w:eastAsia="Arial" w:hAnsi="Arial"/>
                <w:color w:val="14202E"/>
                <w:sz w:val="20"/>
                <w:szCs w:val="20"/>
              </w:rPr>
              <w:t xml:space="preserve">Submission behaviour analysis: analytics on the student's submission patterns — how often they submit early vs. at the deadline vs. late, how many draft revisions they typically make before final submission, how quickly they respond to mentor feedback — identifying students whose submission behaviour patterns (e.g., single-draft last-minute submissions) put them at risk of lower quality outputs.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2B4A0E"/>
                <w:sz w:val="20"/>
                <w:szCs w:val="20"/>
              </w:rPr>
              <w:t xml:space="preserve">▸  </w:t>
            </w:r>
            <w:r>
              <w:rPr>
                <w:rFonts w:ascii="Arial" w:cs="Arial" w:eastAsia="Arial" w:hAnsi="Arial"/>
                <w:color w:val="14202E"/>
                <w:sz w:val="20"/>
                <w:szCs w:val="20"/>
              </w:rPr>
              <w:t xml:space="preserve">Mentor engagement correlation: a correlation analysis showing the relationship between the frequency and quality of a student's mentor engagement and their project evaluation scores — for individual students, this data quantifies the personal ROI of mentoring investment, motivating disengaged students to increase their mentoring interactions.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2B4A0E"/>
                <w:sz w:val="20"/>
                <w:szCs w:val="20"/>
              </w:rPr>
              <w:t xml:space="preserve">▸  </w:t>
            </w:r>
            <w:r>
              <w:rPr>
                <w:rFonts w:ascii="Arial" w:cs="Arial" w:eastAsia="Arial" w:hAnsi="Arial"/>
                <w:color w:val="14202E"/>
                <w:sz w:val="20"/>
                <w:szCs w:val="20"/>
              </w:rPr>
              <w:t xml:space="preserve">Skill development evidence yield per project: shows how many skill profile evidence items each project generated for the student — identifying which project types are most skill-generative for each student and informing their future project selection to maximise skill development yield.</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2B4A0E"/>
                <w:sz w:val="20"/>
                <w:szCs w:val="20"/>
              </w:rPr>
              <w:t xml:space="preserve">▸  </w:t>
            </w:r>
            <w:r>
              <w:rPr>
                <w:rFonts w:ascii="Arial" w:cs="Arial" w:eastAsia="Arial" w:hAnsi="Arial"/>
                <w:color w:val="14202E"/>
                <w:sz w:val="20"/>
                <w:szCs w:val="20"/>
              </w:rPr>
              <w:t xml:space="preserve">Project type performance comparison: compares the student's evaluation scores across different project types (research, design, collaborative, individual, computational) — revealing whether the student performs more consistently in certain project formats, informing teacher decisions about which project types to assign and which to use as stretch challenges.</w:t>
            </w:r>
          </w:p>
        </w:tc>
      </w:tr>
      <w:tr>
        <w:tc>
          <w:tcPr>
            <w:tcW w:type="dxa" w:w="9360"/>
            <w:tcBorders>
              <w:top w:val="single" w:color="B4C8D6" w:sz="1"/>
              <w:left w:val="single" w:color="B4C8D6" w:sz="1"/>
              <w:bottom w:val="single" w:color="B4C8D6" w:sz="1"/>
              <w:right w:val="single" w:color="B4C8D6" w:sz="1"/>
            </w:tcBorders>
            <w:shd w:fill="F2F6FA" w:val="clear"/>
            <w:tcMar>
              <w:top w:type="dxa" w:w="100"/>
              <w:left w:type="dxa" w:w="240"/>
              <w:bottom w:type="dxa" w:w="10"/>
              <w:right w:type="dxa" w:w="240"/>
            </w:tcMar>
          </w:tcPr>
          <w:p>
            <w:pPr>
              <w:spacing w:before="50" w:after="0"/>
            </w:pPr>
            <w:r>
              <w:rPr>
                <w:rFonts w:ascii="Arial" w:cs="Arial" w:eastAsia="Arial" w:hAnsi="Arial"/>
                <w:b/>
                <w:bCs/>
                <w:color w:val="3E6A14"/>
                <w:sz w:val="21"/>
                <w:szCs w:val="21"/>
              </w:rPr>
              <w:t xml:space="preserve">Class &amp; Cohort Project Analytics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2B4A0E"/>
                <w:sz w:val="20"/>
                <w:szCs w:val="20"/>
              </w:rPr>
              <w:t xml:space="preserve">▸  </w:t>
            </w:r>
            <w:r>
              <w:rPr>
                <w:rFonts w:ascii="Arial" w:cs="Arial" w:eastAsia="Arial" w:hAnsi="Arial"/>
                <w:color w:val="14202E"/>
                <w:sz w:val="20"/>
                <w:szCs w:val="20"/>
              </w:rPr>
              <w:t xml:space="preserve">Class project progress heatmap: a real-time grid showing each student (rows) against each project milestone (columns) — colour-coded cells show milestone completion status, enabling the teacher to see the entire class's project progression at a glance and identify clusters of students who are behind similar milestones.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2B4A0E"/>
                <w:sz w:val="20"/>
                <w:szCs w:val="20"/>
              </w:rPr>
              <w:t xml:space="preserve">▸  </w:t>
            </w:r>
            <w:r>
              <w:rPr>
                <w:rFonts w:ascii="Arial" w:cs="Arial" w:eastAsia="Arial" w:hAnsi="Arial"/>
                <w:color w:val="14202E"/>
                <w:sz w:val="20"/>
                <w:szCs w:val="20"/>
              </w:rPr>
              <w:t xml:space="preserve">Milestone completion rate analysis: tracks what percentage of students successfully complete each milestone by the deadline — milestones with consistently low on-time completion rates indicate that the deadline is too aggressive, the milestone requirement is unclear, or students need additional scaffolding support at that stage.</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2B4A0E"/>
                <w:sz w:val="20"/>
                <w:szCs w:val="20"/>
              </w:rPr>
              <w:t xml:space="preserve">▸  </w:t>
            </w:r>
            <w:r>
              <w:rPr>
                <w:rFonts w:ascii="Arial" w:cs="Arial" w:eastAsia="Arial" w:hAnsi="Arial"/>
                <w:color w:val="14202E"/>
                <w:sz w:val="20"/>
                <w:szCs w:val="20"/>
              </w:rPr>
              <w:t xml:space="preserve">Evaluation score distribution per project: a statistical summary of evaluation scores across the class for each project — histogram showing score distribution, identifying whether the project brief was appropriately calibrated (scores clustered in the middle bands) or poorly calibrated (scores skewed extreme-high indicating too easy, or extreme-low indicating too hard or poorly scaffolded).</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2B4A0E"/>
                <w:sz w:val="20"/>
                <w:szCs w:val="20"/>
              </w:rPr>
              <w:t xml:space="preserve">▸  </w:t>
            </w:r>
            <w:r>
              <w:rPr>
                <w:rFonts w:ascii="Arial" w:cs="Arial" w:eastAsia="Arial" w:hAnsi="Arial"/>
                <w:color w:val="14202E"/>
                <w:sz w:val="20"/>
                <w:szCs w:val="20"/>
              </w:rPr>
              <w:t xml:space="preserve">Team performance vs. individual performance gap: for courses that assign both team and individual projects, an analysis comparing how students perform in each modality — significant individual-team performance gaps identify students who are either strong solo performers but struggling collaborators (or vice versa) — informing targeted skill development support.</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2B4A0E"/>
                <w:sz w:val="20"/>
                <w:szCs w:val="20"/>
              </w:rPr>
              <w:t xml:space="preserve">▸  </w:t>
            </w:r>
            <w:r>
              <w:rPr>
                <w:rFonts w:ascii="Arial" w:cs="Arial" w:eastAsia="Arial" w:hAnsi="Arial"/>
                <w:color w:val="14202E"/>
                <w:sz w:val="20"/>
                <w:szCs w:val="20"/>
              </w:rPr>
              <w:t xml:space="preserve">Mentor engagement equity analysis: compares mentor interaction rates across the class — identifying whether mentor attention is equitably distributed or concentrated on already-strong students, with at-risk students receiving less mentoring than those who need it most — enabling rebalancing of mentor engagement strategies.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2B4A0E"/>
                <w:sz w:val="20"/>
                <w:szCs w:val="20"/>
              </w:rPr>
              <w:t xml:space="preserve">▸  </w:t>
            </w:r>
            <w:r>
              <w:rPr>
                <w:rFonts w:ascii="Arial" w:cs="Arial" w:eastAsia="Arial" w:hAnsi="Arial"/>
                <w:color w:val="14202E"/>
                <w:sz w:val="20"/>
                <w:szCs w:val="20"/>
              </w:rPr>
              <w:t xml:space="preserve">Post-project skill profile change analysis: measures changes in class-wide skill proficiency ratings before and after a project's completion — quantifying the skill development impact of each project type and identifying which projects most effectively accelerate specific skill development across cohorts.</w:t>
            </w:r>
          </w:p>
        </w:tc>
      </w:tr>
      <w:tr>
        <w:tc>
          <w:tcPr>
            <w:tcW w:type="dxa" w:w="9360"/>
            <w:tcBorders>
              <w:top w:val="single" w:color="B4C8D6" w:sz="1"/>
              <w:left w:val="single" w:color="B4C8D6" w:sz="1"/>
              <w:bottom w:val="single" w:color="B4C8D6" w:sz="1"/>
              <w:right w:val="single" w:color="B4C8D6" w:sz="1"/>
            </w:tcBorders>
            <w:shd w:fill="F2F6FA" w:val="clear"/>
            <w:tcMar>
              <w:top w:type="dxa" w:w="100"/>
              <w:left w:type="dxa" w:w="240"/>
              <w:bottom w:type="dxa" w:w="10"/>
              <w:right w:type="dxa" w:w="240"/>
            </w:tcMar>
          </w:tcPr>
          <w:p>
            <w:pPr>
              <w:spacing w:before="50" w:after="0"/>
            </w:pPr>
            <w:r>
              <w:rPr>
                <w:rFonts w:ascii="Arial" w:cs="Arial" w:eastAsia="Arial" w:hAnsi="Arial"/>
                <w:b/>
                <w:bCs/>
                <w:color w:val="3E6A14"/>
                <w:sz w:val="21"/>
                <w:szCs w:val="21"/>
              </w:rPr>
              <w:t xml:space="preserve">Programme-Level Strategic Analytics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2B4A0E"/>
                <w:sz w:val="20"/>
                <w:szCs w:val="20"/>
              </w:rPr>
              <w:t xml:space="preserve">▸  </w:t>
            </w:r>
            <w:r>
              <w:rPr>
                <w:rFonts w:ascii="Arial" w:cs="Arial" w:eastAsia="Arial" w:hAnsi="Arial"/>
                <w:color w:val="14202E"/>
                <w:sz w:val="20"/>
                <w:szCs w:val="20"/>
              </w:rPr>
              <w:t xml:space="preserve">Project-based learning programme ROI dashboard: a comprehensive programme effectiveness report showing — aggregate skill development gains attributable to project work, correlation between project grades and board exam performance, student engagement and motivation indicators, parent satisfaction with project learning, teacher facilitation effectiveness, and estimated time investment vs. outcome quality — providing evidence-based data for programme investment decisions.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2B4A0E"/>
                <w:sz w:val="20"/>
                <w:szCs w:val="20"/>
              </w:rPr>
              <w:t xml:space="preserve">▸  </w:t>
            </w:r>
            <w:r>
              <w:rPr>
                <w:rFonts w:ascii="Arial" w:cs="Arial" w:eastAsia="Arial" w:hAnsi="Arial"/>
                <w:color w:val="14202E"/>
                <w:sz w:val="20"/>
                <w:szCs w:val="20"/>
              </w:rPr>
              <w:t xml:space="preserve">Best-performing project design analysis: an analysis of historical project briefs correlated with student engagement, output quality, and skill development outcomes — identifying the design characteristics (complexity level, authenticity rating, team size, milestone structure, mentor engagement level) most associated with high-quality project learning outcomes — informing future project brief design.</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2B4A0E"/>
                <w:sz w:val="20"/>
                <w:szCs w:val="20"/>
              </w:rPr>
              <w:t xml:space="preserve">▸  </w:t>
            </w:r>
            <w:r>
              <w:rPr>
                <w:rFonts w:ascii="Arial" w:cs="Arial" w:eastAsia="Arial" w:hAnsi="Arial"/>
                <w:color w:val="14202E"/>
                <w:sz w:val="20"/>
                <w:szCs w:val="20"/>
              </w:rPr>
              <w:t xml:space="preserve">Facilitator effectiveness in project support: measures the correlation between specific teacher facilitation practices during projects (frequency of formative feedback, milestone review rigour, student interaction depth) and their students' project quality outcomes — enabling targeted professional development for teachers whose facilitation practices are associated with weaker project outcomes.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2B4A0E"/>
                <w:sz w:val="20"/>
                <w:szCs w:val="20"/>
              </w:rPr>
              <w:t xml:space="preserve">▸  </w:t>
            </w:r>
            <w:r>
              <w:rPr>
                <w:rFonts w:ascii="Arial" w:cs="Arial" w:eastAsia="Arial" w:hAnsi="Arial"/>
                <w:color w:val="14202E"/>
                <w:sz w:val="20"/>
                <w:szCs w:val="20"/>
              </w:rPr>
              <w:t xml:space="preserve">Industry collaboration impact evidence: for schools with active industry project collaboration, an analysis of whether students who complete industry-commissioned projects show greater employability readiness score gains, higher communication skill development, and stronger college admission outcomes — building the evidence case for expanding the industry collaboration programme.</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2B4A0E"/>
                <w:sz w:val="20"/>
                <w:szCs w:val="20"/>
              </w:rPr>
              <w:t xml:space="preserve">▸  </w:t>
            </w:r>
            <w:r>
              <w:rPr>
                <w:rFonts w:ascii="Arial" w:cs="Arial" w:eastAsia="Arial" w:hAnsi="Arial"/>
                <w:color w:val="14202E"/>
                <w:sz w:val="20"/>
                <w:szCs w:val="20"/>
              </w:rPr>
              <w:t xml:space="preserve">Longitudinal programme improvement tracking: year-over-year comparison of key project programme metrics — average project quality, skill development yield, portfolio completion rate, mentor satisfaction, teacher confidence in facilitation — measuring whether programmatic improvements are producing measurable changes in outcomes over time.</w:t>
            </w:r>
          </w:p>
        </w:tc>
      </w:tr>
      <w:tr>
        <w:tc>
          <w:tcPr>
            <w:tcW w:type="dxa" w:w="9360"/>
            <w:tcBorders>
              <w:top w:val="single" w:color="B4C8D6" w:sz="1"/>
              <w:left w:val="single" w:color="B4C8D6" w:sz="1"/>
              <w:bottom w:val="single" w:color="B4C8D6" w:sz="1"/>
              <w:right w:val="single" w:color="B4C8D6" w:sz="1"/>
            </w:tcBorders>
            <w:shd w:fill="F2F6FA" w:val="clear"/>
            <w:tcMar>
              <w:top w:type="dxa" w:w="100"/>
              <w:left w:type="dxa" w:w="240"/>
              <w:bottom w:type="dxa" w:w="10"/>
              <w:right w:type="dxa" w:w="240"/>
            </w:tcMar>
          </w:tcPr>
          <w:p>
            <w:pPr>
              <w:spacing w:before="50" w:after="0"/>
            </w:pPr>
            <w:r>
              <w:rPr>
                <w:rFonts w:ascii="Arial" w:cs="Arial" w:eastAsia="Arial" w:hAnsi="Arial"/>
                <w:b/>
                <w:bCs/>
                <w:color w:val="3E6A14"/>
                <w:sz w:val="21"/>
                <w:szCs w:val="21"/>
              </w:rPr>
              <w:t xml:space="preserve">Real-Time Monitoring &amp; Alert System</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2B4A0E"/>
                <w:sz w:val="20"/>
                <w:szCs w:val="20"/>
              </w:rPr>
              <w:t xml:space="preserve">▸  </w:t>
            </w:r>
            <w:r>
              <w:rPr>
                <w:rFonts w:ascii="Arial" w:cs="Arial" w:eastAsia="Arial" w:hAnsi="Arial"/>
                <w:color w:val="14202E"/>
                <w:sz w:val="20"/>
                <w:szCs w:val="20"/>
              </w:rPr>
              <w:t xml:space="preserve">At-risk project early warning system: an AI model identifies projects at risk of poor outcomes using early signals — students who have not engaged with preparation materials, teams with low mentor interaction in the first two weeks, submissions with declining draft quality, and students whose project engagement pattern diverges sharply from their usual academic engagement level — alerts are surfaced to teachers 3–4 weeks before final submission, when intervention can still meaningfully change outcomes.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2B4A0E"/>
                <w:sz w:val="20"/>
                <w:szCs w:val="20"/>
              </w:rPr>
              <w:t xml:space="preserve">▸  </w:t>
            </w:r>
            <w:r>
              <w:rPr>
                <w:rFonts w:ascii="Arial" w:cs="Arial" w:eastAsia="Arial" w:hAnsi="Arial"/>
                <w:color w:val="14202E"/>
                <w:sz w:val="20"/>
                <w:szCs w:val="20"/>
              </w:rPr>
              <w:t xml:space="preserve">Plagiarism risk flagging during draft stage: during draft submissions at milestone checkpoints, originality analysis is run — identifying high-similarity content at an early stage when students can correct citation practices and rework insufficiently original content before the final submission, rather than only discovering academic integrity issues post-submission.</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2B4A0E"/>
                <w:sz w:val="20"/>
                <w:szCs w:val="20"/>
              </w:rPr>
              <w:t xml:space="preserve">▸  </w:t>
            </w:r>
            <w:r>
              <w:rPr>
                <w:rFonts w:ascii="Arial" w:cs="Arial" w:eastAsia="Arial" w:hAnsi="Arial"/>
                <w:color w:val="14202E"/>
                <w:sz w:val="20"/>
                <w:szCs w:val="20"/>
              </w:rPr>
              <w:t xml:space="preserve">Workload distribution monitoring: tracks the distribution of project deadlines across the academic calendar — flagging periods where multiple major project submissions from different subjects coincide, enabling academic coordinators to negotiate staggered deadlines before students experience a simultaneous assessment crunch.</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2B4A0E"/>
                <w:sz w:val="20"/>
                <w:szCs w:val="20"/>
              </w:rPr>
              <w:t xml:space="preserve">▸  </w:t>
            </w:r>
            <w:r>
              <w:rPr>
                <w:rFonts w:ascii="Arial" w:cs="Arial" w:eastAsia="Arial" w:hAnsi="Arial"/>
                <w:color w:val="14202E"/>
                <w:sz w:val="20"/>
                <w:szCs w:val="20"/>
              </w:rPr>
              <w:t xml:space="preserve">Real-time submission progress tracker: during the final submission window for a major project, the teacher's dashboard shows live submission status — how many students have submitted, how many are still in progress, and how many have not yet started their submission — with a one-click mass notification tool to send a timely reminder to all non-submitters.</w:t>
            </w:r>
          </w:p>
        </w:tc>
      </w:tr>
    </w:tbl>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C8D6" w:sz="1"/>
              <w:left w:val="single" w:color="B4C8D6" w:sz="1"/>
              <w:bottom w:val="single" w:color="B4C8D6" w:sz="1"/>
              <w:right w:val="single" w:color="B4C8D6" w:sz="1"/>
            </w:tcBorders>
            <w:shd w:fill="5C0E2B" w:val="clear"/>
            <w:tcMar>
              <w:top w:type="dxa" w:w="155"/>
              <w:left w:type="dxa" w:w="240"/>
              <w:bottom w:type="dxa" w:w="155"/>
              <w:right w:type="dxa" w:w="240"/>
            </w:tcMar>
          </w:tcPr>
          <w:p>
            <w:r>
              <w:rPr>
                <w:rFonts w:ascii="Arial" w:cs="Arial" w:eastAsia="Arial" w:hAnsi="Arial"/>
                <w:b/>
                <w:bCs/>
                <w:color w:val="FFFFFF"/>
                <w:sz w:val="24"/>
                <w:szCs w:val="24"/>
              </w:rPr>
              <w:t xml:space="preserve">7.  </w:t>
            </w:r>
            <w:r>
              <w:rPr>
                <w:rFonts w:ascii="Arial" w:cs="Arial" w:eastAsia="Arial" w:hAnsi="Arial"/>
                <w:b/>
                <w:bCs/>
                <w:color w:val="FFFFFF"/>
                <w:sz w:val="32"/>
                <w:szCs w:val="32"/>
              </w:rPr>
              <w:t xml:space="preserve">Industry Project Collaboration</w:t>
            </w:r>
          </w:p>
        </w:tc>
      </w:tr>
      <w:tr>
        <w:tc>
          <w:tcPr>
            <w:tcW w:type="dxa" w:w="9360"/>
            <w:tcBorders>
              <w:top w:val="single" w:color="B4C8D6" w:sz="1"/>
              <w:left w:val="single" w:color="B4C8D6" w:sz="1"/>
              <w:bottom w:val="single" w:color="B4C8D6" w:sz="1"/>
              <w:right w:val="single" w:color="B4C8D6" w:sz="1"/>
            </w:tcBorders>
            <w:shd w:fill="F7D6E2" w:val="clear"/>
            <w:tcMar>
              <w:top w:type="dxa" w:w="115"/>
              <w:left w:type="dxa" w:w="240"/>
              <w:bottom w:type="dxa" w:w="115"/>
              <w:right w:type="dxa" w:w="240"/>
            </w:tcMar>
          </w:tcPr>
          <w:p>
            <w:r>
              <w:rPr>
                <w:rFonts w:ascii="Arial" w:cs="Arial" w:eastAsia="Arial" w:hAnsi="Arial"/>
                <w:b/>
                <w:bCs/>
                <w:color w:val="5C0E2B"/>
                <w:sz w:val="21"/>
                <w:szCs w:val="21"/>
              </w:rPr>
              <w:t xml:space="preserve">Overview  </w:t>
            </w:r>
            <w:r>
              <w:rPr>
                <w:rFonts w:ascii="Arial" w:cs="Arial" w:eastAsia="Arial" w:hAnsi="Arial"/>
                <w:i/>
                <w:iCs/>
                <w:color w:val="14202E"/>
                <w:sz w:val="21"/>
                <w:szCs w:val="21"/>
              </w:rPr>
              <w:t xml:space="preserve">A governed, professionally structured pipeline that connects schools with verified industry partners to source authentic project briefs, integrate professional mentors, enable real-world product and service outputs, and build meaningful employer-education relationships — transforming project-based learning from a simulated classroom exercise into genuine professional practice experience for students.</w:t>
            </w:r>
          </w:p>
        </w:tc>
      </w:tr>
      <w:tr>
        <w:tc>
          <w:tcPr>
            <w:tcW w:type="dxa" w:w="9360"/>
            <w:tcBorders>
              <w:top w:val="single" w:color="B4C8D6" w:sz="1"/>
              <w:left w:val="single" w:color="B4C8D6" w:sz="1"/>
              <w:bottom w:val="single" w:color="B4C8D6" w:sz="1"/>
              <w:right w:val="single" w:color="B4C8D6" w:sz="1"/>
            </w:tcBorders>
            <w:shd w:fill="F2F6FA" w:val="clear"/>
            <w:tcMar>
              <w:top w:type="dxa" w:w="100"/>
              <w:left w:type="dxa" w:w="240"/>
              <w:bottom w:type="dxa" w:w="10"/>
              <w:right w:type="dxa" w:w="240"/>
            </w:tcMar>
          </w:tcPr>
          <w:p>
            <w:pPr>
              <w:spacing w:before="50" w:after="0"/>
            </w:pPr>
            <w:r>
              <w:rPr>
                <w:rFonts w:ascii="Arial" w:cs="Arial" w:eastAsia="Arial" w:hAnsi="Arial"/>
                <w:b/>
                <w:bCs/>
                <w:color w:val="7A1440"/>
                <w:sz w:val="21"/>
                <w:szCs w:val="21"/>
              </w:rPr>
              <w:t xml:space="preserve">Industry Partner Onboarding &amp; Brief Commissioning</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5C0E2B"/>
                <w:sz w:val="20"/>
                <w:szCs w:val="20"/>
              </w:rPr>
              <w:t xml:space="preserve">▸  </w:t>
            </w:r>
            <w:r>
              <w:rPr>
                <w:rFonts w:ascii="Arial" w:cs="Arial" w:eastAsia="Arial" w:hAnsi="Arial"/>
                <w:color w:val="14202E"/>
                <w:sz w:val="20"/>
                <w:szCs w:val="20"/>
              </w:rPr>
              <w:t xml:space="preserve">Industry partner registration and vetting: organisations wishing to commission student projects go through a structured onboarding process — company verification (registration documents, GST number), signatory authority confirmation, child safeguarding policy declaration, non-exploitation commitment agreement, and a briefing on the academic context and constraints of student project work — establishing a professional, governed partnership before any student engagement begins.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5C0E2B"/>
                <w:sz w:val="20"/>
                <w:szCs w:val="20"/>
              </w:rPr>
              <w:t xml:space="preserve">▸  </w:t>
            </w:r>
            <w:r>
              <w:rPr>
                <w:rFonts w:ascii="Arial" w:cs="Arial" w:eastAsia="Arial" w:hAnsi="Arial"/>
                <w:color w:val="14202E"/>
                <w:sz w:val="20"/>
                <w:szCs w:val="20"/>
              </w:rPr>
              <w:t xml:space="preserve">Project brief commissioning workflow: verified industry partners access a brief commissioning studio — entering their real business challenge, desired output (market research report, product prototype, software tool, community engagement plan, data analysis), available resources and access they can provide to students, timeline constraints, and the specific student skills they hope the collaboration will develop — the school's academic coordinator reviews and approves the brief before publication to ensure it is educationally appropriate, achievable within student resources, and aligned with curriculum goals.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5C0E2B"/>
                <w:sz w:val="20"/>
                <w:szCs w:val="20"/>
              </w:rPr>
              <w:t xml:space="preserve">▸  </w:t>
            </w:r>
            <w:r>
              <w:rPr>
                <w:rFonts w:ascii="Arial" w:cs="Arial" w:eastAsia="Arial" w:hAnsi="Arial"/>
                <w:color w:val="14202E"/>
                <w:sz w:val="20"/>
                <w:szCs w:val="20"/>
              </w:rPr>
              <w:t xml:space="preserve">Brief quality review and academic alignment editing: coordinators can edit submitted industry briefs to add pedagogical scaffolding, clarify ambiguous requirements, add learning outcome mappings, insert milestone suggestions, and adjust scope to match student capabilities — with the industry partner's confirmation of the edited version before finalisation — ensuring briefs are simultaneously professionally authentic and educationally sound.</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5C0E2B"/>
                <w:sz w:val="20"/>
                <w:szCs w:val="20"/>
              </w:rPr>
              <w:t xml:space="preserve">▸  </w:t>
            </w:r>
            <w:r>
              <w:rPr>
                <w:rFonts w:ascii="Arial" w:cs="Arial" w:eastAsia="Arial" w:hAnsi="Arial"/>
                <w:color w:val="14202E"/>
                <w:sz w:val="20"/>
                <w:szCs w:val="20"/>
              </w:rPr>
              <w:t xml:space="preserve">Brief marketplace: approved industry briefs are published in a searchable marketplace visible to teachers across the platform — filterable by industry sector, project type, grade suitability, time commitment, team size, skills developed, and geographic proximity — enabling teachers to match industry opportunities to their curriculum context and student cohort.</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5C0E2B"/>
                <w:sz w:val="20"/>
                <w:szCs w:val="20"/>
              </w:rPr>
              <w:t xml:space="preserve">▸  </w:t>
            </w:r>
            <w:r>
              <w:rPr>
                <w:rFonts w:ascii="Arial" w:cs="Arial" w:eastAsia="Arial" w:hAnsi="Arial"/>
                <w:color w:val="14202E"/>
                <w:sz w:val="20"/>
                <w:szCs w:val="20"/>
              </w:rPr>
              <w:t xml:space="preserve">Pilot project model for new partners: new industry partners are offered a structured pilot engagement — one project with one class, with intensive school-side facilitation support and formal debrief — before scaling to broader collaboration — allowing both parties to learn the collaboration model and build trust before committing to larger-scale engagements.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5C0E2B"/>
                <w:sz w:val="20"/>
                <w:szCs w:val="20"/>
              </w:rPr>
              <w:t xml:space="preserve">▸  </w:t>
            </w:r>
            <w:r>
              <w:rPr>
                <w:rFonts w:ascii="Arial" w:cs="Arial" w:eastAsia="Arial" w:hAnsi="Arial"/>
                <w:color w:val="14202E"/>
                <w:sz w:val="20"/>
                <w:szCs w:val="20"/>
              </w:rPr>
              <w:t xml:space="preserve">Recurring partnership management: schools with established industry partnerships can set up annual recurring project arrangements — the platform manages the renewal confirmation, brief updating, and mentor refreshing process with minimal administrative burden — making successful partnerships self-perpetuating rather than requiring renegotiation from scratch each year.</w:t>
            </w:r>
          </w:p>
        </w:tc>
      </w:tr>
      <w:tr>
        <w:tc>
          <w:tcPr>
            <w:tcW w:type="dxa" w:w="9360"/>
            <w:tcBorders>
              <w:top w:val="single" w:color="B4C8D6" w:sz="1"/>
              <w:left w:val="single" w:color="B4C8D6" w:sz="1"/>
              <w:bottom w:val="single" w:color="B4C8D6" w:sz="1"/>
              <w:right w:val="single" w:color="B4C8D6" w:sz="1"/>
            </w:tcBorders>
            <w:shd w:fill="F2F6FA" w:val="clear"/>
            <w:tcMar>
              <w:top w:type="dxa" w:w="100"/>
              <w:left w:type="dxa" w:w="240"/>
              <w:bottom w:type="dxa" w:w="10"/>
              <w:right w:type="dxa" w:w="240"/>
            </w:tcMar>
          </w:tcPr>
          <w:p>
            <w:pPr>
              <w:spacing w:before="50" w:after="0"/>
            </w:pPr>
            <w:r>
              <w:rPr>
                <w:rFonts w:ascii="Arial" w:cs="Arial" w:eastAsia="Arial" w:hAnsi="Arial"/>
                <w:b/>
                <w:bCs/>
                <w:color w:val="7A1440"/>
                <w:sz w:val="21"/>
                <w:szCs w:val="21"/>
              </w:rPr>
              <w:t xml:space="preserve">Student Engagement with Industry Partners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5C0E2B"/>
                <w:sz w:val="20"/>
                <w:szCs w:val="20"/>
              </w:rPr>
              <w:t xml:space="preserve">▸  </w:t>
            </w:r>
            <w:r>
              <w:rPr>
                <w:rFonts w:ascii="Arial" w:cs="Arial" w:eastAsia="Arial" w:hAnsi="Arial"/>
                <w:color w:val="14202E"/>
                <w:sz w:val="20"/>
                <w:szCs w:val="20"/>
              </w:rPr>
              <w:t xml:space="preserve">Professional briefing launch events: industry projects are launched with a formal briefing session — the commissioning organisation's representative (virtually or in-person) presents the brief to students, answers questions, and sets the professional context — recorded and stored in the project record for students who cannot attend the live session.</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5C0E2B"/>
                <w:sz w:val="20"/>
                <w:szCs w:val="20"/>
              </w:rPr>
              <w:t xml:space="preserve">▸  </w:t>
            </w:r>
            <w:r>
              <w:rPr>
                <w:rFonts w:ascii="Arial" w:cs="Arial" w:eastAsia="Arial" w:hAnsi="Arial"/>
                <w:color w:val="14202E"/>
                <w:sz w:val="20"/>
                <w:szCs w:val="20"/>
              </w:rPr>
              <w:t xml:space="preserve">Structured industry access schedule: students interact with industry partners through a managed access schedule — defined windows for site visits, virtual Q&amp;A sessions, data access, prototype testing, and output presentations — all scheduled through the platform's calendar system with confirmation, reminder, and debrief functionality built in.</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5C0E2B"/>
                <w:sz w:val="20"/>
                <w:szCs w:val="20"/>
              </w:rPr>
              <w:t xml:space="preserve">▸  </w:t>
            </w:r>
            <w:r>
              <w:rPr>
                <w:rFonts w:ascii="Arial" w:cs="Arial" w:eastAsia="Arial" w:hAnsi="Arial"/>
                <w:color w:val="14202E"/>
                <w:sz w:val="20"/>
                <w:szCs w:val="20"/>
              </w:rPr>
              <w:t xml:space="preserve">Professional communication standards enforcement: all student communications with industry partners are conducted through the platform's professional communication channel — monitored by the school, subject to moderation, and styled with professional email formatting guidance — teaching students to communicate in a professional register appropriate for workplace contexts.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5C0E2B"/>
                <w:sz w:val="20"/>
                <w:szCs w:val="20"/>
              </w:rPr>
              <w:t xml:space="preserve">▸  </w:t>
            </w:r>
            <w:r>
              <w:rPr>
                <w:rFonts w:ascii="Arial" w:cs="Arial" w:eastAsia="Arial" w:hAnsi="Arial"/>
                <w:color w:val="14202E"/>
                <w:sz w:val="20"/>
                <w:szCs w:val="20"/>
              </w:rPr>
              <w:t xml:space="preserve">Industry resource access management: for projects requiring access to proprietary data, software tools, or physical facilities provided by the industry partner, the platform manages access credentials, usage logging, and access expiry — ensuring students have what they need to complete the project while protecting the partner's confidential resources.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5C0E2B"/>
                <w:sz w:val="20"/>
                <w:szCs w:val="20"/>
              </w:rPr>
              <w:t xml:space="preserve">▸  </w:t>
            </w:r>
            <w:r>
              <w:rPr>
                <w:rFonts w:ascii="Arial" w:cs="Arial" w:eastAsia="Arial" w:hAnsi="Arial"/>
                <w:color w:val="14202E"/>
                <w:sz w:val="20"/>
                <w:szCs w:val="20"/>
              </w:rPr>
              <w:t xml:space="preserve">Interim presentation to industry stakeholders: at a mid-project milestone, student teams present their progress directly to the industry partner's team — the platform facilitates the virtual presentation session, manages Q&amp;A, and captures the industry stakeholder's feedback as formal project evaluation input — giving students the experience of presenting to professional clients.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5C0E2B"/>
                <w:sz w:val="20"/>
                <w:szCs w:val="20"/>
              </w:rPr>
              <w:t xml:space="preserve">▸  </w:t>
            </w:r>
            <w:r>
              <w:rPr>
                <w:rFonts w:ascii="Arial" w:cs="Arial" w:eastAsia="Arial" w:hAnsi="Arial"/>
                <w:color w:val="14202E"/>
                <w:sz w:val="20"/>
                <w:szCs w:val="20"/>
              </w:rPr>
              <w:t xml:space="preserve">Final project handover and industry endorsement: at project completion, student teams formally present and hand over their output to the commissioning organisation — the industry representative provides a formal Project Acceptance and Endorsement — recording whether the output meets the professional standard, and if applicable, whether the organisation intends to implement or build upon the student's work.</w:t>
            </w:r>
          </w:p>
        </w:tc>
      </w:tr>
      <w:tr>
        <w:tc>
          <w:tcPr>
            <w:tcW w:type="dxa" w:w="9360"/>
            <w:tcBorders>
              <w:top w:val="single" w:color="B4C8D6" w:sz="1"/>
              <w:left w:val="single" w:color="B4C8D6" w:sz="1"/>
              <w:bottom w:val="single" w:color="B4C8D6" w:sz="1"/>
              <w:right w:val="single" w:color="B4C8D6" w:sz="1"/>
            </w:tcBorders>
            <w:shd w:fill="F2F6FA" w:val="clear"/>
            <w:tcMar>
              <w:top w:type="dxa" w:w="100"/>
              <w:left w:type="dxa" w:w="240"/>
              <w:bottom w:type="dxa" w:w="10"/>
              <w:right w:type="dxa" w:w="240"/>
            </w:tcMar>
          </w:tcPr>
          <w:p>
            <w:pPr>
              <w:spacing w:before="50" w:after="0"/>
            </w:pPr>
            <w:r>
              <w:rPr>
                <w:rFonts w:ascii="Arial" w:cs="Arial" w:eastAsia="Arial" w:hAnsi="Arial"/>
                <w:b/>
                <w:bCs/>
                <w:color w:val="7A1440"/>
                <w:sz w:val="21"/>
                <w:szCs w:val="21"/>
              </w:rPr>
              <w:t xml:space="preserve">Partnership Governance &amp; Impact Measurement</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5C0E2B"/>
                <w:sz w:val="20"/>
                <w:szCs w:val="20"/>
              </w:rPr>
              <w:t xml:space="preserve">▸  </w:t>
            </w:r>
            <w:r>
              <w:rPr>
                <w:rFonts w:ascii="Arial" w:cs="Arial" w:eastAsia="Arial" w:hAnsi="Arial"/>
                <w:color w:val="14202E"/>
                <w:sz w:val="20"/>
                <w:szCs w:val="20"/>
              </w:rPr>
              <w:t xml:space="preserve">Memorandum of Understanding (MOU) management: every industry partnership is underpinned by a platform-generated MOU — covering project scope, confidentiality obligations, intellectual property ownership (students retain IP by default; industry partners can negotiate joint IP arrangements through the platform's legal agreement module), mentoring commitments, timeline, and termination conditions — stored in the school's partnership records.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5C0E2B"/>
                <w:sz w:val="20"/>
                <w:szCs w:val="20"/>
              </w:rPr>
              <w:t xml:space="preserve">▸  </w:t>
            </w:r>
            <w:r>
              <w:rPr>
                <w:rFonts w:ascii="Arial" w:cs="Arial" w:eastAsia="Arial" w:hAnsi="Arial"/>
                <w:color w:val="14202E"/>
                <w:sz w:val="20"/>
                <w:szCs w:val="20"/>
              </w:rPr>
              <w:t xml:space="preserve">Intellectual property framework: the platform's default IP policy (student-created work belongs to the student, not the commissioning organisation) is clearly communicated at onboarding — for projects where the industry partner requests commercial IP rights, a specific IP transfer agreement is required, reviewed by the school's legal representative, and signed by the student's parent/guardian if the student is a minor.</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5C0E2B"/>
                <w:sz w:val="20"/>
                <w:szCs w:val="20"/>
              </w:rPr>
              <w:t xml:space="preserve">▸  </w:t>
            </w:r>
            <w:r>
              <w:rPr>
                <w:rFonts w:ascii="Arial" w:cs="Arial" w:eastAsia="Arial" w:hAnsi="Arial"/>
                <w:color w:val="14202E"/>
                <w:sz w:val="20"/>
                <w:szCs w:val="20"/>
              </w:rPr>
              <w:t xml:space="preserve">Partnership health scorecard: a composite score for each industry partnership tracking — project delivery quality, student satisfaction, industry mentor engagement quality, brief appropriateness, learning outcome achievement, and partnership communication responsiveness — updated at the end of each project cycle to guide decisions about renewing or discontinuing partnerships.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5C0E2B"/>
                <w:sz w:val="20"/>
                <w:szCs w:val="20"/>
              </w:rPr>
              <w:t xml:space="preserve">▸  </w:t>
            </w:r>
            <w:r>
              <w:rPr>
                <w:rFonts w:ascii="Arial" w:cs="Arial" w:eastAsia="Arial" w:hAnsi="Arial"/>
                <w:color w:val="14202E"/>
                <w:sz w:val="20"/>
                <w:szCs w:val="20"/>
              </w:rPr>
              <w:t xml:space="preserve">Community and social impact project tracking: for social impact and NGO partnerships, the platform tracks not just academic outcomes but actual community impact metrics submitted by the partner organisation — the number of people reached, services created, or social outcomes achieved — providing students with tangible evidence that their project work created real-world value.</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5C0E2B"/>
                <w:sz w:val="20"/>
                <w:szCs w:val="20"/>
              </w:rPr>
              <w:t xml:space="preserve">▸  </w:t>
            </w:r>
            <w:r>
              <w:rPr>
                <w:rFonts w:ascii="Arial" w:cs="Arial" w:eastAsia="Arial" w:hAnsi="Arial"/>
                <w:color w:val="14202E"/>
                <w:sz w:val="20"/>
                <w:szCs w:val="20"/>
              </w:rPr>
              <w:t xml:space="preserve">Industry partnership impact report for school marketing: an annual industry collaboration report for school leadership and the parent community — documenting all active partnerships, projects completed, industry organisations involved, student participation numbers, professional endorsements received, and any real-world implementation of student work — a compelling evidence document for school reputation and admissions marketing.</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5C0E2B"/>
                <w:sz w:val="20"/>
                <w:szCs w:val="20"/>
              </w:rPr>
              <w:t xml:space="preserve">▸  </w:t>
            </w:r>
            <w:r>
              <w:rPr>
                <w:rFonts w:ascii="Arial" w:cs="Arial" w:eastAsia="Arial" w:hAnsi="Arial"/>
                <w:color w:val="14202E"/>
                <w:sz w:val="20"/>
                <w:szCs w:val="20"/>
              </w:rPr>
              <w:t xml:space="preserve">National and regional industry partnership network: participation in the platform's broader industry partnership network — a community of schools and employers actively collaborating on student projects — enabling smaller schools to access industry partners they could not attract independently, and enabling industry partners to access a geographically and demographically diverse student talent pool.</w:t>
            </w:r>
          </w:p>
        </w:tc>
      </w:tr>
      <w:tr>
        <w:tc>
          <w:tcPr>
            <w:tcW w:type="dxa" w:w="9360"/>
            <w:tcBorders>
              <w:top w:val="single" w:color="B4C8D6" w:sz="1"/>
              <w:left w:val="single" w:color="B4C8D6" w:sz="1"/>
              <w:bottom w:val="single" w:color="B4C8D6" w:sz="1"/>
              <w:right w:val="single" w:color="B4C8D6" w:sz="1"/>
            </w:tcBorders>
            <w:shd w:fill="F2F6FA" w:val="clear"/>
            <w:tcMar>
              <w:top w:type="dxa" w:w="100"/>
              <w:left w:type="dxa" w:w="240"/>
              <w:bottom w:type="dxa" w:w="10"/>
              <w:right w:type="dxa" w:w="240"/>
            </w:tcMar>
          </w:tcPr>
          <w:p>
            <w:pPr>
              <w:spacing w:before="50" w:after="0"/>
            </w:pPr>
            <w:r>
              <w:rPr>
                <w:rFonts w:ascii="Arial" w:cs="Arial" w:eastAsia="Arial" w:hAnsi="Arial"/>
                <w:b/>
                <w:bCs/>
                <w:color w:val="7A1440"/>
                <w:sz w:val="21"/>
                <w:szCs w:val="21"/>
              </w:rPr>
              <w:t xml:space="preserve">Career Development Integration</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5C0E2B"/>
                <w:sz w:val="20"/>
                <w:szCs w:val="20"/>
              </w:rPr>
              <w:t xml:space="preserve">▸  </w:t>
            </w:r>
            <w:r>
              <w:rPr>
                <w:rFonts w:ascii="Arial" w:cs="Arial" w:eastAsia="Arial" w:hAnsi="Arial"/>
                <w:color w:val="14202E"/>
                <w:sz w:val="20"/>
                <w:szCs w:val="20"/>
              </w:rPr>
              <w:t xml:space="preserve">Industry exposure credit towards Employability Readiness Score: completion of industry-commissioned projects is formally recognised in the student's Employability Readiness Score — contributing to the Career Exposure pillar with a higher weight than simulated career projects, reflecting the greater authenticity of genuine industry engagement.</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5C0E2B"/>
                <w:sz w:val="20"/>
                <w:szCs w:val="20"/>
              </w:rPr>
              <w:t xml:space="preserve">▸  </w:t>
            </w:r>
            <w:r>
              <w:rPr>
                <w:rFonts w:ascii="Arial" w:cs="Arial" w:eastAsia="Arial" w:hAnsi="Arial"/>
                <w:color w:val="14202E"/>
                <w:sz w:val="20"/>
                <w:szCs w:val="20"/>
              </w:rPr>
              <w:t xml:space="preserve">Alumni industry connection pipeline: students who complete industry projects with partner organisations enter a tracked alumni pipeline — industry partners have the option to flag students for future internship, apprenticeship, or graduate placement consideration — with the student's consent, their contact details and portfolio link are shared with the partner's talent acquisition team upon graduation.</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5C0E2B"/>
                <w:sz w:val="20"/>
                <w:szCs w:val="20"/>
              </w:rPr>
              <w:t xml:space="preserve">▸  </w:t>
            </w:r>
            <w:r>
              <w:rPr>
                <w:rFonts w:ascii="Arial" w:cs="Arial" w:eastAsia="Arial" w:hAnsi="Arial"/>
                <w:color w:val="14202E"/>
                <w:sz w:val="20"/>
                <w:szCs w:val="20"/>
              </w:rPr>
              <w:t xml:space="preserve">Industry mentor relationship continuation: students who develop strong mentoring relationships during projects can request to maintain the professional connection with their industry mentor beyond the project — through the platform's alumni network feature — creating durable professional relationships that support long-term career development.</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5C0E2B"/>
                <w:sz w:val="20"/>
                <w:szCs w:val="20"/>
              </w:rPr>
              <w:t xml:space="preserve">▸  </w:t>
            </w:r>
            <w:r>
              <w:rPr>
                <w:rFonts w:ascii="Arial" w:cs="Arial" w:eastAsia="Arial" w:hAnsi="Arial"/>
                <w:color w:val="14202E"/>
                <w:sz w:val="20"/>
                <w:szCs w:val="20"/>
              </w:rPr>
              <w:t xml:space="preserve">Industry project as interview evidence: the platform generates a structured Industry Project Summary Card for each completed industry project — a professional one-page document summarising the project brief, student's role, outputs, industry evaluation, and skills demonstrated — formatted specifically for inclusion in internship and job application portfolios.</w:t>
            </w:r>
          </w:p>
        </w:tc>
      </w:tr>
    </w:tbl>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C8D6" w:sz="1"/>
              <w:left w:val="single" w:color="B4C8D6" w:sz="1"/>
              <w:bottom w:val="single" w:color="B4C8D6" w:sz="1"/>
              <w:right w:val="single" w:color="B4C8D6" w:sz="1"/>
            </w:tcBorders>
            <w:shd w:fill="074050" w:val="clear"/>
            <w:tcMar>
              <w:top w:type="dxa" w:w="155"/>
              <w:left w:type="dxa" w:w="240"/>
              <w:bottom w:type="dxa" w:w="155"/>
              <w:right w:type="dxa" w:w="240"/>
            </w:tcMar>
          </w:tcPr>
          <w:p>
            <w:r>
              <w:rPr>
                <w:rFonts w:ascii="Arial" w:cs="Arial" w:eastAsia="Arial" w:hAnsi="Arial"/>
                <w:b/>
                <w:bCs/>
                <w:color w:val="FFFFFF"/>
                <w:sz w:val="24"/>
                <w:szCs w:val="24"/>
              </w:rPr>
              <w:t xml:space="preserve">8.  </w:t>
            </w:r>
            <w:r>
              <w:rPr>
                <w:rFonts w:ascii="Arial" w:cs="Arial" w:eastAsia="Arial" w:hAnsi="Arial"/>
                <w:b/>
                <w:bCs/>
                <w:color w:val="FFFFFF"/>
                <w:sz w:val="32"/>
                <w:szCs w:val="32"/>
              </w:rPr>
              <w:t xml:space="preserve">Project Certification</w:t>
            </w:r>
          </w:p>
        </w:tc>
      </w:tr>
      <w:tr>
        <w:tc>
          <w:tcPr>
            <w:tcW w:type="dxa" w:w="9360"/>
            <w:tcBorders>
              <w:top w:val="single" w:color="B4C8D6" w:sz="1"/>
              <w:left w:val="single" w:color="B4C8D6" w:sz="1"/>
              <w:bottom w:val="single" w:color="B4C8D6" w:sz="1"/>
              <w:right w:val="single" w:color="B4C8D6" w:sz="1"/>
            </w:tcBorders>
            <w:shd w:fill="CCECF5" w:val="clear"/>
            <w:tcMar>
              <w:top w:type="dxa" w:w="115"/>
              <w:left w:type="dxa" w:w="240"/>
              <w:bottom w:type="dxa" w:w="115"/>
              <w:right w:type="dxa" w:w="240"/>
            </w:tcMar>
          </w:tcPr>
          <w:p>
            <w:r>
              <w:rPr>
                <w:rFonts w:ascii="Arial" w:cs="Arial" w:eastAsia="Arial" w:hAnsi="Arial"/>
                <w:b/>
                <w:bCs/>
                <w:color w:val="074050"/>
                <w:sz w:val="21"/>
                <w:szCs w:val="21"/>
              </w:rPr>
              <w:t xml:space="preserve">Overview  </w:t>
            </w:r>
            <w:r>
              <w:rPr>
                <w:rFonts w:ascii="Arial" w:cs="Arial" w:eastAsia="Arial" w:hAnsi="Arial"/>
                <w:i/>
                <w:iCs/>
                <w:color w:val="14202E"/>
                <w:sz w:val="21"/>
                <w:szCs w:val="21"/>
              </w:rPr>
              <w:t xml:space="preserve">A comprehensive, multi-tier digital credentialing system that formally recognises and certifies students' project-based learning achievements — from school-issued competency certificates and board-recognised project completion credentials to industry-endorsed professional project certificates and platform-wide excellence awards — each backed by verified evidence, tamper-proof blockchain anchoring, and the rich portfolio context needed to make certificates genuinely informative rather than merely decorative.</w:t>
            </w:r>
          </w:p>
        </w:tc>
      </w:tr>
      <w:tr>
        <w:tc>
          <w:tcPr>
            <w:tcW w:type="dxa" w:w="9360"/>
            <w:tcBorders>
              <w:top w:val="single" w:color="B4C8D6" w:sz="1"/>
              <w:left w:val="single" w:color="B4C8D6" w:sz="1"/>
              <w:bottom w:val="single" w:color="B4C8D6" w:sz="1"/>
              <w:right w:val="single" w:color="B4C8D6" w:sz="1"/>
            </w:tcBorders>
            <w:shd w:fill="F2F6FA" w:val="clear"/>
            <w:tcMar>
              <w:top w:type="dxa" w:w="100"/>
              <w:left w:type="dxa" w:w="240"/>
              <w:bottom w:type="dxa" w:w="10"/>
              <w:right w:type="dxa" w:w="240"/>
            </w:tcMar>
          </w:tcPr>
          <w:p>
            <w:pPr>
              <w:spacing w:before="50" w:after="0"/>
            </w:pPr>
            <w:r>
              <w:rPr>
                <w:rFonts w:ascii="Arial" w:cs="Arial" w:eastAsia="Arial" w:hAnsi="Arial"/>
                <w:b/>
                <w:bCs/>
                <w:color w:val="0A5C72"/>
                <w:sz w:val="21"/>
                <w:szCs w:val="21"/>
              </w:rPr>
              <w:t xml:space="preserve">Certification Types &amp; Issuance Criteria</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74050"/>
                <w:sz w:val="20"/>
                <w:szCs w:val="20"/>
              </w:rPr>
              <w:t xml:space="preserve">▸  </w:t>
            </w:r>
            <w:r>
              <w:rPr>
                <w:rFonts w:ascii="Arial" w:cs="Arial" w:eastAsia="Arial" w:hAnsi="Arial"/>
                <w:color w:val="14202E"/>
                <w:sz w:val="20"/>
                <w:szCs w:val="20"/>
              </w:rPr>
              <w:t xml:space="preserve">Four-tier project certification architecture: Tier 1 — Project Completion Badge (issued for every successfully submitted and evaluated project meeting the minimum standard — records the project type, subject, topic, team role, and evaluation score band, serving as a foundational activity record), Tier 2 — Competency Certificate (issued when a project evaluation demonstrates proficiency above the defined threshold across all five evaluation pillars — certifying that the student has achieved specific learning outcomes and skill competencies through project work), Tier 3 — Excellence Award (issued for projects receiving Exemplary ratings across all pillars — the platform's highest school-issued project recognition, accompanied by a detailed citation of specific achievements), and Tier 4 — Industry Endorsement Certificate (co-issued with the partner industry organisation for completed industry-commissioned projects — carrying both the school's and the organisation's name and endorsement, the highest-value credential for professional portfolio use).</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74050"/>
                <w:sz w:val="20"/>
                <w:szCs w:val="20"/>
              </w:rPr>
              <w:t xml:space="preserve">▸  </w:t>
            </w:r>
            <w:r>
              <w:rPr>
                <w:rFonts w:ascii="Arial" w:cs="Arial" w:eastAsia="Arial" w:hAnsi="Arial"/>
                <w:color w:val="14202E"/>
                <w:sz w:val="20"/>
                <w:szCs w:val="20"/>
              </w:rPr>
              <w:t xml:space="preserve">Evidence-gated issuance: no project certification is issued based on participation or completion alone — each tier has specific, measurable evidence requirements: Tier 1 requires a submitted and evaluated output meeting minimum quality; Tier 2 requires evaluation scores above the proficiency threshold across all five pillars; Tier 3 requires Exemplary ratings with documented evidence; Tier 4 requires formal industry partner acceptance and endorsement — maintaining credential integrity and ensuring certifications carry genuine informational value.</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74050"/>
                <w:sz w:val="20"/>
                <w:szCs w:val="20"/>
              </w:rPr>
              <w:t xml:space="preserve">▸  </w:t>
            </w:r>
            <w:r>
              <w:rPr>
                <w:rFonts w:ascii="Arial" w:cs="Arial" w:eastAsia="Arial" w:hAnsi="Arial"/>
                <w:color w:val="14202E"/>
                <w:sz w:val="20"/>
                <w:szCs w:val="20"/>
              </w:rPr>
              <w:t xml:space="preserve">Automatic issuance on criteria met: the platform monitors evaluation data in real time — the moment a student's project evaluation meets the criteria for any certification tier, the certificate is automatically generated and dispatched to the student without requiring manual admin action — reducing the delay between achievement and recognition and maintaining motivation.</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74050"/>
                <w:sz w:val="20"/>
                <w:szCs w:val="20"/>
              </w:rPr>
              <w:t xml:space="preserve">▸  </w:t>
            </w:r>
            <w:r>
              <w:rPr>
                <w:rFonts w:ascii="Arial" w:cs="Arial" w:eastAsia="Arial" w:hAnsi="Arial"/>
                <w:color w:val="14202E"/>
                <w:sz w:val="20"/>
                <w:szCs w:val="20"/>
              </w:rPr>
              <w:t xml:space="preserve">Multi-project competency accumulation: certain competency certificates (e.g., Research Methods Proficiency, Design Thinking Practitioner) require evidence across multiple projects rather than a single project — the platform tracks cumulative evidence across the student's project history and issues the certificate automatically when sufficient cross-project evidence has accumulated.</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74050"/>
                <w:sz w:val="20"/>
                <w:szCs w:val="20"/>
              </w:rPr>
              <w:t xml:space="preserve">▸  </w:t>
            </w:r>
            <w:r>
              <w:rPr>
                <w:rFonts w:ascii="Arial" w:cs="Arial" w:eastAsia="Arial" w:hAnsi="Arial"/>
                <w:color w:val="14202E"/>
                <w:sz w:val="20"/>
                <w:szCs w:val="20"/>
              </w:rPr>
              <w:t xml:space="preserve">Subject-specific and cross-disciplinary certification tracks: parallel certification tracks exist for subject-specific project excellence (e.g., Science Investigator Certificate, Digital Creator Certificate) and for cross-disciplinary excellence (e.g., Integrative Thinking Award for projects explicitly bridging two or more subjects) — recognising both depth and breadth of project learning capability.</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74050"/>
                <w:sz w:val="20"/>
                <w:szCs w:val="20"/>
              </w:rPr>
              <w:t xml:space="preserve">▸  </w:t>
            </w:r>
            <w:r>
              <w:rPr>
                <w:rFonts w:ascii="Arial" w:cs="Arial" w:eastAsia="Arial" w:hAnsi="Arial"/>
                <w:color w:val="14202E"/>
                <w:sz w:val="20"/>
                <w:szCs w:val="20"/>
              </w:rPr>
              <w:t xml:space="preserve">Annual project honours recognition: at the school level, the platform's analytics engine identifies the top-performing projects of the academic year across each project type — nominated for the platform's Annual Project Honours — certificates are issued to the top-ranked teams/individuals per category, and selected projects are featured in the school's public portfolio showcase.</w:t>
            </w:r>
          </w:p>
        </w:tc>
      </w:tr>
      <w:tr>
        <w:tc>
          <w:tcPr>
            <w:tcW w:type="dxa" w:w="9360"/>
            <w:tcBorders>
              <w:top w:val="single" w:color="B4C8D6" w:sz="1"/>
              <w:left w:val="single" w:color="B4C8D6" w:sz="1"/>
              <w:bottom w:val="single" w:color="B4C8D6" w:sz="1"/>
              <w:right w:val="single" w:color="B4C8D6" w:sz="1"/>
            </w:tcBorders>
            <w:shd w:fill="F2F6FA" w:val="clear"/>
            <w:tcMar>
              <w:top w:type="dxa" w:w="100"/>
              <w:left w:type="dxa" w:w="240"/>
              <w:bottom w:type="dxa" w:w="10"/>
              <w:right w:type="dxa" w:w="240"/>
            </w:tcMar>
          </w:tcPr>
          <w:p>
            <w:pPr>
              <w:spacing w:before="50" w:after="0"/>
            </w:pPr>
            <w:r>
              <w:rPr>
                <w:rFonts w:ascii="Arial" w:cs="Arial" w:eastAsia="Arial" w:hAnsi="Arial"/>
                <w:b/>
                <w:bCs/>
                <w:color w:val="0A5C72"/>
                <w:sz w:val="21"/>
                <w:szCs w:val="21"/>
              </w:rPr>
              <w:t xml:space="preserve">Certificate Design &amp; Content Richness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74050"/>
                <w:sz w:val="20"/>
                <w:szCs w:val="20"/>
              </w:rPr>
              <w:t xml:space="preserve">▸  </w:t>
            </w:r>
            <w:r>
              <w:rPr>
                <w:rFonts w:ascii="Arial" w:cs="Arial" w:eastAsia="Arial" w:hAnsi="Arial"/>
                <w:color w:val="14202E"/>
                <w:sz w:val="20"/>
                <w:szCs w:val="20"/>
              </w:rPr>
              <w:t xml:space="preserve">Dynamic certificate design studio: each school configures its project certificate template — incorporating school logo, colours, principal's digital signature, school seal, and optional motto or tagline — with five pre-built professional layout options and a custom layout builder for schools wanting complete design control — ensuring certificates have genuine institutional gravitas.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74050"/>
                <w:sz w:val="20"/>
                <w:szCs w:val="20"/>
              </w:rPr>
              <w:t xml:space="preserve">▸  </w:t>
            </w:r>
            <w:r>
              <w:rPr>
                <w:rFonts w:ascii="Arial" w:cs="Arial" w:eastAsia="Arial" w:hAnsi="Arial"/>
                <w:color w:val="14202E"/>
                <w:sz w:val="20"/>
                <w:szCs w:val="20"/>
              </w:rPr>
              <w:t xml:space="preserve">Evidence-rich certificate metadata: unlike simple achievement certificates that merely state a title, platform project certificates contain rich structured metadata — project title and brief description, subject area, team role, evaluation score and pillar breakdown, key skills demonstrated, evaluator name and title, industry partner name (where applicable), date of project, and a link to the student's portfolio project page — making the certificate comprehensively informative to any reader.</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74050"/>
                <w:sz w:val="20"/>
                <w:szCs w:val="20"/>
              </w:rPr>
              <w:t xml:space="preserve">▸  </w:t>
            </w:r>
            <w:r>
              <w:rPr>
                <w:rFonts w:ascii="Arial" w:cs="Arial" w:eastAsia="Arial" w:hAnsi="Arial"/>
                <w:color w:val="14202E"/>
                <w:sz w:val="20"/>
                <w:szCs w:val="20"/>
              </w:rPr>
              <w:t xml:space="preserve">QR code to full portfolio evidence: every certificate includes a QR code linking directly to the relevant project page in the student's portfolio — allowing any recipient to click through from the certificate to the actual project output, evaluation rubric, mentor feedback, and process documentation — transforming the certificate from a claim into a fully substantiated evidence package.</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74050"/>
                <w:sz w:val="20"/>
                <w:szCs w:val="20"/>
              </w:rPr>
              <w:t xml:space="preserve">▸  </w:t>
            </w:r>
            <w:r>
              <w:rPr>
                <w:rFonts w:ascii="Arial" w:cs="Arial" w:eastAsia="Arial" w:hAnsi="Arial"/>
                <w:color w:val="14202E"/>
                <w:sz w:val="20"/>
                <w:szCs w:val="20"/>
              </w:rPr>
              <w:t xml:space="preserve">Multilingual certificate issuance: for schools serving multilingual communities or issuing certificates intended for international use, certificates can be issued in dual languages — English alongside the school's regional language — with certified translation functionality supported for selected regional languages.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74050"/>
                <w:sz w:val="20"/>
                <w:szCs w:val="20"/>
              </w:rPr>
              <w:t xml:space="preserve">▸  </w:t>
            </w:r>
            <w:r>
              <w:rPr>
                <w:rFonts w:ascii="Arial" w:cs="Arial" w:eastAsia="Arial" w:hAnsi="Arial"/>
                <w:color w:val="14202E"/>
                <w:sz w:val="20"/>
                <w:szCs w:val="20"/>
              </w:rPr>
              <w:t xml:space="preserve">Certificate customisation for special recognition: for Excellence Awards and Industry Endorsement Certificates, additional customisation is available — a project citation paragraph (drafted by the evaluator and edited by the HOD) describing the student's specific achievement in narrative terms, a project impact statement (particularly for social impact projects), and optional endorser's personal message for industry certificates — creating certificates of genuine distinction rather than mass-produced templates.</w:t>
            </w:r>
          </w:p>
        </w:tc>
      </w:tr>
      <w:tr>
        <w:tc>
          <w:tcPr>
            <w:tcW w:type="dxa" w:w="9360"/>
            <w:tcBorders>
              <w:top w:val="single" w:color="B4C8D6" w:sz="1"/>
              <w:left w:val="single" w:color="B4C8D6" w:sz="1"/>
              <w:bottom w:val="single" w:color="B4C8D6" w:sz="1"/>
              <w:right w:val="single" w:color="B4C8D6" w:sz="1"/>
            </w:tcBorders>
            <w:shd w:fill="F2F6FA" w:val="clear"/>
            <w:tcMar>
              <w:top w:type="dxa" w:w="100"/>
              <w:left w:type="dxa" w:w="240"/>
              <w:bottom w:type="dxa" w:w="10"/>
              <w:right w:type="dxa" w:w="240"/>
            </w:tcMar>
          </w:tcPr>
          <w:p>
            <w:pPr>
              <w:spacing w:before="50" w:after="0"/>
            </w:pPr>
            <w:r>
              <w:rPr>
                <w:rFonts w:ascii="Arial" w:cs="Arial" w:eastAsia="Arial" w:hAnsi="Arial"/>
                <w:b/>
                <w:bCs/>
                <w:color w:val="0A5C72"/>
                <w:sz w:val="21"/>
                <w:szCs w:val="21"/>
              </w:rPr>
              <w:t xml:space="preserve">Blockchain Verification &amp; Digital Trust</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74050"/>
                <w:sz w:val="20"/>
                <w:szCs w:val="20"/>
              </w:rPr>
              <w:t xml:space="preserve">▸  </w:t>
            </w:r>
            <w:r>
              <w:rPr>
                <w:rFonts w:ascii="Arial" w:cs="Arial" w:eastAsia="Arial" w:hAnsi="Arial"/>
                <w:color w:val="14202E"/>
                <w:sz w:val="20"/>
                <w:szCs w:val="20"/>
              </w:rPr>
              <w:t xml:space="preserve">Tamper-proof ledger anchoring: every issued project certificate is cryptographically hashed and the hash is written to a distributed ledger at the moment of issuance — any subsequent alteration to the certificate document is immediately detectable by comparing the document hash against the ledger record — providing mathematically guaranteed authenticity to any third-party verifier.</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74050"/>
                <w:sz w:val="20"/>
                <w:szCs w:val="20"/>
              </w:rPr>
              <w:t xml:space="preserve">▸  </w:t>
            </w:r>
            <w:r>
              <w:rPr>
                <w:rFonts w:ascii="Arial" w:cs="Arial" w:eastAsia="Arial" w:hAnsi="Arial"/>
                <w:color w:val="14202E"/>
                <w:sz w:val="20"/>
                <w:szCs w:val="20"/>
              </w:rPr>
              <w:t xml:space="preserve">Universal public verification portal: a public-facing verification portal (no login required) accepts a certificate ID or QR code scan — instantly returning the certificate's verified details, issuing institution, recipient name, date of issue, and current validity status (Active / Revoked / Expired) — enabling universities, employers, and scholarship committees to independently verify project certificates in seconds.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74050"/>
                <w:sz w:val="20"/>
                <w:szCs w:val="20"/>
              </w:rPr>
              <w:t xml:space="preserve">▸  </w:t>
            </w:r>
            <w:r>
              <w:rPr>
                <w:rFonts w:ascii="Arial" w:cs="Arial" w:eastAsia="Arial" w:hAnsi="Arial"/>
                <w:color w:val="14202E"/>
                <w:sz w:val="20"/>
                <w:szCs w:val="20"/>
              </w:rPr>
              <w:t xml:space="preserve">Revocation and correction management: if a certificate was issued in error (data entry mistake, assessment fraud discovered post-issuance) it can be revoked by the issuing school — the revocation is recorded on the ledger, and the public verification portal returns a Revoked status with the revocation date — certificates are never silently deleted, ensuring that revocations are fully transparent.</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74050"/>
                <w:sz w:val="20"/>
                <w:szCs w:val="20"/>
              </w:rPr>
              <w:t xml:space="preserve">▸  </w:t>
            </w:r>
            <w:r>
              <w:rPr>
                <w:rFonts w:ascii="Arial" w:cs="Arial" w:eastAsia="Arial" w:hAnsi="Arial"/>
                <w:color w:val="14202E"/>
                <w:sz w:val="20"/>
                <w:szCs w:val="20"/>
              </w:rPr>
              <w:t xml:space="preserve">NAD and DigiLocker integration: project certificates are automatically pushed to the student's National Academic Depository locker and DigiLocker account — providing students with a government-recognised digital record of their project achievements that persists independently of the school's platform subscription and is accessible throughout their career.</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74050"/>
                <w:sz w:val="20"/>
                <w:szCs w:val="20"/>
              </w:rPr>
              <w:t xml:space="preserve">▸  </w:t>
            </w:r>
            <w:r>
              <w:rPr>
                <w:rFonts w:ascii="Arial" w:cs="Arial" w:eastAsia="Arial" w:hAnsi="Arial"/>
                <w:color w:val="14202E"/>
                <w:sz w:val="20"/>
                <w:szCs w:val="20"/>
              </w:rPr>
              <w:t xml:space="preserve">Open Badges 3.0 compliance: all platform project badges and certificates are compliant with the Open Badges 3.0 standard — enabling them to be displayed on any Open Badge-compatible platform including LinkedIn, Mozilla Backpack, Credly, and university digital credential wallets — ensuring maximum portability and recognition across the global credential ecosystem.</w:t>
            </w:r>
          </w:p>
        </w:tc>
      </w:tr>
      <w:tr>
        <w:tc>
          <w:tcPr>
            <w:tcW w:type="dxa" w:w="9360"/>
            <w:tcBorders>
              <w:top w:val="single" w:color="B4C8D6" w:sz="1"/>
              <w:left w:val="single" w:color="B4C8D6" w:sz="1"/>
              <w:bottom w:val="single" w:color="B4C8D6" w:sz="1"/>
              <w:right w:val="single" w:color="B4C8D6" w:sz="1"/>
            </w:tcBorders>
            <w:shd w:fill="F2F6FA" w:val="clear"/>
            <w:tcMar>
              <w:top w:type="dxa" w:w="100"/>
              <w:left w:type="dxa" w:w="240"/>
              <w:bottom w:type="dxa" w:w="10"/>
              <w:right w:type="dxa" w:w="240"/>
            </w:tcMar>
          </w:tcPr>
          <w:p>
            <w:pPr>
              <w:spacing w:before="50" w:after="0"/>
            </w:pPr>
            <w:r>
              <w:rPr>
                <w:rFonts w:ascii="Arial" w:cs="Arial" w:eastAsia="Arial" w:hAnsi="Arial"/>
                <w:b/>
                <w:bCs/>
                <w:color w:val="0A5C72"/>
                <w:sz w:val="21"/>
                <w:szCs w:val="21"/>
              </w:rPr>
              <w:t xml:space="preserve">Institutional Certification Analytics &amp; Strategy</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74050"/>
                <w:sz w:val="20"/>
                <w:szCs w:val="20"/>
              </w:rPr>
              <w:t xml:space="preserve">▸  </w:t>
            </w:r>
            <w:r>
              <w:rPr>
                <w:rFonts w:ascii="Arial" w:cs="Arial" w:eastAsia="Arial" w:hAnsi="Arial"/>
                <w:color w:val="14202E"/>
                <w:sz w:val="20"/>
                <w:szCs w:val="20"/>
              </w:rPr>
              <w:t xml:space="preserve">Certification issuance rate analysis: tracks what percentage of project participants achieve each certification tier — low Tier 2 rates indicate evaluation standards are misaligned with project brief complexity or that students need more support during project execution; high Tier 3 rates may indicate grade inflation requiring standards recalibration.</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74050"/>
                <w:sz w:val="20"/>
                <w:szCs w:val="20"/>
              </w:rPr>
              <w:t xml:space="preserve">▸  </w:t>
            </w:r>
            <w:r>
              <w:rPr>
                <w:rFonts w:ascii="Arial" w:cs="Arial" w:eastAsia="Arial" w:hAnsi="Arial"/>
                <w:color w:val="14202E"/>
                <w:sz w:val="20"/>
                <w:szCs w:val="20"/>
              </w:rPr>
              <w:t xml:space="preserve">Certification equity dashboard: disaggregates certification data by gender, socioeconomic category, academic stream, and SEN status — identifying whether project excellence recognition is equitably distributed, and surfacing demographic groups who are systematically under-achieving in project work relative to their academic performance in conventional assessments.</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74050"/>
                <w:sz w:val="20"/>
                <w:szCs w:val="20"/>
              </w:rPr>
              <w:t xml:space="preserve">▸  </w:t>
            </w:r>
            <w:r>
              <w:rPr>
                <w:rFonts w:ascii="Arial" w:cs="Arial" w:eastAsia="Arial" w:hAnsi="Arial"/>
                <w:color w:val="14202E"/>
                <w:sz w:val="20"/>
                <w:szCs w:val="20"/>
              </w:rPr>
              <w:t xml:space="preserve">Industry certificate value tracking: for industry-endorsed certificates, the platform tracks whether receiving an industry certificate from specific partner organisations correlates with better internship, scholarship, or college admission outcomes for students — building an evidence base for the most valuable partnership organisations to prioritise and expand.</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74050"/>
                <w:sz w:val="20"/>
                <w:szCs w:val="20"/>
              </w:rPr>
              <w:t xml:space="preserve">▸  </w:t>
            </w:r>
            <w:r>
              <w:rPr>
                <w:rFonts w:ascii="Arial" w:cs="Arial" w:eastAsia="Arial" w:hAnsi="Arial"/>
                <w:color w:val="14202E"/>
                <w:sz w:val="20"/>
                <w:szCs w:val="20"/>
              </w:rPr>
              <w:t xml:space="preserve">Certification portfolio showcase for school marketing: the school's aggregated certification issuance data (total certifications issued, industry endorsements earned, excellence awards, certification by subject area) is available as a marketing-ready infographic for school prospectuses, websites, and parent information sessions — quantifying the project learning programme's recognition output in a compelling, accessible format.</w:t>
            </w:r>
          </w:p>
        </w:tc>
      </w:tr>
      <w:tr>
        <w:tc>
          <w:tcPr>
            <w:tcW w:type="dxa" w:w="9360"/>
            <w:tcBorders>
              <w:top w:val="single" w:color="B4C8D6" w:sz="1"/>
              <w:left w:val="single" w:color="B4C8D6" w:sz="1"/>
              <w:bottom w:val="single" w:color="B4C8D6" w:sz="1"/>
              <w:right w:val="single" w:color="B4C8D6" w:sz="1"/>
            </w:tcBorders>
            <w:shd w:fill="FFFFFF" w:val="clear"/>
            <w:tcMar>
              <w:top w:type="dxa" w:w="65"/>
              <w:left w:type="dxa" w:w="400"/>
              <w:bottom w:type="dxa" w:w="65"/>
              <w:right w:type="dxa" w:w="240"/>
            </w:tcMar>
          </w:tcPr>
          <w:p>
            <w:pPr>
              <w:spacing w:before="30" w:after="30"/>
            </w:pPr>
            <w:r>
              <w:rPr>
                <w:rFonts w:ascii="Arial" w:cs="Arial" w:eastAsia="Arial" w:hAnsi="Arial"/>
                <w:color w:val="074050"/>
                <w:sz w:val="20"/>
                <w:szCs w:val="20"/>
              </w:rPr>
              <w:t xml:space="preserve">▸  </w:t>
            </w:r>
            <w:r>
              <w:rPr>
                <w:rFonts w:ascii="Arial" w:cs="Arial" w:eastAsia="Arial" w:hAnsi="Arial"/>
                <w:color w:val="14202E"/>
                <w:sz w:val="20"/>
                <w:szCs w:val="20"/>
              </w:rPr>
              <w:t xml:space="preserve">Continuous certification standards review: annual review process where the school's academic leadership reviews certification issuance rates, evaluator feedback, and student outcome correlations — adjusting certification criteria, evaluation rubrics, or programme structure based on evidence — ensuring the certification programme remains challenging, credible, and genuinely reflective of the school's project learning quality standards.</w:t>
            </w:r>
          </w:p>
        </w:tc>
      </w:tr>
    </w:tbl>
    <w:p>
      <w:pPr>
        <w:spacing w:before="260" w:after="0"/>
      </w:pPr>
      <w:r>
        <w:t xml:space="preserve"/>
      </w:r>
    </w:p>
    <w:p>
      <w:r>
        <w:br w:type="page"/>
      </w:r>
    </w:p>
    <w:p>
      <w:pPr>
        <w:pBdr>
          <w:top w:val="single" w:color="0B3D2E" w:sz="6" w:space="6"/>
        </w:pBdr>
        <w:spacing w:before="240" w:after="120"/>
        <w:jc w:val="center"/>
      </w:pPr>
      <w:r>
        <w:rPr>
          <w:rFonts w:ascii="Arial" w:cs="Arial" w:eastAsia="Arial" w:hAnsi="Arial"/>
          <w:b/>
          <w:bCs/>
          <w:color w:val="0B3D2E"/>
          <w:sz w:val="18"/>
          <w:szCs w:val="18"/>
        </w:rPr>
        <w:t xml:space="preserve">CONFIDENTIAL — For Internal Use Only</w:t>
      </w:r>
    </w:p>
    <w:p>
      <w:pPr>
        <w:jc w:val="center"/>
      </w:pPr>
      <w:r>
        <w:rPr>
          <w:rFonts w:ascii="Arial" w:cs="Arial" w:eastAsia="Arial" w:hAnsi="Arial"/>
          <w:color w:val="526070"/>
          <w:sz w:val="18"/>
          <w:szCs w:val="18"/>
        </w:rPr>
        <w:t xml:space="preserve">This document describes planned product features and is subject to change without notice. © 2026 School Management Platform.</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B3D2E" w:sz="4" w:space="4"/>
      </w:pBdr>
      <w:tabs>
        <w:tab w:val="right" w:pos="9026"/>
      </w:tabs>
      <w:spacing w:before="80"/>
    </w:pPr>
    <w:r>
      <w:rPr>
        <w:rFonts w:ascii="Arial" w:cs="Arial" w:eastAsia="Arial" w:hAnsi="Arial"/>
        <w:color w:val="526070"/>
        <w:sz w:val="18"/>
        <w:szCs w:val="18"/>
      </w:rPr>
      <w:t xml:space="preserve">Confidential</w:t>
    </w:r>
    <w:r>
      <w:rPr>
        <w:rFonts w:ascii="Arial" w:cs="Arial" w:eastAsia="Arial" w:hAnsi="Arial"/>
        <w:color w:val="526070"/>
        <w:sz w:val="18"/>
        <w:szCs w:val="18"/>
      </w:rPr>
      <w:t xml:space="preserve">	Page </w:t>
    </w:r>
    <w:r>
      <w:rPr>
        <w:rFonts w:ascii="Arial" w:cs="Arial" w:eastAsia="Arial" w:hAnsi="Arial"/>
        <w:color w:val="0B3D2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3D2E" w:sz="4" w:space="4"/>
      </w:pBdr>
      <w:spacing w:after="80"/>
    </w:pPr>
    <w:r>
      <w:rPr>
        <w:rFonts w:ascii="Arial" w:cs="Arial" w:eastAsia="Arial" w:hAnsi="Arial"/>
        <w:color w:val="526070"/>
        <w:sz w:val="18"/>
        <w:szCs w:val="18"/>
      </w:rPr>
      <w:t xml:space="preserve">School Management Platform  |  Module H: Project &amp; Practical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0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2026-03-09T08:31:10.480Z</dcterms:created>
  <dcterms:modified xsi:type="dcterms:W3CDTF">2026-03-09T08:31:10.481Z</dcterms:modified>
</cp:coreProperties>
</file>

<file path=docProps/custom.xml><?xml version="1.0" encoding="utf-8"?>
<Properties xmlns="http://schemas.openxmlformats.org/officeDocument/2006/custom-properties" xmlns:vt="http://schemas.openxmlformats.org/officeDocument/2006/docPropsVTypes"/>
</file>