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440"/>
      </w:pPr>
    </w:p>
    <w:p>
      <w:pPr>
        <w:jc w:val="center"/>
      </w:pPr>
      <w:r>
        <w:rPr>
          <w:rFonts w:ascii="Arial" w:cs="Arial" w:eastAsia="Arial" w:hAnsi="Arial"/>
          <w:b/>
          <w:bCs/>
          <w:color w:val="1A56B0"/>
          <w:sz w:val="52"/>
          <w:szCs w:val="52"/>
        </w:rPr>
        <w:t xml:space="preserve">EcoSkiller Platform</w:t>
      </w:r>
    </w:p>
    <w:p>
      <w:pPr>
        <w:spacing w:before="120" w:after="180"/>
        <w:jc w:val="center"/>
      </w:pPr>
      <w:r>
        <w:rPr>
          <w:rFonts w:ascii="Arial" w:cs="Arial" w:eastAsia="Arial" w:hAnsi="Arial"/>
          <w:b/>
          <w:bCs/>
          <w:color w:val="1A1A2E"/>
          <w:sz w:val="64"/>
          <w:szCs w:val="64"/>
        </w:rPr>
        <w:t xml:space="preserve">School Analytics &amp; Reporting</w:t>
      </w:r>
    </w:p>
    <w:p>
      <w:pPr>
        <w:pBdr>
          <w:bottom w:val="single" w:color="1A56B0" w:sz="8" w:space="1"/>
        </w:pBdr>
        <w:spacing w:before="80" w:after="200"/>
      </w:pPr>
    </w:p>
    <w:p>
      <w:pPr>
        <w:spacing w:after="80"/>
        <w:jc w:val="center"/>
      </w:pPr>
      <w:r>
        <w:rPr>
          <w:rFonts w:ascii="Arial" w:cs="Arial" w:eastAsia="Arial" w:hAnsi="Arial"/>
          <w:color w:val="555555"/>
          <w:sz w:val="30"/>
          <w:szCs w:val="30"/>
        </w:rPr>
        <w:t xml:space="preserve">In-Depth Feature Documentation</w:t>
      </w:r>
    </w:p>
    <w:p>
      <w:pPr>
        <w:jc w:val="center"/>
      </w:pPr>
      <w:r>
        <w:rPr>
          <w:rFonts w:ascii="Arial" w:cs="Arial" w:eastAsia="Arial" w:hAnsi="Arial"/>
          <w:color w:val="777777"/>
          <w:sz w:val="24"/>
          <w:szCs w:val="24"/>
        </w:rPr>
        <w:t xml:space="preserve">5 Core Analytics Features  |  Complete Specifications</w:t>
      </w:r>
    </w:p>
    <w:p>
      <w:pPr>
        <w:spacing w:before="600"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9E6" w:sz="1"/>
              <w:left w:val="single" w:color="D1D9E6" w:sz="1"/>
              <w:bottom w:val="single" w:color="D1D9E6" w:sz="1"/>
              <w:right w:val="single" w:color="D1D9E6" w:sz="1"/>
            </w:tcBorders>
            <w:shd w:fill="EBF3FB" w:val="clear"/>
            <w:tcMar>
              <w:top w:type="dxa" w:w="120"/>
              <w:left w:type="dxa" w:w="200"/>
              <w:bottom w:type="dxa" w:w="120"/>
              <w:right w:type="dxa" w:w="200"/>
            </w:tcMar>
          </w:tcPr>
          <w:p>
            <w:pPr>
              <w:spacing w:after="80"/>
            </w:pPr>
            <w:r>
              <w:rPr>
                <w:rFonts w:ascii="Arial" w:cs="Arial" w:eastAsia="Arial" w:hAnsi="Arial"/>
                <w:b/>
                <w:bCs/>
                <w:color w:val="1A56B0"/>
                <w:sz w:val="22"/>
                <w:szCs w:val="22"/>
              </w:rPr>
              <w:t xml:space="preserve">Features Covered</w:t>
            </w:r>
          </w:p>
          <w:p>
            <w:pPr>
              <w:spacing w:before="40" w:after="40"/>
            </w:pPr>
            <w:r>
              <w:rPr>
                <w:rFonts w:ascii="Arial" w:cs="Arial" w:eastAsia="Arial" w:hAnsi="Arial"/>
                <w:color w:val="1A1A2E"/>
                <w:sz w:val="21"/>
                <w:szCs w:val="21"/>
              </w:rPr>
              <w:t xml:space="preserve">1. School Skill Development Reports</w:t>
            </w:r>
          </w:p>
          <w:p>
            <w:pPr>
              <w:spacing w:before="40" w:after="40"/>
            </w:pPr>
            <w:r>
              <w:rPr>
                <w:rFonts w:ascii="Arial" w:cs="Arial" w:eastAsia="Arial" w:hAnsi="Arial"/>
                <w:color w:val="1A1A2E"/>
                <w:sz w:val="21"/>
                <w:szCs w:val="21"/>
              </w:rPr>
              <w:t xml:space="preserve">2. Student Employability Reports</w:t>
            </w:r>
          </w:p>
          <w:p>
            <w:pPr>
              <w:spacing w:before="40" w:after="40"/>
            </w:pPr>
            <w:r>
              <w:rPr>
                <w:rFonts w:ascii="Arial" w:cs="Arial" w:eastAsia="Arial" w:hAnsi="Arial"/>
                <w:color w:val="1A1A2E"/>
                <w:sz w:val="21"/>
                <w:szCs w:val="21"/>
              </w:rPr>
              <w:t xml:space="preserve">3. Placement Readiness Analytics</w:t>
            </w:r>
          </w:p>
          <w:p>
            <w:pPr>
              <w:spacing w:before="40" w:after="40"/>
            </w:pPr>
            <w:r>
              <w:rPr>
                <w:rFonts w:ascii="Arial" w:cs="Arial" w:eastAsia="Arial" w:hAnsi="Arial"/>
                <w:color w:val="1A1A2E"/>
                <w:sz w:val="21"/>
                <w:szCs w:val="21"/>
              </w:rPr>
              <w:t xml:space="preserve">4. Teacher Performance Analytics</w:t>
            </w:r>
          </w:p>
          <w:p>
            <w:pPr>
              <w:spacing w:before="40" w:after="40"/>
            </w:pPr>
            <w:r>
              <w:rPr>
                <w:rFonts w:ascii="Arial" w:cs="Arial" w:eastAsia="Arial" w:hAnsi="Arial"/>
                <w:color w:val="1A1A2E"/>
                <w:sz w:val="21"/>
                <w:szCs w:val="21"/>
              </w:rPr>
              <w:t xml:space="preserve">5. Institute Reputation Score</w:t>
            </w:r>
          </w:p>
        </w:tc>
        <w:tc>
          <w:tcPr>
            <w:tcW w:type="dxa" w:w="4680"/>
            <w:tcBorders>
              <w:top w:val="single" w:color="D1D9E6" w:sz="1"/>
              <w:left w:val="single" w:color="D1D9E6" w:sz="1"/>
              <w:bottom w:val="single" w:color="D1D9E6" w:sz="1"/>
              <w:right w:val="single" w:color="D1D9E6" w:sz="1"/>
            </w:tcBorders>
            <w:shd w:fill="FFF7ED" w:val="clear"/>
            <w:tcMar>
              <w:top w:type="dxa" w:w="120"/>
              <w:left w:type="dxa" w:w="200"/>
              <w:bottom w:type="dxa" w:w="120"/>
              <w:right w:type="dxa" w:w="200"/>
            </w:tcMar>
          </w:tcPr>
          <w:p>
            <w:pPr>
              <w:spacing w:after="80"/>
            </w:pPr>
            <w:r>
              <w:rPr>
                <w:rFonts w:ascii="Arial" w:cs="Arial" w:eastAsia="Arial" w:hAnsi="Arial"/>
                <w:b/>
                <w:bCs/>
                <w:color w:val="EA580C"/>
                <w:sz w:val="22"/>
                <w:szCs w:val="22"/>
              </w:rPr>
              <w:t xml:space="preserve">Document Purpose</w:t>
            </w:r>
          </w:p>
          <w:p>
            <w:pPr>
              <w:jc w:val="both"/>
            </w:pPr>
            <w:r>
              <w:rPr>
                <w:rFonts w:ascii="Arial" w:cs="Arial" w:eastAsia="Arial" w:hAnsi="Arial"/>
                <w:color w:val="444444"/>
                <w:sz w:val="21"/>
                <w:szCs w:val="21"/>
              </w:rPr>
              <w:t xml:space="preserve">This document provides complete, in-depth feature descriptions for the School Analytics &amp; Reporting module of the EcoSkiller platform — covering purpose, data flows, user roles, sub-features, and business impact.</w:t>
            </w:r>
          </w:p>
        </w:tc>
      </w:tr>
    </w:tbl>
    <w:p>
      <w:pPr>
        <w:spacing w:before="400" w:after="400"/>
      </w:pPr>
    </w:p>
    <w:p>
      <w:r>
        <w:br w:type="page"/>
      </w:r>
    </w:p>
    <w:p>
      <w:pPr>
        <w:spacing w:before="480" w:after="120"/>
      </w:pPr>
      <w:r>
        <w:rPr>
          <w:rFonts w:ascii="Arial" w:cs="Arial" w:eastAsia="Arial" w:hAnsi="Arial"/>
          <w:b/>
          <w:bCs/>
          <w:color w:val="AAAAAA"/>
          <w:sz w:val="28"/>
          <w:szCs w:val="28"/>
        </w:rPr>
        <w:t xml:space="preserve">Feature 01  </w:t>
      </w:r>
      <w:r>
        <w:rPr>
          <w:rFonts w:ascii="Arial" w:cs="Arial" w:eastAsia="Arial" w:hAnsi="Arial"/>
          <w:b/>
          <w:bCs/>
          <w:color w:val="1A56B0"/>
          <w:sz w:val="36"/>
          <w:szCs w:val="36"/>
        </w:rPr>
        <w:t xml:space="preserve">School Skill Development Reports</w:t>
      </w:r>
    </w:p>
    <w:p>
      <w:pPr>
        <w:pBdr>
          <w:bottom w:val="single" w:color="1A56B0" w:sz="8" w:space="1"/>
        </w:pBdr>
        <w:spacing w:before="80" w:after="200"/>
      </w:pPr>
    </w:p>
    <w:p>
      <w:pPr>
        <w:spacing w:before="240" w:after="100"/>
      </w:pPr>
      <w:r>
        <w:rPr>
          <w:rFonts w:ascii="Arial" w:cs="Arial" w:eastAsia="Arial" w:hAnsi="Arial"/>
          <w:b/>
          <w:bCs/>
          <w:color w:val="1A56B0"/>
          <w:sz w:val="26"/>
          <w:szCs w:val="26"/>
        </w:rPr>
        <w:t xml:space="preserve">Overview</w:t>
      </w:r>
    </w:p>
    <w:p>
      <w:pPr>
        <w:spacing w:before="60" w:after="80"/>
        <w:jc w:val="both"/>
      </w:pPr>
      <w:r>
        <w:rPr>
          <w:rFonts w:ascii="Arial" w:cs="Arial" w:eastAsia="Arial" w:hAnsi="Arial"/>
          <w:color w:val="333333"/>
          <w:sz w:val="22"/>
          <w:szCs w:val="22"/>
        </w:rPr>
        <w:t xml:space="preserve">The School Skill Development Reports feature provides a comprehensive, data-driven view of how skill-building is progressing across an entire institution. It aggregates individual student learning activity, assessment outcomes, and skill tag completions into a unified school-level dashboard that helps academic leaders track performance, identify gaps, and make informed decisions about curriculum and training investments.</w:t>
      </w:r>
    </w:p>
    <w:p>
      <w:pPr>
        <w:spacing w:before="60" w:after="80"/>
        <w:jc w:val="both"/>
      </w:pPr>
      <w:r>
        <w:rPr>
          <w:rFonts w:ascii="Arial" w:cs="Arial" w:eastAsia="Arial" w:hAnsi="Arial"/>
          <w:color w:val="333333"/>
          <w:sz w:val="22"/>
          <w:szCs w:val="22"/>
        </w:rPr>
        <w:t xml:space="preserve">Unlike generic LMS reports, this feature is purpose-built for employability-focused skill development. Every data point is linked to industry-relevant competencies, ensuring that the reports reflect real-world readiness rather than just academic completion.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9E6" w:sz="1"/>
              <w:left w:val="single" w:color="D1D9E6" w:sz="1"/>
              <w:bottom w:val="single" w:color="D1D9E6" w:sz="1"/>
              <w:right w:val="single" w:color="D1D9E6" w:sz="1"/>
            </w:tcBorders>
            <w:shd w:fill="F5F7FA" w:val="clear"/>
            <w:tcMar>
              <w:top w:type="dxa" w:w="80"/>
              <w:left w:type="dxa" w:w="150"/>
              <w:bottom w:type="dxa" w:w="80"/>
              <w:right w:type="dxa" w:w="150"/>
            </w:tcMar>
          </w:tcPr>
          <w:p>
            <w:r>
              <w:rPr>
                <w:rFonts w:ascii="Arial" w:cs="Arial" w:eastAsia="Arial" w:hAnsi="Arial"/>
                <w:b/>
                <w:bCs/>
                <w:color w:val="1A56B0"/>
                <w:sz w:val="21"/>
                <w:szCs w:val="21"/>
              </w:rPr>
              <w:t xml:space="preserve">Target Users</w:t>
            </w:r>
          </w:p>
        </w:tc>
        <w:tc>
          <w:tcPr>
            <w:tcW w:type="dxa" w:w="6560"/>
            <w:tcBorders>
              <w:top w:val="single" w:color="D1D9E6" w:sz="1"/>
              <w:left w:val="single" w:color="D1D9E6" w:sz="1"/>
              <w:bottom w:val="single" w:color="D1D9E6" w:sz="1"/>
              <w:right w:val="single" w:color="D1D9E6" w:sz="1"/>
            </w:tcBorders>
            <w:tcMar>
              <w:top w:type="dxa" w:w="80"/>
              <w:left w:type="dxa" w:w="150"/>
              <w:bottom w:type="dxa" w:w="80"/>
              <w:right w:type="dxa" w:w="150"/>
            </w:tcMar>
          </w:tcPr>
          <w:p>
            <w:r>
              <w:rPr>
                <w:rFonts w:ascii="Arial" w:cs="Arial" w:eastAsia="Arial" w:hAnsi="Arial"/>
                <w:color w:val="333333"/>
                <w:sz w:val="21"/>
                <w:szCs w:val="21"/>
              </w:rPr>
              <w:t xml:space="preserve">Principals, Placement Officers, Academic Directors, Department HODs</w:t>
            </w:r>
          </w:p>
        </w:tc>
      </w:tr>
      <w:tr>
        <w:tc>
          <w:tcPr>
            <w:tcW w:type="dxa" w:w="2800"/>
            <w:tcBorders>
              <w:top w:val="single" w:color="D1D9E6" w:sz="1"/>
              <w:left w:val="single" w:color="D1D9E6" w:sz="1"/>
              <w:bottom w:val="single" w:color="D1D9E6" w:sz="1"/>
              <w:right w:val="single" w:color="D1D9E6" w:sz="1"/>
            </w:tcBorders>
            <w:shd w:fill="F5F7FA" w:val="clear"/>
            <w:tcMar>
              <w:top w:type="dxa" w:w="80"/>
              <w:left w:type="dxa" w:w="150"/>
              <w:bottom w:type="dxa" w:w="80"/>
              <w:right w:type="dxa" w:w="150"/>
            </w:tcMar>
          </w:tcPr>
          <w:p>
            <w:r>
              <w:rPr>
                <w:rFonts w:ascii="Arial" w:cs="Arial" w:eastAsia="Arial" w:hAnsi="Arial"/>
                <w:b/>
                <w:bCs/>
                <w:color w:val="1A56B0"/>
                <w:sz w:val="21"/>
                <w:szCs w:val="21"/>
              </w:rPr>
              <w:t xml:space="preserve">Data Source</w:t>
            </w:r>
          </w:p>
        </w:tc>
        <w:tc>
          <w:tcPr>
            <w:tcW w:type="dxa" w:w="6560"/>
            <w:tcBorders>
              <w:top w:val="single" w:color="D1D9E6" w:sz="1"/>
              <w:left w:val="single" w:color="D1D9E6" w:sz="1"/>
              <w:bottom w:val="single" w:color="D1D9E6" w:sz="1"/>
              <w:right w:val="single" w:color="D1D9E6" w:sz="1"/>
            </w:tcBorders>
            <w:tcMar>
              <w:top w:type="dxa" w:w="80"/>
              <w:left w:type="dxa" w:w="150"/>
              <w:bottom w:type="dxa" w:w="80"/>
              <w:right w:type="dxa" w:w="150"/>
            </w:tcMar>
          </w:tcPr>
          <w:p>
            <w:r>
              <w:rPr>
                <w:rFonts w:ascii="Arial" w:cs="Arial" w:eastAsia="Arial" w:hAnsi="Arial"/>
                <w:color w:val="333333"/>
                <w:sz w:val="21"/>
                <w:szCs w:val="21"/>
              </w:rPr>
              <w:t xml:space="preserve">Student activity logs, assessment scores, course completions, skill tag mapping</w:t>
            </w:r>
          </w:p>
        </w:tc>
      </w:tr>
      <w:tr>
        <w:tc>
          <w:tcPr>
            <w:tcW w:type="dxa" w:w="2800"/>
            <w:tcBorders>
              <w:top w:val="single" w:color="D1D9E6" w:sz="1"/>
              <w:left w:val="single" w:color="D1D9E6" w:sz="1"/>
              <w:bottom w:val="single" w:color="D1D9E6" w:sz="1"/>
              <w:right w:val="single" w:color="D1D9E6" w:sz="1"/>
            </w:tcBorders>
            <w:shd w:fill="F5F7FA" w:val="clear"/>
            <w:tcMar>
              <w:top w:type="dxa" w:w="80"/>
              <w:left w:type="dxa" w:w="150"/>
              <w:bottom w:type="dxa" w:w="80"/>
              <w:right w:type="dxa" w:w="150"/>
            </w:tcMar>
          </w:tcPr>
          <w:p>
            <w:r>
              <w:rPr>
                <w:rFonts w:ascii="Arial" w:cs="Arial" w:eastAsia="Arial" w:hAnsi="Arial"/>
                <w:b/>
                <w:bCs/>
                <w:color w:val="1A56B0"/>
                <w:sz w:val="21"/>
                <w:szCs w:val="21"/>
              </w:rPr>
              <w:t xml:space="preserve">Report Frequency</w:t>
            </w:r>
          </w:p>
        </w:tc>
        <w:tc>
          <w:tcPr>
            <w:tcW w:type="dxa" w:w="6560"/>
            <w:tcBorders>
              <w:top w:val="single" w:color="D1D9E6" w:sz="1"/>
              <w:left w:val="single" w:color="D1D9E6" w:sz="1"/>
              <w:bottom w:val="single" w:color="D1D9E6" w:sz="1"/>
              <w:right w:val="single" w:color="D1D9E6" w:sz="1"/>
            </w:tcBorders>
            <w:tcMar>
              <w:top w:type="dxa" w:w="80"/>
              <w:left w:type="dxa" w:w="150"/>
              <w:bottom w:type="dxa" w:w="80"/>
              <w:right w:type="dxa" w:w="150"/>
            </w:tcMar>
          </w:tcPr>
          <w:p>
            <w:r>
              <w:rPr>
                <w:rFonts w:ascii="Arial" w:cs="Arial" w:eastAsia="Arial" w:hAnsi="Arial"/>
                <w:color w:val="333333"/>
                <w:sz w:val="21"/>
                <w:szCs w:val="21"/>
              </w:rPr>
              <w:t xml:space="preserve">Real-time dashboards + Weekly/Monthly exportable snapshots</w:t>
            </w:r>
          </w:p>
        </w:tc>
      </w:tr>
      <w:tr>
        <w:tc>
          <w:tcPr>
            <w:tcW w:type="dxa" w:w="2800"/>
            <w:tcBorders>
              <w:top w:val="single" w:color="D1D9E6" w:sz="1"/>
              <w:left w:val="single" w:color="D1D9E6" w:sz="1"/>
              <w:bottom w:val="single" w:color="D1D9E6" w:sz="1"/>
              <w:right w:val="single" w:color="D1D9E6" w:sz="1"/>
            </w:tcBorders>
            <w:shd w:fill="F5F7FA" w:val="clear"/>
            <w:tcMar>
              <w:top w:type="dxa" w:w="80"/>
              <w:left w:type="dxa" w:w="150"/>
              <w:bottom w:type="dxa" w:w="80"/>
              <w:right w:type="dxa" w:w="150"/>
            </w:tcMar>
          </w:tcPr>
          <w:p>
            <w:r>
              <w:rPr>
                <w:rFonts w:ascii="Arial" w:cs="Arial" w:eastAsia="Arial" w:hAnsi="Arial"/>
                <w:b/>
                <w:bCs/>
                <w:color w:val="1A56B0"/>
                <w:sz w:val="21"/>
                <w:szCs w:val="21"/>
              </w:rPr>
              <w:t xml:space="preserve">Output Formats</w:t>
            </w:r>
          </w:p>
        </w:tc>
        <w:tc>
          <w:tcPr>
            <w:tcW w:type="dxa" w:w="6560"/>
            <w:tcBorders>
              <w:top w:val="single" w:color="D1D9E6" w:sz="1"/>
              <w:left w:val="single" w:color="D1D9E6" w:sz="1"/>
              <w:bottom w:val="single" w:color="D1D9E6" w:sz="1"/>
              <w:right w:val="single" w:color="D1D9E6" w:sz="1"/>
            </w:tcBorders>
            <w:tcMar>
              <w:top w:type="dxa" w:w="80"/>
              <w:left w:type="dxa" w:w="150"/>
              <w:bottom w:type="dxa" w:w="80"/>
              <w:right w:type="dxa" w:w="150"/>
            </w:tcMar>
          </w:tcPr>
          <w:p>
            <w:r>
              <w:rPr>
                <w:rFonts w:ascii="Arial" w:cs="Arial" w:eastAsia="Arial" w:hAnsi="Arial"/>
                <w:color w:val="333333"/>
                <w:sz w:val="21"/>
                <w:szCs w:val="21"/>
              </w:rPr>
              <w:t xml:space="preserve">PDF, Excel, In-app visual dashboard</w:t>
            </w:r>
          </w:p>
        </w:tc>
      </w:tr>
      <w:tr>
        <w:tc>
          <w:tcPr>
            <w:tcW w:type="dxa" w:w="2800"/>
            <w:tcBorders>
              <w:top w:val="single" w:color="D1D9E6" w:sz="1"/>
              <w:left w:val="single" w:color="D1D9E6" w:sz="1"/>
              <w:bottom w:val="single" w:color="D1D9E6" w:sz="1"/>
              <w:right w:val="single" w:color="D1D9E6" w:sz="1"/>
            </w:tcBorders>
            <w:shd w:fill="F5F7FA" w:val="clear"/>
            <w:tcMar>
              <w:top w:type="dxa" w:w="80"/>
              <w:left w:type="dxa" w:w="150"/>
              <w:bottom w:type="dxa" w:w="80"/>
              <w:right w:type="dxa" w:w="150"/>
            </w:tcMar>
          </w:tcPr>
          <w:p>
            <w:r>
              <w:rPr>
                <w:rFonts w:ascii="Arial" w:cs="Arial" w:eastAsia="Arial" w:hAnsi="Arial"/>
                <w:b/>
                <w:bCs/>
                <w:color w:val="1A56B0"/>
                <w:sz w:val="21"/>
                <w:szCs w:val="21"/>
              </w:rPr>
              <w:t xml:space="preserve">Access Control</w:t>
            </w:r>
          </w:p>
        </w:tc>
        <w:tc>
          <w:tcPr>
            <w:tcW w:type="dxa" w:w="6560"/>
            <w:tcBorders>
              <w:top w:val="single" w:color="D1D9E6" w:sz="1"/>
              <w:left w:val="single" w:color="D1D9E6" w:sz="1"/>
              <w:bottom w:val="single" w:color="D1D9E6" w:sz="1"/>
              <w:right w:val="single" w:color="D1D9E6" w:sz="1"/>
            </w:tcBorders>
            <w:tcMar>
              <w:top w:type="dxa" w:w="80"/>
              <w:left w:type="dxa" w:w="150"/>
              <w:bottom w:type="dxa" w:w="80"/>
              <w:right w:type="dxa" w:w="150"/>
            </w:tcMar>
          </w:tcPr>
          <w:p>
            <w:r>
              <w:rPr>
                <w:rFonts w:ascii="Arial" w:cs="Arial" w:eastAsia="Arial" w:hAnsi="Arial"/>
                <w:color w:val="333333"/>
                <w:sz w:val="21"/>
                <w:szCs w:val="21"/>
              </w:rPr>
              <w:t xml:space="preserve">Role-based — Institute Admin sees all; Department Head sees own dept.</w:t>
            </w:r>
          </w:p>
        </w:tc>
      </w:tr>
    </w:tbl>
    <w:p>
      <w:pPr>
        <w:spacing w:before="160" w:after="160"/>
      </w:pPr>
    </w:p>
    <w:p>
      <w:pPr>
        <w:spacing w:before="240" w:after="100"/>
      </w:pPr>
      <w:r>
        <w:rPr>
          <w:rFonts w:ascii="Arial" w:cs="Arial" w:eastAsia="Arial" w:hAnsi="Arial"/>
          <w:b/>
          <w:bCs/>
          <w:color w:val="1A56B0"/>
          <w:sz w:val="26"/>
          <w:szCs w:val="26"/>
        </w:rPr>
        <w:t xml:space="preserve">Purpose &amp; Business Need</w:t>
      </w:r>
    </w:p>
    <w:p>
      <w:pPr>
        <w:spacing w:before="60" w:after="80"/>
        <w:jc w:val="both"/>
      </w:pPr>
      <w:r>
        <w:rPr>
          <w:rFonts w:ascii="Arial" w:cs="Arial" w:eastAsia="Arial" w:hAnsi="Arial"/>
          <w:color w:val="333333"/>
          <w:sz w:val="22"/>
          <w:szCs w:val="22"/>
        </w:rPr>
        <w:t xml:space="preserve">Most institutes have no unified visibility into skill development. Departments operate in silos, and placement officers only see outcomes — not the inputs that led to them. This feature bridges that gap by giving all stakeholders a shared, real-time view of where students stand on skill readiness, tracked against defined benchmarks.</w:t>
      </w:r>
    </w:p>
    <w:p>
      <w:pPr>
        <w:spacing w:before="80" w:after="80"/>
      </w:pPr>
    </w:p>
    <w:p>
      <w:pPr>
        <w:spacing w:before="240" w:after="100"/>
      </w:pPr>
      <w:r>
        <w:rPr>
          <w:rFonts w:ascii="Arial" w:cs="Arial" w:eastAsia="Arial" w:hAnsi="Arial"/>
          <w:b/>
          <w:bCs/>
          <w:color w:val="1A56B0"/>
          <w:sz w:val="26"/>
          <w:szCs w:val="26"/>
        </w:rPr>
        <w:t xml:space="preserve">Core Sub-Features</w:t>
      </w:r>
    </w:p>
    <w:p>
      <w:pPr>
        <w:spacing w:before="240" w:after="100"/>
      </w:pPr>
      <w:r>
        <w:rPr>
          <w:rFonts w:ascii="Arial" w:cs="Arial" w:eastAsia="Arial" w:hAnsi="Arial"/>
          <w:b/>
          <w:bCs/>
          <w:color w:val="16A34A"/>
          <w:sz w:val="26"/>
          <w:szCs w:val="26"/>
        </w:rPr>
        <w:t xml:space="preserve">1.1  Institute-Wide Skill Coverage Map</w:t>
      </w:r>
    </w:p>
    <w:p>
      <w:pPr>
        <w:spacing w:before="60" w:after="80"/>
        <w:jc w:val="both"/>
      </w:pPr>
      <w:r>
        <w:rPr>
          <w:rFonts w:ascii="Arial" w:cs="Arial" w:eastAsia="Arial" w:hAnsi="Arial"/>
          <w:color w:val="333333"/>
          <w:sz w:val="22"/>
          <w:szCs w:val="22"/>
        </w:rPr>
        <w:t xml:space="preserve">A heatmap-style visualization showing which skills are being taught, practiced, and assessed across all departments. Skills are grouped into clusters — Technical, Communication, Analytical, Domain-Specific — and each cluster shows a coverage percentage based on enrolled courses and completed assessments.</w:t>
      </w:r>
    </w:p>
    <w:p>
      <w:pPr>
        <w:pStyle w:val="ListParagraph"/>
        <w:numPr>
          <w:ilvl w:val="0"/>
          <w:numId w:val="2"/>
        </w:numPr>
        <w:spacing w:before="50" w:after="50"/>
      </w:pPr>
      <w:r>
        <w:rPr>
          <w:rFonts w:ascii="Arial" w:cs="Arial" w:eastAsia="Arial" w:hAnsi="Arial"/>
          <w:color w:val="333333"/>
          <w:sz w:val="22"/>
          <w:szCs w:val="22"/>
        </w:rPr>
        <w:t xml:space="preserve">Color-coded intensity: Green (&gt;80%), Yellow (50–80%), Red (&lt;50%)</w:t>
      </w:r>
    </w:p>
    <w:p>
      <w:pPr>
        <w:pStyle w:val="ListParagraph"/>
        <w:numPr>
          <w:ilvl w:val="0"/>
          <w:numId w:val="2"/>
        </w:numPr>
        <w:spacing w:before="50" w:after="50"/>
      </w:pPr>
      <w:r>
        <w:rPr>
          <w:rFonts w:ascii="Arial" w:cs="Arial" w:eastAsia="Arial" w:hAnsi="Arial"/>
          <w:color w:val="333333"/>
          <w:sz w:val="22"/>
          <w:szCs w:val="22"/>
        </w:rPr>
        <w:t xml:space="preserve">Drill-down by department, semester, or batch year</w:t>
      </w:r>
    </w:p>
    <w:p>
      <w:pPr>
        <w:pStyle w:val="ListParagraph"/>
        <w:numPr>
          <w:ilvl w:val="0"/>
          <w:numId w:val="2"/>
        </w:numPr>
        <w:spacing w:before="50" w:after="50"/>
      </w:pPr>
      <w:r>
        <w:rPr>
          <w:rFonts w:ascii="Arial" w:cs="Arial" w:eastAsia="Arial" w:hAnsi="Arial"/>
          <w:color w:val="333333"/>
          <w:sz w:val="22"/>
          <w:szCs w:val="22"/>
        </w:rPr>
        <w:t xml:space="preserve">Side-by-side comparison with industry demand benchmarks</w:t>
      </w:r>
    </w:p>
    <w:p>
      <w:pPr>
        <w:pStyle w:val="ListParagraph"/>
        <w:numPr>
          <w:ilvl w:val="0"/>
          <w:numId w:val="2"/>
        </w:numPr>
        <w:spacing w:before="50" w:after="50"/>
      </w:pPr>
      <w:r>
        <w:rPr>
          <w:rFonts w:ascii="Arial" w:cs="Arial" w:eastAsia="Arial" w:hAnsi="Arial"/>
          <w:color w:val="333333"/>
          <w:sz w:val="22"/>
          <w:szCs w:val="22"/>
        </w:rPr>
        <w:t xml:space="preserve">Gap alerts when critical skills fall below threshold</w:t>
      </w:r>
    </w:p>
    <w:p>
      <w:pPr>
        <w:spacing w:before="80" w:after="80"/>
      </w:pPr>
    </w:p>
    <w:p>
      <w:pPr>
        <w:spacing w:before="240" w:after="100"/>
      </w:pPr>
      <w:r>
        <w:rPr>
          <w:rFonts w:ascii="Arial" w:cs="Arial" w:eastAsia="Arial" w:hAnsi="Arial"/>
          <w:b/>
          <w:bCs/>
          <w:color w:val="16A34A"/>
          <w:sz w:val="26"/>
          <w:szCs w:val="26"/>
        </w:rPr>
        <w:t xml:space="preserve">1.2  Individual Student Skill Progression Tracker</w:t>
      </w:r>
    </w:p>
    <w:p>
      <w:pPr>
        <w:spacing w:before="60" w:after="80"/>
        <w:jc w:val="both"/>
      </w:pPr>
      <w:r>
        <w:rPr>
          <w:rFonts w:ascii="Arial" w:cs="Arial" w:eastAsia="Arial" w:hAnsi="Arial"/>
          <w:color w:val="333333"/>
          <w:sz w:val="22"/>
          <w:szCs w:val="22"/>
        </w:rPr>
        <w:t xml:space="preserve">Each student has a longitudinal skill profile that tracks how their competency in each skill has grown over time. The school can view these individually or as an aggregated cohort curve.</w:t>
      </w:r>
    </w:p>
    <w:p>
      <w:pPr>
        <w:pStyle w:val="ListParagraph"/>
        <w:numPr>
          <w:ilvl w:val="0"/>
          <w:numId w:val="2"/>
        </w:numPr>
        <w:spacing w:before="50" w:after="50"/>
      </w:pPr>
      <w:r>
        <w:rPr>
          <w:rFonts w:ascii="Arial" w:cs="Arial" w:eastAsia="Arial" w:hAnsi="Arial"/>
          <w:color w:val="333333"/>
          <w:sz w:val="22"/>
          <w:szCs w:val="22"/>
        </w:rPr>
        <w:t xml:space="preserve">Skill radar charts per student, viewable at school level</w:t>
      </w:r>
    </w:p>
    <w:p>
      <w:pPr>
        <w:pStyle w:val="ListParagraph"/>
        <w:numPr>
          <w:ilvl w:val="0"/>
          <w:numId w:val="2"/>
        </w:numPr>
        <w:spacing w:before="50" w:after="50"/>
      </w:pPr>
      <w:r>
        <w:rPr>
          <w:rFonts w:ascii="Arial" w:cs="Arial" w:eastAsia="Arial" w:hAnsi="Arial"/>
          <w:color w:val="333333"/>
          <w:sz w:val="22"/>
          <w:szCs w:val="22"/>
        </w:rPr>
        <w:t xml:space="preserve">Progression lines showing growth from enrollment to present</w:t>
      </w:r>
    </w:p>
    <w:p>
      <w:pPr>
        <w:pStyle w:val="ListParagraph"/>
        <w:numPr>
          <w:ilvl w:val="0"/>
          <w:numId w:val="2"/>
        </w:numPr>
        <w:spacing w:before="50" w:after="50"/>
      </w:pPr>
      <w:r>
        <w:rPr>
          <w:rFonts w:ascii="Arial" w:cs="Arial" w:eastAsia="Arial" w:hAnsi="Arial"/>
          <w:color w:val="333333"/>
          <w:sz w:val="22"/>
          <w:szCs w:val="22"/>
        </w:rPr>
        <w:t xml:space="preserve">Peer benchmarking — where a student stands relative to their cohort</w:t>
      </w:r>
    </w:p>
    <w:p>
      <w:pPr>
        <w:pStyle w:val="ListParagraph"/>
        <w:numPr>
          <w:ilvl w:val="0"/>
          <w:numId w:val="2"/>
        </w:numPr>
        <w:spacing w:before="50" w:after="50"/>
      </w:pPr>
      <w:r>
        <w:rPr>
          <w:rFonts w:ascii="Arial" w:cs="Arial" w:eastAsia="Arial" w:hAnsi="Arial"/>
          <w:color w:val="333333"/>
          <w:sz w:val="22"/>
          <w:szCs w:val="22"/>
        </w:rPr>
        <w:t xml:space="preserve">Flags for stagnation — skills with no progression in 30+ days</w:t>
      </w:r>
    </w:p>
    <w:p>
      <w:pPr>
        <w:spacing w:before="80" w:after="80"/>
      </w:pPr>
    </w:p>
    <w:p>
      <w:pPr>
        <w:spacing w:before="240" w:after="100"/>
      </w:pPr>
      <w:r>
        <w:rPr>
          <w:rFonts w:ascii="Arial" w:cs="Arial" w:eastAsia="Arial" w:hAnsi="Arial"/>
          <w:b/>
          <w:bCs/>
          <w:color w:val="16A34A"/>
          <w:sz w:val="26"/>
          <w:szCs w:val="26"/>
        </w:rPr>
        <w:t xml:space="preserve">1.3  Cohort-Level Skill Aggregates</w:t>
      </w:r>
    </w:p>
    <w:p>
      <w:pPr>
        <w:spacing w:before="60" w:after="80"/>
        <w:jc w:val="both"/>
      </w:pPr>
      <w:r>
        <w:rPr>
          <w:rFonts w:ascii="Arial" w:cs="Arial" w:eastAsia="Arial" w:hAnsi="Arial"/>
          <w:color w:val="333333"/>
          <w:sz w:val="22"/>
          <w:szCs w:val="22"/>
        </w:rPr>
        <w:t xml:space="preserve">Group students by batch, semester, or specialization to generate cohort-level skill summaries. This allows the placement team to assess entire batches before campus drives begin.</w:t>
      </w:r>
    </w:p>
    <w:p>
      <w:pPr>
        <w:pStyle w:val="ListParagraph"/>
        <w:numPr>
          <w:ilvl w:val="0"/>
          <w:numId w:val="2"/>
        </w:numPr>
        <w:spacing w:before="50" w:after="50"/>
      </w:pPr>
      <w:r>
        <w:rPr>
          <w:rFonts w:ascii="Arial" w:cs="Arial" w:eastAsia="Arial" w:hAnsi="Arial"/>
          <w:color w:val="333333"/>
          <w:sz w:val="22"/>
          <w:szCs w:val="22"/>
        </w:rPr>
        <w:t xml:space="preserve">Average skill score per cohort per skill domain</w:t>
      </w:r>
    </w:p>
    <w:p>
      <w:pPr>
        <w:pStyle w:val="ListParagraph"/>
        <w:numPr>
          <w:ilvl w:val="0"/>
          <w:numId w:val="2"/>
        </w:numPr>
        <w:spacing w:before="50" w:after="50"/>
      </w:pPr>
      <w:r>
        <w:rPr>
          <w:rFonts w:ascii="Arial" w:cs="Arial" w:eastAsia="Arial" w:hAnsi="Arial"/>
          <w:color w:val="333333"/>
          <w:sz w:val="22"/>
          <w:szCs w:val="22"/>
        </w:rPr>
        <w:t xml:space="preserve">Cohort readiness percentage (defined by minimum skill thresholds)</w:t>
      </w:r>
    </w:p>
    <w:p>
      <w:pPr>
        <w:pStyle w:val="ListParagraph"/>
        <w:numPr>
          <w:ilvl w:val="0"/>
          <w:numId w:val="2"/>
        </w:numPr>
        <w:spacing w:before="50" w:after="50"/>
      </w:pPr>
      <w:r>
        <w:rPr>
          <w:rFonts w:ascii="Arial" w:cs="Arial" w:eastAsia="Arial" w:hAnsi="Arial"/>
          <w:color w:val="333333"/>
          <w:sz w:val="22"/>
          <w:szCs w:val="22"/>
        </w:rPr>
        <w:t xml:space="preserve">Trend comparison: current batch vs. previous batch at same stage</w:t>
      </w:r>
    </w:p>
    <w:p>
      <w:pPr>
        <w:pStyle w:val="ListParagraph"/>
        <w:numPr>
          <w:ilvl w:val="0"/>
          <w:numId w:val="2"/>
        </w:numPr>
        <w:spacing w:before="50" w:after="50"/>
      </w:pPr>
      <w:r>
        <w:rPr>
          <w:rFonts w:ascii="Arial" w:cs="Arial" w:eastAsia="Arial" w:hAnsi="Arial"/>
          <w:color w:val="333333"/>
          <w:sz w:val="22"/>
          <w:szCs w:val="22"/>
        </w:rPr>
        <w:t xml:space="preserve">Export cohort report as recruiter-ready PDF for employer sharing</w:t>
      </w:r>
    </w:p>
    <w:p>
      <w:pPr>
        <w:spacing w:before="80" w:after="80"/>
      </w:pPr>
    </w:p>
    <w:p>
      <w:pPr>
        <w:spacing w:before="240" w:after="100"/>
      </w:pPr>
      <w:r>
        <w:rPr>
          <w:rFonts w:ascii="Arial" w:cs="Arial" w:eastAsia="Arial" w:hAnsi="Arial"/>
          <w:b/>
          <w:bCs/>
          <w:color w:val="16A34A"/>
          <w:sz w:val="26"/>
          <w:szCs w:val="26"/>
        </w:rPr>
        <w:t xml:space="preserve">1.4  Curriculum Effectiveness Analysis</w:t>
      </w:r>
    </w:p>
    <w:p>
      <w:pPr>
        <w:spacing w:before="60" w:after="80"/>
        <w:jc w:val="both"/>
      </w:pPr>
      <w:r>
        <w:rPr>
          <w:rFonts w:ascii="Arial" w:cs="Arial" w:eastAsia="Arial" w:hAnsi="Arial"/>
          <w:color w:val="333333"/>
          <w:sz w:val="22"/>
          <w:szCs w:val="22"/>
        </w:rPr>
        <w:t xml:space="preserve">Correlates course content to skill outcomes. Identifies which courses are effectively developing targeted skills and which are not contributing to measurable skill growth.</w:t>
      </w:r>
    </w:p>
    <w:p>
      <w:pPr>
        <w:pStyle w:val="ListParagraph"/>
        <w:numPr>
          <w:ilvl w:val="0"/>
          <w:numId w:val="2"/>
        </w:numPr>
        <w:spacing w:before="50" w:after="50"/>
      </w:pPr>
      <w:r>
        <w:rPr>
          <w:rFonts w:ascii="Arial" w:cs="Arial" w:eastAsia="Arial" w:hAnsi="Arial"/>
          <w:color w:val="333333"/>
          <w:sz w:val="22"/>
          <w:szCs w:val="22"/>
        </w:rPr>
        <w:t xml:space="preserve">Course-to-skill mapping with outcome correlation score</w:t>
      </w:r>
    </w:p>
    <w:p>
      <w:pPr>
        <w:pStyle w:val="ListParagraph"/>
        <w:numPr>
          <w:ilvl w:val="0"/>
          <w:numId w:val="2"/>
        </w:numPr>
        <w:spacing w:before="50" w:after="50"/>
      </w:pPr>
      <w:r>
        <w:rPr>
          <w:rFonts w:ascii="Arial" w:cs="Arial" w:eastAsia="Arial" w:hAnsi="Arial"/>
          <w:color w:val="333333"/>
          <w:sz w:val="22"/>
          <w:szCs w:val="22"/>
        </w:rPr>
        <w:t xml:space="preserve">Identifies underperforming courses with low skill-lift rates</w:t>
      </w:r>
    </w:p>
    <w:p>
      <w:pPr>
        <w:pStyle w:val="ListParagraph"/>
        <w:numPr>
          <w:ilvl w:val="0"/>
          <w:numId w:val="2"/>
        </w:numPr>
        <w:spacing w:before="50" w:after="50"/>
      </w:pPr>
      <w:r>
        <w:rPr>
          <w:rFonts w:ascii="Arial" w:cs="Arial" w:eastAsia="Arial" w:hAnsi="Arial"/>
          <w:color w:val="333333"/>
          <w:sz w:val="22"/>
          <w:szCs w:val="22"/>
        </w:rPr>
        <w:t xml:space="preserve">Recommends reallocation of training hours based on ROI per skill</w:t>
      </w:r>
    </w:p>
    <w:p>
      <w:pPr>
        <w:pStyle w:val="ListParagraph"/>
        <w:numPr>
          <w:ilvl w:val="0"/>
          <w:numId w:val="2"/>
        </w:numPr>
        <w:spacing w:before="50" w:after="50"/>
      </w:pPr>
      <w:r>
        <w:rPr>
          <w:rFonts w:ascii="Arial" w:cs="Arial" w:eastAsia="Arial" w:hAnsi="Arial"/>
          <w:color w:val="333333"/>
          <w:sz w:val="22"/>
          <w:szCs w:val="22"/>
        </w:rPr>
        <w:t xml:space="preserve">Faculty-facing view: shows each teacher the skill outcomes of their course</w:t>
      </w:r>
    </w:p>
    <w:p>
      <w:pPr>
        <w:spacing w:before="80" w:after="80"/>
      </w:pPr>
    </w:p>
    <w:p>
      <w:pPr>
        <w:spacing w:before="240" w:after="100"/>
      </w:pPr>
      <w:r>
        <w:rPr>
          <w:rFonts w:ascii="Arial" w:cs="Arial" w:eastAsia="Arial" w:hAnsi="Arial"/>
          <w:b/>
          <w:bCs/>
          <w:color w:val="16A34A"/>
          <w:sz w:val="26"/>
          <w:szCs w:val="26"/>
        </w:rPr>
        <w:t xml:space="preserve">1.5  Skill Gap Alert System</w:t>
      </w:r>
    </w:p>
    <w:p>
      <w:pPr>
        <w:spacing w:before="60" w:after="80"/>
        <w:jc w:val="both"/>
      </w:pPr>
      <w:r>
        <w:rPr>
          <w:rFonts w:ascii="Arial" w:cs="Arial" w:eastAsia="Arial" w:hAnsi="Arial"/>
          <w:color w:val="333333"/>
          <w:sz w:val="22"/>
          <w:szCs w:val="22"/>
        </w:rPr>
        <w:t xml:space="preserve">Automated notifications sent to placement officers, HODs, and academic directors when skill coverage falls below defined thresholds — either institution-wide, at the department level, or for specific student groups.</w:t>
      </w:r>
    </w:p>
    <w:p>
      <w:pPr>
        <w:pStyle w:val="ListParagraph"/>
        <w:numPr>
          <w:ilvl w:val="0"/>
          <w:numId w:val="2"/>
        </w:numPr>
        <w:spacing w:before="50" w:after="50"/>
      </w:pPr>
      <w:r>
        <w:rPr>
          <w:rFonts w:ascii="Arial" w:cs="Arial" w:eastAsia="Arial" w:hAnsi="Arial"/>
          <w:color w:val="333333"/>
          <w:sz w:val="22"/>
          <w:szCs w:val="22"/>
        </w:rPr>
        <w:t xml:space="preserve">Configurable alert thresholds per skill and per audience</w:t>
      </w:r>
    </w:p>
    <w:p>
      <w:pPr>
        <w:pStyle w:val="ListParagraph"/>
        <w:numPr>
          <w:ilvl w:val="0"/>
          <w:numId w:val="2"/>
        </w:numPr>
        <w:spacing w:before="50" w:after="50"/>
      </w:pPr>
      <w:r>
        <w:rPr>
          <w:rFonts w:ascii="Arial" w:cs="Arial" w:eastAsia="Arial" w:hAnsi="Arial"/>
          <w:color w:val="333333"/>
          <w:sz w:val="22"/>
          <w:szCs w:val="22"/>
        </w:rPr>
        <w:t xml:space="preserve">Alerts delivered via in-app notifications, email, and dashboard badges</w:t>
      </w:r>
    </w:p>
    <w:p>
      <w:pPr>
        <w:pStyle w:val="ListParagraph"/>
        <w:numPr>
          <w:ilvl w:val="0"/>
          <w:numId w:val="2"/>
        </w:numPr>
        <w:spacing w:before="50" w:after="50"/>
      </w:pPr>
      <w:r>
        <w:rPr>
          <w:rFonts w:ascii="Arial" w:cs="Arial" w:eastAsia="Arial" w:hAnsi="Arial"/>
          <w:color w:val="333333"/>
          <w:sz w:val="22"/>
          <w:szCs w:val="22"/>
        </w:rPr>
        <w:t xml:space="preserve">Alert history log for accountability and tracking</w:t>
      </w:r>
    </w:p>
    <w:p>
      <w:pPr>
        <w:pStyle w:val="ListParagraph"/>
        <w:numPr>
          <w:ilvl w:val="0"/>
          <w:numId w:val="2"/>
        </w:numPr>
        <w:spacing w:before="50" w:after="50"/>
      </w:pPr>
      <w:r>
        <w:rPr>
          <w:rFonts w:ascii="Arial" w:cs="Arial" w:eastAsia="Arial" w:hAnsi="Arial"/>
          <w:color w:val="333333"/>
          <w:sz w:val="22"/>
          <w:szCs w:val="22"/>
        </w:rPr>
        <w:t xml:space="preserve">Suggested corrective actions: recommend specific courses or bootcamps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640"/>
      </w:tblGrid>
      <w:tr>
        <w:tc>
          <w:tcPr>
            <w:tcW w:type="dxa" w:w="4640"/>
            <w:tcBorders>
              <w:top w:val="single" w:color="D1D9E6" w:sz="1"/>
              <w:left w:val="single" w:color="D1D9E6" w:sz="1"/>
              <w:bottom w:val="single" w:color="D1D9E6" w:sz="1"/>
              <w:right w:val="single" w:color="D1D9E6" w:sz="1"/>
            </w:tcBorders>
            <w:shd w:fill="FFF1F1" w:val="clear"/>
            <w:tcMar>
              <w:top w:type="dxa" w:w="120"/>
              <w:left w:type="dxa" w:w="160"/>
              <w:bottom w:type="dxa" w:w="120"/>
              <w:right w:type="dxa" w:w="160"/>
            </w:tcMar>
          </w:tcPr>
          <w:p>
            <w:pPr>
              <w:spacing w:before="40" w:after="80"/>
            </w:pPr>
            <w:r>
              <w:rPr>
                <w:rFonts w:ascii="Arial" w:cs="Arial" w:eastAsia="Arial" w:hAnsi="Arial"/>
                <w:b/>
                <w:bCs/>
                <w:color w:val="DC2626"/>
                <w:sz w:val="22"/>
                <w:szCs w:val="22"/>
              </w:rPr>
              <w:t xml:space="preserve">What This Feature Solves</w:t>
            </w:r>
          </w:p>
          <w:p>
            <w:pPr>
              <w:spacing w:before="40" w:after="40"/>
            </w:pPr>
            <w:r>
              <w:rPr>
                <w:rFonts w:ascii="Arial" w:cs="Arial" w:eastAsia="Arial" w:hAnsi="Arial"/>
                <w:b/>
                <w:bCs/>
                <w:color w:val="DC2626"/>
                <w:sz w:val="21"/>
                <w:szCs w:val="21"/>
              </w:rPr>
              <w:t xml:space="preserve">• </w:t>
            </w:r>
            <w:r>
              <w:rPr>
                <w:rFonts w:ascii="Arial" w:cs="Arial" w:eastAsia="Arial" w:hAnsi="Arial"/>
                <w:color w:val="333333"/>
                <w:sz w:val="21"/>
                <w:szCs w:val="21"/>
              </w:rPr>
              <w:t xml:space="preserve">No unified skill visibility across departments</w:t>
            </w:r>
          </w:p>
          <w:p>
            <w:pPr>
              <w:spacing w:before="40" w:after="40"/>
            </w:pPr>
            <w:r>
              <w:rPr>
                <w:rFonts w:ascii="Arial" w:cs="Arial" w:eastAsia="Arial" w:hAnsi="Arial"/>
                <w:b/>
                <w:bCs/>
                <w:color w:val="DC2626"/>
                <w:sz w:val="21"/>
                <w:szCs w:val="21"/>
              </w:rPr>
              <w:t xml:space="preserve">• </w:t>
            </w:r>
            <w:r>
              <w:rPr>
                <w:rFonts w:ascii="Arial" w:cs="Arial" w:eastAsia="Arial" w:hAnsi="Arial"/>
                <w:color w:val="333333"/>
                <w:sz w:val="21"/>
                <w:szCs w:val="21"/>
              </w:rPr>
              <w:t xml:space="preserve">Placement officers working blind on skill gaps</w:t>
            </w:r>
          </w:p>
          <w:p>
            <w:pPr>
              <w:spacing w:before="40" w:after="40"/>
            </w:pPr>
            <w:r>
              <w:rPr>
                <w:rFonts w:ascii="Arial" w:cs="Arial" w:eastAsia="Arial" w:hAnsi="Arial"/>
                <w:b/>
                <w:bCs/>
                <w:color w:val="DC2626"/>
                <w:sz w:val="21"/>
                <w:szCs w:val="21"/>
              </w:rPr>
              <w:t xml:space="preserve">• </w:t>
            </w:r>
            <w:r>
              <w:rPr>
                <w:rFonts w:ascii="Arial" w:cs="Arial" w:eastAsia="Arial" w:hAnsi="Arial"/>
                <w:color w:val="333333"/>
                <w:sz w:val="21"/>
                <w:szCs w:val="21"/>
              </w:rPr>
              <w:t xml:space="preserve">No way to compare cohort readiness year-over-year</w:t>
            </w:r>
          </w:p>
          <w:p>
            <w:pPr>
              <w:spacing w:before="40" w:after="40"/>
            </w:pPr>
            <w:r>
              <w:rPr>
                <w:rFonts w:ascii="Arial" w:cs="Arial" w:eastAsia="Arial" w:hAnsi="Arial"/>
                <w:b/>
                <w:bCs/>
                <w:color w:val="DC2626"/>
                <w:sz w:val="21"/>
                <w:szCs w:val="21"/>
              </w:rPr>
              <w:t xml:space="preserve">• </w:t>
            </w:r>
            <w:r>
              <w:rPr>
                <w:rFonts w:ascii="Arial" w:cs="Arial" w:eastAsia="Arial" w:hAnsi="Arial"/>
                <w:color w:val="333333"/>
                <w:sz w:val="21"/>
                <w:szCs w:val="21"/>
              </w:rPr>
              <w:t xml:space="preserve">Reactive problem-solving instead of proactive planning</w:t>
            </w:r>
          </w:p>
        </w:tc>
        <w:tc>
          <w:tcPr>
            <w:tcW w:type="dxa" w:w="4640"/>
            <w:tcBorders>
              <w:top w:val="single" w:color="D1D9E6" w:sz="1"/>
              <w:left w:val="single" w:color="D1D9E6" w:sz="1"/>
              <w:bottom w:val="single" w:color="D1D9E6" w:sz="1"/>
              <w:right w:val="single" w:color="D1D9E6" w:sz="1"/>
            </w:tcBorders>
            <w:shd w:fill="F0FFF4" w:val="clear"/>
            <w:tcMar>
              <w:top w:type="dxa" w:w="120"/>
              <w:left w:type="dxa" w:w="160"/>
              <w:bottom w:type="dxa" w:w="120"/>
              <w:right w:type="dxa" w:w="160"/>
            </w:tcMar>
          </w:tcPr>
          <w:p>
            <w:pPr>
              <w:spacing w:before="40" w:after="80"/>
            </w:pPr>
            <w:r>
              <w:rPr>
                <w:rFonts w:ascii="Arial" w:cs="Arial" w:eastAsia="Arial" w:hAnsi="Arial"/>
                <w:b/>
                <w:bCs/>
                <w:color w:val="16A34A"/>
                <w:sz w:val="22"/>
                <w:szCs w:val="22"/>
              </w:rPr>
              <w:t xml:space="preserve">Business Impact</w:t>
            </w:r>
          </w:p>
          <w:p>
            <w:pPr>
              <w:spacing w:before="40" w:after="40"/>
            </w:pPr>
            <w:r>
              <w:rPr>
                <w:rFonts w:ascii="Arial" w:cs="Arial" w:eastAsia="Arial" w:hAnsi="Arial"/>
                <w:b/>
                <w:bCs/>
                <w:color w:val="16A34A"/>
                <w:sz w:val="21"/>
                <w:szCs w:val="21"/>
              </w:rPr>
              <w:t xml:space="preserve">• </w:t>
            </w:r>
            <w:r>
              <w:rPr>
                <w:rFonts w:ascii="Arial" w:cs="Arial" w:eastAsia="Arial" w:hAnsi="Arial"/>
                <w:color w:val="333333"/>
                <w:sz w:val="21"/>
                <w:szCs w:val="21"/>
              </w:rPr>
              <w:t xml:space="preserve">Institutes can make evidence-based curriculum decisions</w:t>
            </w:r>
          </w:p>
          <w:p>
            <w:pPr>
              <w:spacing w:before="40" w:after="40"/>
            </w:pPr>
            <w:r>
              <w:rPr>
                <w:rFonts w:ascii="Arial" w:cs="Arial" w:eastAsia="Arial" w:hAnsi="Arial"/>
                <w:b/>
                <w:bCs/>
                <w:color w:val="16A34A"/>
                <w:sz w:val="21"/>
                <w:szCs w:val="21"/>
              </w:rPr>
              <w:t xml:space="preserve">• </w:t>
            </w:r>
            <w:r>
              <w:rPr>
                <w:rFonts w:ascii="Arial" w:cs="Arial" w:eastAsia="Arial" w:hAnsi="Arial"/>
                <w:color w:val="333333"/>
                <w:sz w:val="21"/>
                <w:szCs w:val="21"/>
              </w:rPr>
              <w:t xml:space="preserve">Placement officers know exactly where to focus before drives</w:t>
            </w:r>
          </w:p>
          <w:p>
            <w:pPr>
              <w:spacing w:before="40" w:after="40"/>
            </w:pPr>
            <w:r>
              <w:rPr>
                <w:rFonts w:ascii="Arial" w:cs="Arial" w:eastAsia="Arial" w:hAnsi="Arial"/>
                <w:b/>
                <w:bCs/>
                <w:color w:val="16A34A"/>
                <w:sz w:val="21"/>
                <w:szCs w:val="21"/>
              </w:rPr>
              <w:t xml:space="preserve">• </w:t>
            </w:r>
            <w:r>
              <w:rPr>
                <w:rFonts w:ascii="Arial" w:cs="Arial" w:eastAsia="Arial" w:hAnsi="Arial"/>
                <w:color w:val="333333"/>
                <w:sz w:val="21"/>
                <w:szCs w:val="21"/>
              </w:rPr>
              <w:t xml:space="preserve">Employers trust institutes that present skill data</w:t>
            </w:r>
          </w:p>
          <w:p>
            <w:pPr>
              <w:spacing w:before="40" w:after="40"/>
            </w:pPr>
            <w:r>
              <w:rPr>
                <w:rFonts w:ascii="Arial" w:cs="Arial" w:eastAsia="Arial" w:hAnsi="Arial"/>
                <w:b/>
                <w:bCs/>
                <w:color w:val="16A34A"/>
                <w:sz w:val="21"/>
                <w:szCs w:val="21"/>
              </w:rPr>
              <w:t xml:space="preserve">• </w:t>
            </w:r>
            <w:r>
              <w:rPr>
                <w:rFonts w:ascii="Arial" w:cs="Arial" w:eastAsia="Arial" w:hAnsi="Arial"/>
                <w:color w:val="333333"/>
                <w:sz w:val="21"/>
                <w:szCs w:val="21"/>
              </w:rPr>
              <w:t xml:space="preserve">Reduces post-placement attrition from skill mismatch</w:t>
            </w:r>
          </w:p>
        </w:tc>
      </w:tr>
    </w:tbl>
    <w:p>
      <w:pPr>
        <w:spacing w:before="80" w:after="80"/>
      </w:pPr>
    </w:p>
    <w:p>
      <w:r>
        <w:br w:type="page"/>
      </w:r>
    </w:p>
    <w:p>
      <w:pPr>
        <w:spacing w:before="480" w:after="120"/>
      </w:pPr>
      <w:r>
        <w:rPr>
          <w:rFonts w:ascii="Arial" w:cs="Arial" w:eastAsia="Arial" w:hAnsi="Arial"/>
          <w:b/>
          <w:bCs/>
          <w:color w:val="AAAAAA"/>
          <w:sz w:val="28"/>
          <w:szCs w:val="28"/>
        </w:rPr>
        <w:t xml:space="preserve">Feature 02  </w:t>
      </w:r>
      <w:r>
        <w:rPr>
          <w:rFonts w:ascii="Arial" w:cs="Arial" w:eastAsia="Arial" w:hAnsi="Arial"/>
          <w:b/>
          <w:bCs/>
          <w:color w:val="16A34A"/>
          <w:sz w:val="36"/>
          <w:szCs w:val="36"/>
        </w:rPr>
        <w:t xml:space="preserve">Student Employability Reports</w:t>
      </w:r>
    </w:p>
    <w:p>
      <w:pPr>
        <w:pBdr>
          <w:bottom w:val="single" w:color="16A34A" w:sz="8" w:space="1"/>
        </w:pBdr>
        <w:spacing w:before="80" w:after="200"/>
      </w:pPr>
    </w:p>
    <w:p>
      <w:pPr>
        <w:spacing w:before="240" w:after="100"/>
      </w:pPr>
      <w:r>
        <w:rPr>
          <w:rFonts w:ascii="Arial" w:cs="Arial" w:eastAsia="Arial" w:hAnsi="Arial"/>
          <w:b/>
          <w:bCs/>
          <w:color w:val="1A56B0"/>
          <w:sz w:val="26"/>
          <w:szCs w:val="26"/>
        </w:rPr>
        <w:t xml:space="preserve">Overview</w:t>
      </w:r>
    </w:p>
    <w:p>
      <w:pPr>
        <w:spacing w:before="60" w:after="80"/>
        <w:jc w:val="both"/>
      </w:pPr>
      <w:r>
        <w:rPr>
          <w:rFonts w:ascii="Arial" w:cs="Arial" w:eastAsia="Arial" w:hAnsi="Arial"/>
          <w:color w:val="333333"/>
          <w:sz w:val="22"/>
          <w:szCs w:val="22"/>
        </w:rPr>
        <w:t xml:space="preserve">The Student Employability Reports feature generates a structured, multi-dimensional profile for each student that quantifies their readiness for employment. Rather than relying on academic scores alone, the system evaluates students across five dimensions — technical skills, communication ability, behavioral competencies, domain knowledge, and activity engagement — and synthesizes them into a single Employability Score (ES).</w:t>
      </w:r>
    </w:p>
    <w:p>
      <w:pPr>
        <w:spacing w:before="60" w:after="80"/>
        <w:jc w:val="both"/>
      </w:pPr>
      <w:r>
        <w:rPr>
          <w:rFonts w:ascii="Arial" w:cs="Arial" w:eastAsia="Arial" w:hAnsi="Arial"/>
          <w:color w:val="333333"/>
          <w:sz w:val="22"/>
          <w:szCs w:val="22"/>
        </w:rPr>
        <w:t xml:space="preserve">This report is used internally by placement teams to prioritize students for career support, and externally by employers who want to see standardized, verified readiness data rather than self-reported resumes.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9E6" w:sz="1"/>
              <w:left w:val="single" w:color="D1D9E6" w:sz="1"/>
              <w:bottom w:val="single" w:color="D1D9E6" w:sz="1"/>
              <w:right w:val="single" w:color="D1D9E6" w:sz="1"/>
            </w:tcBorders>
            <w:shd w:fill="F5F7FA" w:val="clear"/>
            <w:tcMar>
              <w:top w:type="dxa" w:w="80"/>
              <w:left w:type="dxa" w:w="150"/>
              <w:bottom w:type="dxa" w:w="80"/>
              <w:right w:type="dxa" w:w="150"/>
            </w:tcMar>
          </w:tcPr>
          <w:p>
            <w:r>
              <w:rPr>
                <w:rFonts w:ascii="Arial" w:cs="Arial" w:eastAsia="Arial" w:hAnsi="Arial"/>
                <w:b/>
                <w:bCs/>
                <w:color w:val="1A56B0"/>
                <w:sz w:val="21"/>
                <w:szCs w:val="21"/>
              </w:rPr>
              <w:t xml:space="preserve">Target Users</w:t>
            </w:r>
          </w:p>
        </w:tc>
        <w:tc>
          <w:tcPr>
            <w:tcW w:type="dxa" w:w="6560"/>
            <w:tcBorders>
              <w:top w:val="single" w:color="D1D9E6" w:sz="1"/>
              <w:left w:val="single" w:color="D1D9E6" w:sz="1"/>
              <w:bottom w:val="single" w:color="D1D9E6" w:sz="1"/>
              <w:right w:val="single" w:color="D1D9E6" w:sz="1"/>
            </w:tcBorders>
            <w:tcMar>
              <w:top w:type="dxa" w:w="80"/>
              <w:left w:type="dxa" w:w="150"/>
              <w:bottom w:type="dxa" w:w="80"/>
              <w:right w:type="dxa" w:w="150"/>
            </w:tcMar>
          </w:tcPr>
          <w:p>
            <w:r>
              <w:rPr>
                <w:rFonts w:ascii="Arial" w:cs="Arial" w:eastAsia="Arial" w:hAnsi="Arial"/>
                <w:color w:val="333333"/>
                <w:sz w:val="21"/>
                <w:szCs w:val="21"/>
              </w:rPr>
              <w:t xml:space="preserve">Students, Placement Officers, HODs, Employers (with permission)</w:t>
            </w:r>
          </w:p>
        </w:tc>
      </w:tr>
      <w:tr>
        <w:tc>
          <w:tcPr>
            <w:tcW w:type="dxa" w:w="2800"/>
            <w:tcBorders>
              <w:top w:val="single" w:color="D1D9E6" w:sz="1"/>
              <w:left w:val="single" w:color="D1D9E6" w:sz="1"/>
              <w:bottom w:val="single" w:color="D1D9E6" w:sz="1"/>
              <w:right w:val="single" w:color="D1D9E6" w:sz="1"/>
            </w:tcBorders>
            <w:shd w:fill="F5F7FA" w:val="clear"/>
            <w:tcMar>
              <w:top w:type="dxa" w:w="80"/>
              <w:left w:type="dxa" w:w="150"/>
              <w:bottom w:type="dxa" w:w="80"/>
              <w:right w:type="dxa" w:w="150"/>
            </w:tcMar>
          </w:tcPr>
          <w:p>
            <w:r>
              <w:rPr>
                <w:rFonts w:ascii="Arial" w:cs="Arial" w:eastAsia="Arial" w:hAnsi="Arial"/>
                <w:b/>
                <w:bCs/>
                <w:color w:val="1A56B0"/>
                <w:sz w:val="21"/>
                <w:szCs w:val="21"/>
              </w:rPr>
              <w:t xml:space="preserve">Score Range</w:t>
            </w:r>
          </w:p>
        </w:tc>
        <w:tc>
          <w:tcPr>
            <w:tcW w:type="dxa" w:w="6560"/>
            <w:tcBorders>
              <w:top w:val="single" w:color="D1D9E6" w:sz="1"/>
              <w:left w:val="single" w:color="D1D9E6" w:sz="1"/>
              <w:bottom w:val="single" w:color="D1D9E6" w:sz="1"/>
              <w:right w:val="single" w:color="D1D9E6" w:sz="1"/>
            </w:tcBorders>
            <w:tcMar>
              <w:top w:type="dxa" w:w="80"/>
              <w:left w:type="dxa" w:w="150"/>
              <w:bottom w:type="dxa" w:w="80"/>
              <w:right w:type="dxa" w:w="150"/>
            </w:tcMar>
          </w:tcPr>
          <w:p>
            <w:r>
              <w:rPr>
                <w:rFonts w:ascii="Arial" w:cs="Arial" w:eastAsia="Arial" w:hAnsi="Arial"/>
                <w:color w:val="333333"/>
                <w:sz w:val="21"/>
                <w:szCs w:val="21"/>
              </w:rPr>
              <w:t xml:space="preserve">0–100 Employability Score (ES), broken into 5 dimension sub-scores</w:t>
            </w:r>
          </w:p>
        </w:tc>
      </w:tr>
      <w:tr>
        <w:tc>
          <w:tcPr>
            <w:tcW w:type="dxa" w:w="2800"/>
            <w:tcBorders>
              <w:top w:val="single" w:color="D1D9E6" w:sz="1"/>
              <w:left w:val="single" w:color="D1D9E6" w:sz="1"/>
              <w:bottom w:val="single" w:color="D1D9E6" w:sz="1"/>
              <w:right w:val="single" w:color="D1D9E6" w:sz="1"/>
            </w:tcBorders>
            <w:shd w:fill="F5F7FA" w:val="clear"/>
            <w:tcMar>
              <w:top w:type="dxa" w:w="80"/>
              <w:left w:type="dxa" w:w="150"/>
              <w:bottom w:type="dxa" w:w="80"/>
              <w:right w:type="dxa" w:w="150"/>
            </w:tcMar>
          </w:tcPr>
          <w:p>
            <w:r>
              <w:rPr>
                <w:rFonts w:ascii="Arial" w:cs="Arial" w:eastAsia="Arial" w:hAnsi="Arial"/>
                <w:b/>
                <w:bCs/>
                <w:color w:val="1A56B0"/>
                <w:sz w:val="21"/>
                <w:szCs w:val="21"/>
              </w:rPr>
              <w:t xml:space="preserve">Update Frequency</w:t>
            </w:r>
          </w:p>
        </w:tc>
        <w:tc>
          <w:tcPr>
            <w:tcW w:type="dxa" w:w="6560"/>
            <w:tcBorders>
              <w:top w:val="single" w:color="D1D9E6" w:sz="1"/>
              <w:left w:val="single" w:color="D1D9E6" w:sz="1"/>
              <w:bottom w:val="single" w:color="D1D9E6" w:sz="1"/>
              <w:right w:val="single" w:color="D1D9E6" w:sz="1"/>
            </w:tcBorders>
            <w:tcMar>
              <w:top w:type="dxa" w:w="80"/>
              <w:left w:type="dxa" w:w="150"/>
              <w:bottom w:type="dxa" w:w="80"/>
              <w:right w:type="dxa" w:w="150"/>
            </w:tcMar>
          </w:tcPr>
          <w:p>
            <w:r>
              <w:rPr>
                <w:rFonts w:ascii="Arial" w:cs="Arial" w:eastAsia="Arial" w:hAnsi="Arial"/>
                <w:color w:val="333333"/>
                <w:sz w:val="21"/>
                <w:szCs w:val="21"/>
              </w:rPr>
              <w:t xml:space="preserve">Dynamic — recalculates as new assessments, activities, and outcomes are logged</w:t>
            </w:r>
          </w:p>
        </w:tc>
      </w:tr>
      <w:tr>
        <w:tc>
          <w:tcPr>
            <w:tcW w:type="dxa" w:w="2800"/>
            <w:tcBorders>
              <w:top w:val="single" w:color="D1D9E6" w:sz="1"/>
              <w:left w:val="single" w:color="D1D9E6" w:sz="1"/>
              <w:bottom w:val="single" w:color="D1D9E6" w:sz="1"/>
              <w:right w:val="single" w:color="D1D9E6" w:sz="1"/>
            </w:tcBorders>
            <w:shd w:fill="F5F7FA" w:val="clear"/>
            <w:tcMar>
              <w:top w:type="dxa" w:w="80"/>
              <w:left w:type="dxa" w:w="150"/>
              <w:bottom w:type="dxa" w:w="80"/>
              <w:right w:type="dxa" w:w="150"/>
            </w:tcMar>
          </w:tcPr>
          <w:p>
            <w:r>
              <w:rPr>
                <w:rFonts w:ascii="Arial" w:cs="Arial" w:eastAsia="Arial" w:hAnsi="Arial"/>
                <w:b/>
                <w:bCs/>
                <w:color w:val="1A56B0"/>
                <w:sz w:val="21"/>
                <w:szCs w:val="21"/>
              </w:rPr>
              <w:t xml:space="preserve">Privacy Controls</w:t>
            </w:r>
          </w:p>
        </w:tc>
        <w:tc>
          <w:tcPr>
            <w:tcW w:type="dxa" w:w="6560"/>
            <w:tcBorders>
              <w:top w:val="single" w:color="D1D9E6" w:sz="1"/>
              <w:left w:val="single" w:color="D1D9E6" w:sz="1"/>
              <w:bottom w:val="single" w:color="D1D9E6" w:sz="1"/>
              <w:right w:val="single" w:color="D1D9E6" w:sz="1"/>
            </w:tcBorders>
            <w:tcMar>
              <w:top w:type="dxa" w:w="80"/>
              <w:left w:type="dxa" w:w="150"/>
              <w:bottom w:type="dxa" w:w="80"/>
              <w:right w:type="dxa" w:w="150"/>
            </w:tcMar>
          </w:tcPr>
          <w:p>
            <w:r>
              <w:rPr>
                <w:rFonts w:ascii="Arial" w:cs="Arial" w:eastAsia="Arial" w:hAnsi="Arial"/>
                <w:color w:val="333333"/>
                <w:sz w:val="21"/>
                <w:szCs w:val="21"/>
              </w:rPr>
              <w:t xml:space="preserve">Students control which report sections are visible to employers</w:t>
            </w:r>
          </w:p>
        </w:tc>
      </w:tr>
      <w:tr>
        <w:tc>
          <w:tcPr>
            <w:tcW w:type="dxa" w:w="2800"/>
            <w:tcBorders>
              <w:top w:val="single" w:color="D1D9E6" w:sz="1"/>
              <w:left w:val="single" w:color="D1D9E6" w:sz="1"/>
              <w:bottom w:val="single" w:color="D1D9E6" w:sz="1"/>
              <w:right w:val="single" w:color="D1D9E6" w:sz="1"/>
            </w:tcBorders>
            <w:shd w:fill="F5F7FA" w:val="clear"/>
            <w:tcMar>
              <w:top w:type="dxa" w:w="80"/>
              <w:left w:type="dxa" w:w="150"/>
              <w:bottom w:type="dxa" w:w="80"/>
              <w:right w:type="dxa" w:w="150"/>
            </w:tcMar>
          </w:tcPr>
          <w:p>
            <w:r>
              <w:rPr>
                <w:rFonts w:ascii="Arial" w:cs="Arial" w:eastAsia="Arial" w:hAnsi="Arial"/>
                <w:b/>
                <w:bCs/>
                <w:color w:val="1A56B0"/>
                <w:sz w:val="21"/>
                <w:szCs w:val="21"/>
              </w:rPr>
              <w:t xml:space="preserve">Integration</w:t>
            </w:r>
          </w:p>
        </w:tc>
        <w:tc>
          <w:tcPr>
            <w:tcW w:type="dxa" w:w="6560"/>
            <w:tcBorders>
              <w:top w:val="single" w:color="D1D9E6" w:sz="1"/>
              <w:left w:val="single" w:color="D1D9E6" w:sz="1"/>
              <w:bottom w:val="single" w:color="D1D9E6" w:sz="1"/>
              <w:right w:val="single" w:color="D1D9E6" w:sz="1"/>
            </w:tcBorders>
            <w:tcMar>
              <w:top w:type="dxa" w:w="80"/>
              <w:left w:type="dxa" w:w="150"/>
              <w:bottom w:type="dxa" w:w="80"/>
              <w:right w:type="dxa" w:w="150"/>
            </w:tcMar>
          </w:tcPr>
          <w:p>
            <w:r>
              <w:rPr>
                <w:rFonts w:ascii="Arial" w:cs="Arial" w:eastAsia="Arial" w:hAnsi="Arial"/>
                <w:color w:val="333333"/>
                <w:sz w:val="21"/>
                <w:szCs w:val="21"/>
              </w:rPr>
              <w:t xml:space="preserve">Shared directly with recruiters during campus drives via a verified link</w:t>
            </w:r>
          </w:p>
        </w:tc>
      </w:tr>
    </w:tbl>
    <w:p>
      <w:pPr>
        <w:spacing w:before="160" w:after="160"/>
      </w:pPr>
    </w:p>
    <w:p>
      <w:pPr>
        <w:spacing w:before="240" w:after="100"/>
      </w:pPr>
      <w:r>
        <w:rPr>
          <w:rFonts w:ascii="Arial" w:cs="Arial" w:eastAsia="Arial" w:hAnsi="Arial"/>
          <w:b/>
          <w:bCs/>
          <w:color w:val="1A56B0"/>
          <w:sz w:val="26"/>
          <w:szCs w:val="26"/>
        </w:rPr>
        <w:t xml:space="preserve">Purpose &amp; Business Need</w:t>
      </w:r>
    </w:p>
    <w:p>
      <w:pPr>
        <w:spacing w:before="60" w:after="80"/>
        <w:jc w:val="both"/>
      </w:pPr>
      <w:r>
        <w:rPr>
          <w:rFonts w:ascii="Arial" w:cs="Arial" w:eastAsia="Arial" w:hAnsi="Arial"/>
          <w:color w:val="333333"/>
          <w:sz w:val="22"/>
          <w:szCs w:val="22"/>
        </w:rPr>
        <w:t xml:space="preserve">Recruiters spend enormous time reviewing resumes that provide no standardized signal about candidate readiness. Simultaneously, students with strong skills but average grades are consistently overlooked. The Student Employability Report solves both problems — it gives recruiters a reliable, verified data signal and gives students a fair, multi-dimensional representation of their ability.</w:t>
      </w:r>
    </w:p>
    <w:p>
      <w:pPr>
        <w:spacing w:before="80" w:after="80"/>
      </w:pPr>
    </w:p>
    <w:p>
      <w:pPr>
        <w:spacing w:before="240" w:after="100"/>
      </w:pPr>
      <w:r>
        <w:rPr>
          <w:rFonts w:ascii="Arial" w:cs="Arial" w:eastAsia="Arial" w:hAnsi="Arial"/>
          <w:b/>
          <w:bCs/>
          <w:color w:val="1A56B0"/>
          <w:sz w:val="26"/>
          <w:szCs w:val="26"/>
        </w:rPr>
        <w:t xml:space="preserve">Core Sub-Features</w:t>
      </w:r>
    </w:p>
    <w:p>
      <w:pPr>
        <w:spacing w:before="240" w:after="100"/>
      </w:pPr>
      <w:r>
        <w:rPr>
          <w:rFonts w:ascii="Arial" w:cs="Arial" w:eastAsia="Arial" w:hAnsi="Arial"/>
          <w:b/>
          <w:bCs/>
          <w:color w:val="0D9488"/>
          <w:sz w:val="26"/>
          <w:szCs w:val="26"/>
        </w:rPr>
        <w:t xml:space="preserve">2.1  Employability Score (ES) Engine</w:t>
      </w:r>
    </w:p>
    <w:p>
      <w:pPr>
        <w:spacing w:before="60" w:after="80"/>
        <w:jc w:val="both"/>
      </w:pPr>
      <w:r>
        <w:rPr>
          <w:rFonts w:ascii="Arial" w:cs="Arial" w:eastAsia="Arial" w:hAnsi="Arial"/>
          <w:color w:val="333333"/>
          <w:sz w:val="22"/>
          <w:szCs w:val="22"/>
        </w:rPr>
        <w:t xml:space="preserve">A composite score calculated from weighted sub-components that together represent overall employment readiness. Weights are configurable by the institution to align with their industry focus.</w:t>
      </w:r>
    </w:p>
    <w:p>
      <w:pPr>
        <w:pStyle w:val="ListParagraph"/>
        <w:numPr>
          <w:ilvl w:val="0"/>
          <w:numId w:val="2"/>
        </w:numPr>
        <w:spacing w:before="50" w:after="50"/>
      </w:pPr>
      <w:r>
        <w:rPr>
          <w:rFonts w:ascii="Arial" w:cs="Arial" w:eastAsia="Arial" w:hAnsi="Arial"/>
          <w:color w:val="333333"/>
          <w:sz w:val="22"/>
          <w:szCs w:val="22"/>
        </w:rPr>
        <w:t xml:space="preserve">Technical Skills Score (30%): Based on assessments, coding tasks, lab scores</w:t>
      </w:r>
    </w:p>
    <w:p>
      <w:pPr>
        <w:pStyle w:val="ListParagraph"/>
        <w:numPr>
          <w:ilvl w:val="0"/>
          <w:numId w:val="2"/>
        </w:numPr>
        <w:spacing w:before="50" w:after="50"/>
      </w:pPr>
      <w:r>
        <w:rPr>
          <w:rFonts w:ascii="Arial" w:cs="Arial" w:eastAsia="Arial" w:hAnsi="Arial"/>
          <w:color w:val="333333"/>
          <w:sz w:val="22"/>
          <w:szCs w:val="22"/>
        </w:rPr>
        <w:t xml:space="preserve">Communication Score (20%): Group discussion participation, voice assessments, presentation scores</w:t>
      </w:r>
    </w:p>
    <w:p>
      <w:pPr>
        <w:pStyle w:val="ListParagraph"/>
        <w:numPr>
          <w:ilvl w:val="0"/>
          <w:numId w:val="2"/>
        </w:numPr>
        <w:spacing w:before="50" w:after="50"/>
      </w:pPr>
      <w:r>
        <w:rPr>
          <w:rFonts w:ascii="Arial" w:cs="Arial" w:eastAsia="Arial" w:hAnsi="Arial"/>
          <w:color w:val="333333"/>
          <w:sz w:val="22"/>
          <w:szCs w:val="22"/>
        </w:rPr>
        <w:t xml:space="preserve">Behavioral Score (20%): Professionalism markers, punctuality, peer feedback</w:t>
      </w:r>
    </w:p>
    <w:p>
      <w:pPr>
        <w:pStyle w:val="ListParagraph"/>
        <w:numPr>
          <w:ilvl w:val="0"/>
          <w:numId w:val="2"/>
        </w:numPr>
        <w:spacing w:before="50" w:after="50"/>
      </w:pPr>
      <w:r>
        <w:rPr>
          <w:rFonts w:ascii="Arial" w:cs="Arial" w:eastAsia="Arial" w:hAnsi="Arial"/>
          <w:color w:val="333333"/>
          <w:sz w:val="22"/>
          <w:szCs w:val="22"/>
        </w:rPr>
        <w:t xml:space="preserve">Domain Knowledge Score (15%): Industry-specific quiz performance and case studies</w:t>
      </w:r>
    </w:p>
    <w:p>
      <w:pPr>
        <w:pStyle w:val="ListParagraph"/>
        <w:numPr>
          <w:ilvl w:val="0"/>
          <w:numId w:val="2"/>
        </w:numPr>
        <w:spacing w:before="50" w:after="50"/>
      </w:pPr>
      <w:r>
        <w:rPr>
          <w:rFonts w:ascii="Arial" w:cs="Arial" w:eastAsia="Arial" w:hAnsi="Arial"/>
          <w:color w:val="333333"/>
          <w:sz w:val="22"/>
          <w:szCs w:val="22"/>
        </w:rPr>
        <w:t xml:space="preserve">Activity Engagement Score (15%): Assignments completed, mock interviews, events attended</w:t>
      </w:r>
    </w:p>
    <w:p>
      <w:pPr>
        <w:spacing w:before="80" w:after="80"/>
      </w:pPr>
    </w:p>
    <w:p>
      <w:pPr>
        <w:spacing w:before="240" w:after="100"/>
      </w:pPr>
      <w:r>
        <w:rPr>
          <w:rFonts w:ascii="Arial" w:cs="Arial" w:eastAsia="Arial" w:hAnsi="Arial"/>
          <w:b/>
          <w:bCs/>
          <w:color w:val="0D9488"/>
          <w:sz w:val="26"/>
          <w:szCs w:val="26"/>
        </w:rPr>
        <w:t xml:space="preserve">2.2  Student Employability Profile Card</w:t>
      </w:r>
    </w:p>
    <w:p>
      <w:pPr>
        <w:spacing w:before="60" w:after="80"/>
        <w:jc w:val="both"/>
      </w:pPr>
      <w:r>
        <w:rPr>
          <w:rFonts w:ascii="Arial" w:cs="Arial" w:eastAsia="Arial" w:hAnsi="Arial"/>
          <w:color w:val="333333"/>
          <w:sz w:val="22"/>
          <w:szCs w:val="22"/>
        </w:rPr>
        <w:t xml:space="preserve">A visual, shareable one-page profile card generated for each student. Designed to supplement or replace the traditional resume in campus recruitment contexts.</w:t>
      </w:r>
    </w:p>
    <w:p>
      <w:pPr>
        <w:pStyle w:val="ListParagraph"/>
        <w:numPr>
          <w:ilvl w:val="0"/>
          <w:numId w:val="2"/>
        </w:numPr>
        <w:spacing w:before="50" w:after="50"/>
      </w:pPr>
      <w:r>
        <w:rPr>
          <w:rFonts w:ascii="Arial" w:cs="Arial" w:eastAsia="Arial" w:hAnsi="Arial"/>
          <w:color w:val="333333"/>
          <w:sz w:val="22"/>
          <w:szCs w:val="22"/>
        </w:rPr>
        <w:t xml:space="preserve">Radar chart showing all five dimension scores</w:t>
      </w:r>
    </w:p>
    <w:p>
      <w:pPr>
        <w:pStyle w:val="ListParagraph"/>
        <w:numPr>
          <w:ilvl w:val="0"/>
          <w:numId w:val="2"/>
        </w:numPr>
        <w:spacing w:before="50" w:after="50"/>
      </w:pPr>
      <w:r>
        <w:rPr>
          <w:rFonts w:ascii="Arial" w:cs="Arial" w:eastAsia="Arial" w:hAnsi="Arial"/>
          <w:color w:val="333333"/>
          <w:sz w:val="22"/>
          <w:szCs w:val="22"/>
        </w:rPr>
        <w:t xml:space="preserve">Industry-readiness badge (Not Ready / Developing / Job Ready / High Performer)</w:t>
      </w:r>
    </w:p>
    <w:p>
      <w:pPr>
        <w:pStyle w:val="ListParagraph"/>
        <w:numPr>
          <w:ilvl w:val="0"/>
          <w:numId w:val="2"/>
        </w:numPr>
        <w:spacing w:before="50" w:after="50"/>
      </w:pPr>
      <w:r>
        <w:rPr>
          <w:rFonts w:ascii="Arial" w:cs="Arial" w:eastAsia="Arial" w:hAnsi="Arial"/>
          <w:color w:val="333333"/>
          <w:sz w:val="22"/>
          <w:szCs w:val="22"/>
        </w:rPr>
        <w:t xml:space="preserve">Top 3 verified skills with evidence links</w:t>
      </w:r>
    </w:p>
    <w:p>
      <w:pPr>
        <w:pStyle w:val="ListParagraph"/>
        <w:numPr>
          <w:ilvl w:val="0"/>
          <w:numId w:val="2"/>
        </w:numPr>
        <w:spacing w:before="50" w:after="50"/>
      </w:pPr>
      <w:r>
        <w:rPr>
          <w:rFonts w:ascii="Arial" w:cs="Arial" w:eastAsia="Arial" w:hAnsi="Arial"/>
          <w:color w:val="333333"/>
          <w:sz w:val="22"/>
          <w:szCs w:val="22"/>
        </w:rPr>
        <w:t xml:space="preserve">Placement history (if any): companies applied, shortlisted, offered</w:t>
      </w:r>
    </w:p>
    <w:p>
      <w:pPr>
        <w:pStyle w:val="ListParagraph"/>
        <w:numPr>
          <w:ilvl w:val="0"/>
          <w:numId w:val="2"/>
        </w:numPr>
        <w:spacing w:before="50" w:after="50"/>
      </w:pPr>
      <w:r>
        <w:rPr>
          <w:rFonts w:ascii="Arial" w:cs="Arial" w:eastAsia="Arial" w:hAnsi="Arial"/>
          <w:color w:val="333333"/>
          <w:sz w:val="22"/>
          <w:szCs w:val="22"/>
        </w:rPr>
        <w:t xml:space="preserve">QR code for employer verification during campus drives</w:t>
      </w:r>
    </w:p>
    <w:p>
      <w:pPr>
        <w:spacing w:before="80" w:after="80"/>
      </w:pPr>
    </w:p>
    <w:p>
      <w:pPr>
        <w:spacing w:before="240" w:after="100"/>
      </w:pPr>
      <w:r>
        <w:rPr>
          <w:rFonts w:ascii="Arial" w:cs="Arial" w:eastAsia="Arial" w:hAnsi="Arial"/>
          <w:b/>
          <w:bCs/>
          <w:color w:val="0D9488"/>
          <w:sz w:val="26"/>
          <w:szCs w:val="26"/>
        </w:rPr>
        <w:t xml:space="preserve">2.3  Employability Trend Report</w:t>
      </w:r>
    </w:p>
    <w:p>
      <w:pPr>
        <w:spacing w:before="60" w:after="80"/>
        <w:jc w:val="both"/>
      </w:pPr>
      <w:r>
        <w:rPr>
          <w:rFonts w:ascii="Arial" w:cs="Arial" w:eastAsia="Arial" w:hAnsi="Arial"/>
          <w:color w:val="333333"/>
          <w:sz w:val="22"/>
          <w:szCs w:val="22"/>
        </w:rPr>
        <w:t xml:space="preserve">Tracks how each student's employability score has changed over time. Allows placement officers to identify students who are improving rapidly versus those who are plateauing or declining.</w:t>
      </w:r>
    </w:p>
    <w:p>
      <w:pPr>
        <w:pStyle w:val="ListParagraph"/>
        <w:numPr>
          <w:ilvl w:val="0"/>
          <w:numId w:val="2"/>
        </w:numPr>
        <w:spacing w:before="50" w:after="50"/>
      </w:pPr>
      <w:r>
        <w:rPr>
          <w:rFonts w:ascii="Arial" w:cs="Arial" w:eastAsia="Arial" w:hAnsi="Arial"/>
          <w:color w:val="333333"/>
          <w:sz w:val="22"/>
          <w:szCs w:val="22"/>
        </w:rPr>
        <w:t xml:space="preserve">Monthly ES trend line per student</w:t>
      </w:r>
    </w:p>
    <w:p>
      <w:pPr>
        <w:pStyle w:val="ListParagraph"/>
        <w:numPr>
          <w:ilvl w:val="0"/>
          <w:numId w:val="2"/>
        </w:numPr>
        <w:spacing w:before="50" w:after="50"/>
      </w:pPr>
      <w:r>
        <w:rPr>
          <w:rFonts w:ascii="Arial" w:cs="Arial" w:eastAsia="Arial" w:hAnsi="Arial"/>
          <w:color w:val="333333"/>
          <w:sz w:val="22"/>
          <w:szCs w:val="22"/>
        </w:rPr>
        <w:t xml:space="preserve">Activity-correlated improvement analysis: what activities drove score change</w:t>
      </w:r>
    </w:p>
    <w:p>
      <w:pPr>
        <w:pStyle w:val="ListParagraph"/>
        <w:numPr>
          <w:ilvl w:val="0"/>
          <w:numId w:val="2"/>
        </w:numPr>
        <w:spacing w:before="50" w:after="50"/>
      </w:pPr>
      <w:r>
        <w:rPr>
          <w:rFonts w:ascii="Arial" w:cs="Arial" w:eastAsia="Arial" w:hAnsi="Arial"/>
          <w:color w:val="333333"/>
          <w:sz w:val="22"/>
          <w:szCs w:val="22"/>
        </w:rPr>
        <w:t xml:space="preserve">Cohort percentile ranking: where this student stands in their batch</w:t>
      </w:r>
    </w:p>
    <w:p>
      <w:pPr>
        <w:pStyle w:val="ListParagraph"/>
        <w:numPr>
          <w:ilvl w:val="0"/>
          <w:numId w:val="2"/>
        </w:numPr>
        <w:spacing w:before="50" w:after="50"/>
      </w:pPr>
      <w:r>
        <w:rPr>
          <w:rFonts w:ascii="Arial" w:cs="Arial" w:eastAsia="Arial" w:hAnsi="Arial"/>
          <w:color w:val="333333"/>
          <w:sz w:val="22"/>
          <w:szCs w:val="22"/>
        </w:rPr>
        <w:t xml:space="preserve">Forecast projection: estimated ES at graduation based on current trajectory</w:t>
      </w:r>
    </w:p>
    <w:p>
      <w:pPr>
        <w:spacing w:before="80" w:after="80"/>
      </w:pPr>
    </w:p>
    <w:p>
      <w:pPr>
        <w:spacing w:before="240" w:after="100"/>
      </w:pPr>
      <w:r>
        <w:rPr>
          <w:rFonts w:ascii="Arial" w:cs="Arial" w:eastAsia="Arial" w:hAnsi="Arial"/>
          <w:b/>
          <w:bCs/>
          <w:color w:val="0D9488"/>
          <w:sz w:val="26"/>
          <w:szCs w:val="26"/>
        </w:rPr>
        <w:t xml:space="preserve">2.4  Employer-Facing Verified Report</w:t>
      </w:r>
    </w:p>
    <w:p>
      <w:pPr>
        <w:spacing w:before="60" w:after="80"/>
        <w:jc w:val="both"/>
      </w:pPr>
      <w:r>
        <w:rPr>
          <w:rFonts w:ascii="Arial" w:cs="Arial" w:eastAsia="Arial" w:hAnsi="Arial"/>
          <w:color w:val="333333"/>
          <w:sz w:val="22"/>
          <w:szCs w:val="22"/>
        </w:rPr>
        <w:t xml:space="preserve">A tamper-proof, institute-verified version of the employability report that can be shared with recruiters during campus drives or online applications. Removes the need for companies to conduct their own screening from scratch.</w:t>
      </w:r>
    </w:p>
    <w:p>
      <w:pPr>
        <w:pStyle w:val="ListParagraph"/>
        <w:numPr>
          <w:ilvl w:val="0"/>
          <w:numId w:val="2"/>
        </w:numPr>
        <w:spacing w:before="50" w:after="50"/>
      </w:pPr>
      <w:r>
        <w:rPr>
          <w:rFonts w:ascii="Arial" w:cs="Arial" w:eastAsia="Arial" w:hAnsi="Arial"/>
          <w:color w:val="333333"/>
          <w:sz w:val="22"/>
          <w:szCs w:val="22"/>
        </w:rPr>
        <w:t xml:space="preserve">Digital signature from institute confirming data authenticity</w:t>
      </w:r>
    </w:p>
    <w:p>
      <w:pPr>
        <w:pStyle w:val="ListParagraph"/>
        <w:numPr>
          <w:ilvl w:val="0"/>
          <w:numId w:val="2"/>
        </w:numPr>
        <w:spacing w:before="50" w:after="50"/>
      </w:pPr>
      <w:r>
        <w:rPr>
          <w:rFonts w:ascii="Arial" w:cs="Arial" w:eastAsia="Arial" w:hAnsi="Arial"/>
          <w:color w:val="333333"/>
          <w:sz w:val="22"/>
          <w:szCs w:val="22"/>
        </w:rPr>
        <w:t xml:space="preserve">Skill proof attachments: assessment certificates, project links, GD scores</w:t>
      </w:r>
    </w:p>
    <w:p>
      <w:pPr>
        <w:pStyle w:val="ListParagraph"/>
        <w:numPr>
          <w:ilvl w:val="0"/>
          <w:numId w:val="2"/>
        </w:numPr>
        <w:spacing w:before="50" w:after="50"/>
      </w:pPr>
      <w:r>
        <w:rPr>
          <w:rFonts w:ascii="Arial" w:cs="Arial" w:eastAsia="Arial" w:hAnsi="Arial"/>
          <w:color w:val="333333"/>
          <w:sz w:val="22"/>
          <w:szCs w:val="22"/>
        </w:rPr>
        <w:t xml:space="preserve">Comparison view: candidate vs. average for this institution's graduates</w:t>
      </w:r>
    </w:p>
    <w:p>
      <w:pPr>
        <w:pStyle w:val="ListParagraph"/>
        <w:numPr>
          <w:ilvl w:val="0"/>
          <w:numId w:val="2"/>
        </w:numPr>
        <w:spacing w:before="50" w:after="50"/>
      </w:pPr>
      <w:r>
        <w:rPr>
          <w:rFonts w:ascii="Arial" w:cs="Arial" w:eastAsia="Arial" w:hAnsi="Arial"/>
          <w:color w:val="333333"/>
          <w:sz w:val="22"/>
          <w:szCs w:val="22"/>
        </w:rPr>
        <w:t xml:space="preserve">Time-stamped access log: recruiter can see when report was last updated</w:t>
      </w:r>
    </w:p>
    <w:p>
      <w:pPr>
        <w:spacing w:before="80" w:after="80"/>
      </w:pPr>
    </w:p>
    <w:p>
      <w:pPr>
        <w:spacing w:before="240" w:after="100"/>
      </w:pPr>
      <w:r>
        <w:rPr>
          <w:rFonts w:ascii="Arial" w:cs="Arial" w:eastAsia="Arial" w:hAnsi="Arial"/>
          <w:b/>
          <w:bCs/>
          <w:color w:val="0D9488"/>
          <w:sz w:val="26"/>
          <w:szCs w:val="26"/>
        </w:rPr>
        <w:t xml:space="preserve">2.5  Placement Officer Action Panel</w:t>
      </w:r>
    </w:p>
    <w:p>
      <w:pPr>
        <w:spacing w:before="60" w:after="80"/>
        <w:jc w:val="both"/>
      </w:pPr>
      <w:r>
        <w:rPr>
          <w:rFonts w:ascii="Arial" w:cs="Arial" w:eastAsia="Arial" w:hAnsi="Arial"/>
          <w:color w:val="333333"/>
          <w:sz w:val="22"/>
          <w:szCs w:val="22"/>
        </w:rPr>
        <w:t xml:space="preserve">A management view for placement officers showing the ES distribution across the entire batch and enabling targeted intervention.</w:t>
      </w:r>
    </w:p>
    <w:p>
      <w:pPr>
        <w:pStyle w:val="ListParagraph"/>
        <w:numPr>
          <w:ilvl w:val="0"/>
          <w:numId w:val="2"/>
        </w:numPr>
        <w:spacing w:before="50" w:after="50"/>
      </w:pPr>
      <w:r>
        <w:rPr>
          <w:rFonts w:ascii="Arial" w:cs="Arial" w:eastAsia="Arial" w:hAnsi="Arial"/>
          <w:color w:val="333333"/>
          <w:sz w:val="22"/>
          <w:szCs w:val="22"/>
        </w:rPr>
        <w:t xml:space="preserve">ES histogram for batch — see how students cluster across score bands</w:t>
      </w:r>
    </w:p>
    <w:p>
      <w:pPr>
        <w:pStyle w:val="ListParagraph"/>
        <w:numPr>
          <w:ilvl w:val="0"/>
          <w:numId w:val="2"/>
        </w:numPr>
        <w:spacing w:before="50" w:after="50"/>
      </w:pPr>
      <w:r>
        <w:rPr>
          <w:rFonts w:ascii="Arial" w:cs="Arial" w:eastAsia="Arial" w:hAnsi="Arial"/>
          <w:color w:val="333333"/>
          <w:sz w:val="22"/>
          <w:szCs w:val="22"/>
        </w:rPr>
        <w:t xml:space="preserve">Identify bottom 10% for urgent coaching support</w:t>
      </w:r>
    </w:p>
    <w:p>
      <w:pPr>
        <w:pStyle w:val="ListParagraph"/>
        <w:numPr>
          <w:ilvl w:val="0"/>
          <w:numId w:val="2"/>
        </w:numPr>
        <w:spacing w:before="50" w:after="50"/>
      </w:pPr>
      <w:r>
        <w:rPr>
          <w:rFonts w:ascii="Arial" w:cs="Arial" w:eastAsia="Arial" w:hAnsi="Arial"/>
          <w:color w:val="333333"/>
          <w:sz w:val="22"/>
          <w:szCs w:val="22"/>
        </w:rPr>
        <w:t xml:space="preserve">One-click generate batch employability summary for employer presentations</w:t>
      </w:r>
    </w:p>
    <w:p>
      <w:pPr>
        <w:pStyle w:val="ListParagraph"/>
        <w:numPr>
          <w:ilvl w:val="0"/>
          <w:numId w:val="2"/>
        </w:numPr>
        <w:spacing w:before="50" w:after="50"/>
      </w:pPr>
      <w:r>
        <w:rPr>
          <w:rFonts w:ascii="Arial" w:cs="Arial" w:eastAsia="Arial" w:hAnsi="Arial"/>
          <w:color w:val="333333"/>
          <w:sz w:val="22"/>
          <w:szCs w:val="22"/>
        </w:rPr>
        <w:t xml:space="preserve">Flag students for specific job roles based on skill-to-JD matching</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640"/>
      </w:tblGrid>
      <w:tr>
        <w:tc>
          <w:tcPr>
            <w:tcW w:type="dxa" w:w="4640"/>
            <w:tcBorders>
              <w:top w:val="single" w:color="D1D9E6" w:sz="1"/>
              <w:left w:val="single" w:color="D1D9E6" w:sz="1"/>
              <w:bottom w:val="single" w:color="D1D9E6" w:sz="1"/>
              <w:right w:val="single" w:color="D1D9E6" w:sz="1"/>
            </w:tcBorders>
            <w:shd w:fill="FFF1F1" w:val="clear"/>
            <w:tcMar>
              <w:top w:type="dxa" w:w="120"/>
              <w:left w:type="dxa" w:w="160"/>
              <w:bottom w:type="dxa" w:w="120"/>
              <w:right w:type="dxa" w:w="160"/>
            </w:tcMar>
          </w:tcPr>
          <w:p>
            <w:pPr>
              <w:spacing w:before="40" w:after="80"/>
            </w:pPr>
            <w:r>
              <w:rPr>
                <w:rFonts w:ascii="Arial" w:cs="Arial" w:eastAsia="Arial" w:hAnsi="Arial"/>
                <w:b/>
                <w:bCs/>
                <w:color w:val="DC2626"/>
                <w:sz w:val="22"/>
                <w:szCs w:val="22"/>
              </w:rPr>
              <w:t xml:space="preserve">What This Feature Solves</w:t>
            </w:r>
          </w:p>
          <w:p>
            <w:pPr>
              <w:spacing w:before="40" w:after="40"/>
            </w:pPr>
            <w:r>
              <w:rPr>
                <w:rFonts w:ascii="Arial" w:cs="Arial" w:eastAsia="Arial" w:hAnsi="Arial"/>
                <w:b/>
                <w:bCs/>
                <w:color w:val="DC2626"/>
                <w:sz w:val="21"/>
                <w:szCs w:val="21"/>
              </w:rPr>
              <w:t xml:space="preserve">• </w:t>
            </w:r>
            <w:r>
              <w:rPr>
                <w:rFonts w:ascii="Arial" w:cs="Arial" w:eastAsia="Arial" w:hAnsi="Arial"/>
                <w:color w:val="333333"/>
                <w:sz w:val="21"/>
                <w:szCs w:val="21"/>
              </w:rPr>
              <w:t xml:space="preserve">Resume screening is slow and unreliable</w:t>
            </w:r>
          </w:p>
          <w:p>
            <w:pPr>
              <w:spacing w:before="40" w:after="40"/>
            </w:pPr>
            <w:r>
              <w:rPr>
                <w:rFonts w:ascii="Arial" w:cs="Arial" w:eastAsia="Arial" w:hAnsi="Arial"/>
                <w:b/>
                <w:bCs/>
                <w:color w:val="DC2626"/>
                <w:sz w:val="21"/>
                <w:szCs w:val="21"/>
              </w:rPr>
              <w:t xml:space="preserve">• </w:t>
            </w:r>
            <w:r>
              <w:rPr>
                <w:rFonts w:ascii="Arial" w:cs="Arial" w:eastAsia="Arial" w:hAnsi="Arial"/>
                <w:color w:val="333333"/>
                <w:sz w:val="21"/>
                <w:szCs w:val="21"/>
              </w:rPr>
              <w:t xml:space="preserve">Strong candidates with average grades get missed</w:t>
            </w:r>
          </w:p>
          <w:p>
            <w:pPr>
              <w:spacing w:before="40" w:after="40"/>
            </w:pPr>
            <w:r>
              <w:rPr>
                <w:rFonts w:ascii="Arial" w:cs="Arial" w:eastAsia="Arial" w:hAnsi="Arial"/>
                <w:b/>
                <w:bCs/>
                <w:color w:val="DC2626"/>
                <w:sz w:val="21"/>
                <w:szCs w:val="21"/>
              </w:rPr>
              <w:t xml:space="preserve">• </w:t>
            </w:r>
            <w:r>
              <w:rPr>
                <w:rFonts w:ascii="Arial" w:cs="Arial" w:eastAsia="Arial" w:hAnsi="Arial"/>
                <w:color w:val="333333"/>
                <w:sz w:val="21"/>
                <w:szCs w:val="21"/>
              </w:rPr>
              <w:t xml:space="preserve">Employers can't verify claims candidates make</w:t>
            </w:r>
          </w:p>
          <w:p>
            <w:pPr>
              <w:spacing w:before="40" w:after="40"/>
            </w:pPr>
            <w:r>
              <w:rPr>
                <w:rFonts w:ascii="Arial" w:cs="Arial" w:eastAsia="Arial" w:hAnsi="Arial"/>
                <w:b/>
                <w:bCs/>
                <w:color w:val="DC2626"/>
                <w:sz w:val="21"/>
                <w:szCs w:val="21"/>
              </w:rPr>
              <w:t xml:space="preserve">• </w:t>
            </w:r>
            <w:r>
              <w:rPr>
                <w:rFonts w:ascii="Arial" w:cs="Arial" w:eastAsia="Arial" w:hAnsi="Arial"/>
                <w:color w:val="333333"/>
                <w:sz w:val="21"/>
                <w:szCs w:val="21"/>
              </w:rPr>
              <w:t xml:space="preserve">Placement teams lack actionable student data</w:t>
            </w:r>
          </w:p>
        </w:tc>
        <w:tc>
          <w:tcPr>
            <w:tcW w:type="dxa" w:w="4640"/>
            <w:tcBorders>
              <w:top w:val="single" w:color="D1D9E6" w:sz="1"/>
              <w:left w:val="single" w:color="D1D9E6" w:sz="1"/>
              <w:bottom w:val="single" w:color="D1D9E6" w:sz="1"/>
              <w:right w:val="single" w:color="D1D9E6" w:sz="1"/>
            </w:tcBorders>
            <w:shd w:fill="F0FFF4" w:val="clear"/>
            <w:tcMar>
              <w:top w:type="dxa" w:w="120"/>
              <w:left w:type="dxa" w:w="160"/>
              <w:bottom w:type="dxa" w:w="120"/>
              <w:right w:type="dxa" w:w="160"/>
            </w:tcMar>
          </w:tcPr>
          <w:p>
            <w:pPr>
              <w:spacing w:before="40" w:after="80"/>
            </w:pPr>
            <w:r>
              <w:rPr>
                <w:rFonts w:ascii="Arial" w:cs="Arial" w:eastAsia="Arial" w:hAnsi="Arial"/>
                <w:b/>
                <w:bCs/>
                <w:color w:val="16A34A"/>
                <w:sz w:val="22"/>
                <w:szCs w:val="22"/>
              </w:rPr>
              <w:t xml:space="preserve">Business Impact</w:t>
            </w:r>
          </w:p>
          <w:p>
            <w:pPr>
              <w:spacing w:before="40" w:after="40"/>
            </w:pPr>
            <w:r>
              <w:rPr>
                <w:rFonts w:ascii="Arial" w:cs="Arial" w:eastAsia="Arial" w:hAnsi="Arial"/>
                <w:b/>
                <w:bCs/>
                <w:color w:val="16A34A"/>
                <w:sz w:val="21"/>
                <w:szCs w:val="21"/>
              </w:rPr>
              <w:t xml:space="preserve">• </w:t>
            </w:r>
            <w:r>
              <w:rPr>
                <w:rFonts w:ascii="Arial" w:cs="Arial" w:eastAsia="Arial" w:hAnsi="Arial"/>
                <w:color w:val="333333"/>
                <w:sz w:val="21"/>
                <w:szCs w:val="21"/>
              </w:rPr>
              <w:t xml:space="preserve">Faster recruiter shortlisting with reliable, structured data</w:t>
            </w:r>
          </w:p>
          <w:p>
            <w:pPr>
              <w:spacing w:before="40" w:after="40"/>
            </w:pPr>
            <w:r>
              <w:rPr>
                <w:rFonts w:ascii="Arial" w:cs="Arial" w:eastAsia="Arial" w:hAnsi="Arial"/>
                <w:b/>
                <w:bCs/>
                <w:color w:val="16A34A"/>
                <w:sz w:val="21"/>
                <w:szCs w:val="21"/>
              </w:rPr>
              <w:t xml:space="preserve">• </w:t>
            </w:r>
            <w:r>
              <w:rPr>
                <w:rFonts w:ascii="Arial" w:cs="Arial" w:eastAsia="Arial" w:hAnsi="Arial"/>
                <w:color w:val="333333"/>
                <w:sz w:val="21"/>
                <w:szCs w:val="21"/>
              </w:rPr>
              <w:t xml:space="preserve">Merit-based selection improves campus placement rates</w:t>
            </w:r>
          </w:p>
          <w:p>
            <w:pPr>
              <w:spacing w:before="40" w:after="40"/>
            </w:pPr>
            <w:r>
              <w:rPr>
                <w:rFonts w:ascii="Arial" w:cs="Arial" w:eastAsia="Arial" w:hAnsi="Arial"/>
                <w:b/>
                <w:bCs/>
                <w:color w:val="16A34A"/>
                <w:sz w:val="21"/>
                <w:szCs w:val="21"/>
              </w:rPr>
              <w:t xml:space="preserve">• </w:t>
            </w:r>
            <w:r>
              <w:rPr>
                <w:rFonts w:ascii="Arial" w:cs="Arial" w:eastAsia="Arial" w:hAnsi="Arial"/>
                <w:color w:val="333333"/>
                <w:sz w:val="21"/>
                <w:szCs w:val="21"/>
              </w:rPr>
              <w:t xml:space="preserve">Employer trust in institute increases with verified reports</w:t>
            </w:r>
          </w:p>
          <w:p>
            <w:pPr>
              <w:spacing w:before="40" w:after="40"/>
            </w:pPr>
            <w:r>
              <w:rPr>
                <w:rFonts w:ascii="Arial" w:cs="Arial" w:eastAsia="Arial" w:hAnsi="Arial"/>
                <w:b/>
                <w:bCs/>
                <w:color w:val="16A34A"/>
                <w:sz w:val="21"/>
                <w:szCs w:val="21"/>
              </w:rPr>
              <w:t xml:space="preserve">• </w:t>
            </w:r>
            <w:r>
              <w:rPr>
                <w:rFonts w:ascii="Arial" w:cs="Arial" w:eastAsia="Arial" w:hAnsi="Arial"/>
                <w:color w:val="333333"/>
                <w:sz w:val="21"/>
                <w:szCs w:val="21"/>
              </w:rPr>
              <w:t xml:space="preserve">Placement officers target support where it matters most</w:t>
            </w:r>
          </w:p>
        </w:tc>
      </w:tr>
    </w:tbl>
    <w:p>
      <w:pPr>
        <w:spacing w:before="80" w:after="80"/>
      </w:pPr>
    </w:p>
    <w:p>
      <w:r>
        <w:br w:type="page"/>
      </w:r>
    </w:p>
    <w:p>
      <w:pPr>
        <w:spacing w:before="480" w:after="120"/>
      </w:pPr>
      <w:r>
        <w:rPr>
          <w:rFonts w:ascii="Arial" w:cs="Arial" w:eastAsia="Arial" w:hAnsi="Arial"/>
          <w:b/>
          <w:bCs/>
          <w:color w:val="AAAAAA"/>
          <w:sz w:val="28"/>
          <w:szCs w:val="28"/>
        </w:rPr>
        <w:t xml:space="preserve">Feature 03  </w:t>
      </w:r>
      <w:r>
        <w:rPr>
          <w:rFonts w:ascii="Arial" w:cs="Arial" w:eastAsia="Arial" w:hAnsi="Arial"/>
          <w:b/>
          <w:bCs/>
          <w:color w:val="EA580C"/>
          <w:sz w:val="36"/>
          <w:szCs w:val="36"/>
        </w:rPr>
        <w:t xml:space="preserve">Placement Readiness Analytics</w:t>
      </w:r>
    </w:p>
    <w:p>
      <w:pPr>
        <w:pBdr>
          <w:bottom w:val="single" w:color="EA580C" w:sz="8" w:space="1"/>
        </w:pBdr>
        <w:spacing w:before="80" w:after="200"/>
      </w:pPr>
    </w:p>
    <w:p>
      <w:pPr>
        <w:spacing w:before="240" w:after="100"/>
      </w:pPr>
      <w:r>
        <w:rPr>
          <w:rFonts w:ascii="Arial" w:cs="Arial" w:eastAsia="Arial" w:hAnsi="Arial"/>
          <w:b/>
          <w:bCs/>
          <w:color w:val="1A56B0"/>
          <w:sz w:val="26"/>
          <w:szCs w:val="26"/>
        </w:rPr>
        <w:t xml:space="preserve">Overview</w:t>
      </w:r>
    </w:p>
    <w:p>
      <w:pPr>
        <w:spacing w:before="60" w:after="80"/>
        <w:jc w:val="both"/>
      </w:pPr>
      <w:r>
        <w:rPr>
          <w:rFonts w:ascii="Arial" w:cs="Arial" w:eastAsia="Arial" w:hAnsi="Arial"/>
          <w:color w:val="333333"/>
          <w:sz w:val="22"/>
          <w:szCs w:val="22"/>
        </w:rPr>
        <w:t xml:space="preserve">Placement Readiness Analytics is a forward-looking intelligence system that helps institutions predict, prepare for, and optimize campus placement outcomes. While the Student Employability Report describes where a student is today, Placement Readiness Analytics answers a different question: Is this student ready to be placed — and if not, what exactly needs to change before they are?</w:t>
      </w:r>
    </w:p>
    <w:p>
      <w:pPr>
        <w:spacing w:before="60" w:after="80"/>
        <w:jc w:val="both"/>
      </w:pPr>
      <w:r>
        <w:rPr>
          <w:rFonts w:ascii="Arial" w:cs="Arial" w:eastAsia="Arial" w:hAnsi="Arial"/>
          <w:color w:val="333333"/>
          <w:sz w:val="22"/>
          <w:szCs w:val="22"/>
        </w:rPr>
        <w:t xml:space="preserve">The system uses historical placement data, current skill benchmarks, and employer preference patterns to generate readiness predictions, identify high-risk students, and recommend targeted interventions — all well before placement season begins.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9E6" w:sz="1"/>
              <w:left w:val="single" w:color="D1D9E6" w:sz="1"/>
              <w:bottom w:val="single" w:color="D1D9E6" w:sz="1"/>
              <w:right w:val="single" w:color="D1D9E6" w:sz="1"/>
            </w:tcBorders>
            <w:shd w:fill="F5F7FA" w:val="clear"/>
            <w:tcMar>
              <w:top w:type="dxa" w:w="80"/>
              <w:left w:type="dxa" w:w="150"/>
              <w:bottom w:type="dxa" w:w="80"/>
              <w:right w:type="dxa" w:w="150"/>
            </w:tcMar>
          </w:tcPr>
          <w:p>
            <w:r>
              <w:rPr>
                <w:rFonts w:ascii="Arial" w:cs="Arial" w:eastAsia="Arial" w:hAnsi="Arial"/>
                <w:b/>
                <w:bCs/>
                <w:color w:val="1A56B0"/>
                <w:sz w:val="21"/>
                <w:szCs w:val="21"/>
              </w:rPr>
              <w:t xml:space="preserve">Target Users</w:t>
            </w:r>
          </w:p>
        </w:tc>
        <w:tc>
          <w:tcPr>
            <w:tcW w:type="dxa" w:w="6560"/>
            <w:tcBorders>
              <w:top w:val="single" w:color="D1D9E6" w:sz="1"/>
              <w:left w:val="single" w:color="D1D9E6" w:sz="1"/>
              <w:bottom w:val="single" w:color="D1D9E6" w:sz="1"/>
              <w:right w:val="single" w:color="D1D9E6" w:sz="1"/>
            </w:tcBorders>
            <w:tcMar>
              <w:top w:type="dxa" w:w="80"/>
              <w:left w:type="dxa" w:w="150"/>
              <w:bottom w:type="dxa" w:w="80"/>
              <w:right w:type="dxa" w:w="150"/>
            </w:tcMar>
          </w:tcPr>
          <w:p>
            <w:r>
              <w:rPr>
                <w:rFonts w:ascii="Arial" w:cs="Arial" w:eastAsia="Arial" w:hAnsi="Arial"/>
                <w:color w:val="333333"/>
                <w:sz w:val="21"/>
                <w:szCs w:val="21"/>
              </w:rPr>
              <w:t xml:space="preserve">Placement Officers, HODs, Academic Leadership, Career Counselors</w:t>
            </w:r>
          </w:p>
        </w:tc>
      </w:tr>
      <w:tr>
        <w:tc>
          <w:tcPr>
            <w:tcW w:type="dxa" w:w="2800"/>
            <w:tcBorders>
              <w:top w:val="single" w:color="D1D9E6" w:sz="1"/>
              <w:left w:val="single" w:color="D1D9E6" w:sz="1"/>
              <w:bottom w:val="single" w:color="D1D9E6" w:sz="1"/>
              <w:right w:val="single" w:color="D1D9E6" w:sz="1"/>
            </w:tcBorders>
            <w:shd w:fill="F5F7FA" w:val="clear"/>
            <w:tcMar>
              <w:top w:type="dxa" w:w="80"/>
              <w:left w:type="dxa" w:w="150"/>
              <w:bottom w:type="dxa" w:w="80"/>
              <w:right w:type="dxa" w:w="150"/>
            </w:tcMar>
          </w:tcPr>
          <w:p>
            <w:r>
              <w:rPr>
                <w:rFonts w:ascii="Arial" w:cs="Arial" w:eastAsia="Arial" w:hAnsi="Arial"/>
                <w:b/>
                <w:bCs/>
                <w:color w:val="1A56B0"/>
                <w:sz w:val="21"/>
                <w:szCs w:val="21"/>
              </w:rPr>
              <w:t xml:space="preserve">Prediction Engine</w:t>
            </w:r>
          </w:p>
        </w:tc>
        <w:tc>
          <w:tcPr>
            <w:tcW w:type="dxa" w:w="6560"/>
            <w:tcBorders>
              <w:top w:val="single" w:color="D1D9E6" w:sz="1"/>
              <w:left w:val="single" w:color="D1D9E6" w:sz="1"/>
              <w:bottom w:val="single" w:color="D1D9E6" w:sz="1"/>
              <w:right w:val="single" w:color="D1D9E6" w:sz="1"/>
            </w:tcBorders>
            <w:tcMar>
              <w:top w:type="dxa" w:w="80"/>
              <w:left w:type="dxa" w:w="150"/>
              <w:bottom w:type="dxa" w:w="80"/>
              <w:right w:type="dxa" w:w="150"/>
            </w:tcMar>
          </w:tcPr>
          <w:p>
            <w:r>
              <w:rPr>
                <w:rFonts w:ascii="Arial" w:cs="Arial" w:eastAsia="Arial" w:hAnsi="Arial"/>
                <w:color w:val="333333"/>
                <w:sz w:val="21"/>
                <w:szCs w:val="21"/>
              </w:rPr>
              <w:t xml:space="preserve">Rule-based scoring with historical trend weighting</w:t>
            </w:r>
          </w:p>
        </w:tc>
      </w:tr>
      <w:tr>
        <w:tc>
          <w:tcPr>
            <w:tcW w:type="dxa" w:w="2800"/>
            <w:tcBorders>
              <w:top w:val="single" w:color="D1D9E6" w:sz="1"/>
              <w:left w:val="single" w:color="D1D9E6" w:sz="1"/>
              <w:bottom w:val="single" w:color="D1D9E6" w:sz="1"/>
              <w:right w:val="single" w:color="D1D9E6" w:sz="1"/>
            </w:tcBorders>
            <w:shd w:fill="F5F7FA" w:val="clear"/>
            <w:tcMar>
              <w:top w:type="dxa" w:w="80"/>
              <w:left w:type="dxa" w:w="150"/>
              <w:bottom w:type="dxa" w:w="80"/>
              <w:right w:type="dxa" w:w="150"/>
            </w:tcMar>
          </w:tcPr>
          <w:p>
            <w:r>
              <w:rPr>
                <w:rFonts w:ascii="Arial" w:cs="Arial" w:eastAsia="Arial" w:hAnsi="Arial"/>
                <w:b/>
                <w:bCs/>
                <w:color w:val="1A56B0"/>
                <w:sz w:val="21"/>
                <w:szCs w:val="21"/>
              </w:rPr>
              <w:t xml:space="preserve">Readiness Tiers</w:t>
            </w:r>
          </w:p>
        </w:tc>
        <w:tc>
          <w:tcPr>
            <w:tcW w:type="dxa" w:w="6560"/>
            <w:tcBorders>
              <w:top w:val="single" w:color="D1D9E6" w:sz="1"/>
              <w:left w:val="single" w:color="D1D9E6" w:sz="1"/>
              <w:bottom w:val="single" w:color="D1D9E6" w:sz="1"/>
              <w:right w:val="single" w:color="D1D9E6" w:sz="1"/>
            </w:tcBorders>
            <w:tcMar>
              <w:top w:type="dxa" w:w="80"/>
              <w:left w:type="dxa" w:w="150"/>
              <w:bottom w:type="dxa" w:w="80"/>
              <w:right w:type="dxa" w:w="150"/>
            </w:tcMar>
          </w:tcPr>
          <w:p>
            <w:r>
              <w:rPr>
                <w:rFonts w:ascii="Arial" w:cs="Arial" w:eastAsia="Arial" w:hAnsi="Arial"/>
                <w:color w:val="333333"/>
                <w:sz w:val="21"/>
                <w:szCs w:val="21"/>
              </w:rPr>
              <w:t xml:space="preserve">Not Ready / Partially Ready / Ready / High Value Candidate</w:t>
            </w:r>
          </w:p>
        </w:tc>
      </w:tr>
      <w:tr>
        <w:tc>
          <w:tcPr>
            <w:tcW w:type="dxa" w:w="2800"/>
            <w:tcBorders>
              <w:top w:val="single" w:color="D1D9E6" w:sz="1"/>
              <w:left w:val="single" w:color="D1D9E6" w:sz="1"/>
              <w:bottom w:val="single" w:color="D1D9E6" w:sz="1"/>
              <w:right w:val="single" w:color="D1D9E6" w:sz="1"/>
            </w:tcBorders>
            <w:shd w:fill="F5F7FA" w:val="clear"/>
            <w:tcMar>
              <w:top w:type="dxa" w:w="80"/>
              <w:left w:type="dxa" w:w="150"/>
              <w:bottom w:type="dxa" w:w="80"/>
              <w:right w:type="dxa" w:w="150"/>
            </w:tcMar>
          </w:tcPr>
          <w:p>
            <w:r>
              <w:rPr>
                <w:rFonts w:ascii="Arial" w:cs="Arial" w:eastAsia="Arial" w:hAnsi="Arial"/>
                <w:b/>
                <w:bCs/>
                <w:color w:val="1A56B0"/>
                <w:sz w:val="21"/>
                <w:szCs w:val="21"/>
              </w:rPr>
              <w:t xml:space="preserve">Lookahead Window</w:t>
            </w:r>
          </w:p>
        </w:tc>
        <w:tc>
          <w:tcPr>
            <w:tcW w:type="dxa" w:w="6560"/>
            <w:tcBorders>
              <w:top w:val="single" w:color="D1D9E6" w:sz="1"/>
              <w:left w:val="single" w:color="D1D9E6" w:sz="1"/>
              <w:bottom w:val="single" w:color="D1D9E6" w:sz="1"/>
              <w:right w:val="single" w:color="D1D9E6" w:sz="1"/>
            </w:tcBorders>
            <w:tcMar>
              <w:top w:type="dxa" w:w="80"/>
              <w:left w:type="dxa" w:w="150"/>
              <w:bottom w:type="dxa" w:w="80"/>
              <w:right w:type="dxa" w:w="150"/>
            </w:tcMar>
          </w:tcPr>
          <w:p>
            <w:r>
              <w:rPr>
                <w:rFonts w:ascii="Arial" w:cs="Arial" w:eastAsia="Arial" w:hAnsi="Arial"/>
                <w:color w:val="333333"/>
                <w:sz w:val="21"/>
                <w:szCs w:val="21"/>
              </w:rPr>
              <w:t xml:space="preserve">Configurable: 30, 60, 90 days to placement season</w:t>
            </w:r>
          </w:p>
        </w:tc>
      </w:tr>
      <w:tr>
        <w:tc>
          <w:tcPr>
            <w:tcW w:type="dxa" w:w="2800"/>
            <w:tcBorders>
              <w:top w:val="single" w:color="D1D9E6" w:sz="1"/>
              <w:left w:val="single" w:color="D1D9E6" w:sz="1"/>
              <w:bottom w:val="single" w:color="D1D9E6" w:sz="1"/>
              <w:right w:val="single" w:color="D1D9E6" w:sz="1"/>
            </w:tcBorders>
            <w:shd w:fill="F5F7FA" w:val="clear"/>
            <w:tcMar>
              <w:top w:type="dxa" w:w="80"/>
              <w:left w:type="dxa" w:w="150"/>
              <w:bottom w:type="dxa" w:w="80"/>
              <w:right w:type="dxa" w:w="150"/>
            </w:tcMar>
          </w:tcPr>
          <w:p>
            <w:r>
              <w:rPr>
                <w:rFonts w:ascii="Arial" w:cs="Arial" w:eastAsia="Arial" w:hAnsi="Arial"/>
                <w:b/>
                <w:bCs/>
                <w:color w:val="1A56B0"/>
                <w:sz w:val="21"/>
                <w:szCs w:val="21"/>
              </w:rPr>
              <w:t xml:space="preserve">Employer Alignment</w:t>
            </w:r>
          </w:p>
        </w:tc>
        <w:tc>
          <w:tcPr>
            <w:tcW w:type="dxa" w:w="6560"/>
            <w:tcBorders>
              <w:top w:val="single" w:color="D1D9E6" w:sz="1"/>
              <w:left w:val="single" w:color="D1D9E6" w:sz="1"/>
              <w:bottom w:val="single" w:color="D1D9E6" w:sz="1"/>
              <w:right w:val="single" w:color="D1D9E6" w:sz="1"/>
            </w:tcBorders>
            <w:tcMar>
              <w:top w:type="dxa" w:w="80"/>
              <w:left w:type="dxa" w:w="150"/>
              <w:bottom w:type="dxa" w:w="80"/>
              <w:right w:type="dxa" w:w="150"/>
            </w:tcMar>
          </w:tcPr>
          <w:p>
            <w:r>
              <w:rPr>
                <w:rFonts w:ascii="Arial" w:cs="Arial" w:eastAsia="Arial" w:hAnsi="Arial"/>
                <w:color w:val="333333"/>
                <w:sz w:val="21"/>
                <w:szCs w:val="21"/>
              </w:rPr>
              <w:t xml:space="preserve">Readiness scored against active employer JD requirements</w:t>
            </w:r>
          </w:p>
        </w:tc>
      </w:tr>
    </w:tbl>
    <w:p>
      <w:pPr>
        <w:spacing w:before="160" w:after="160"/>
      </w:pPr>
    </w:p>
    <w:p>
      <w:pPr>
        <w:spacing w:before="240" w:after="100"/>
      </w:pPr>
      <w:r>
        <w:rPr>
          <w:rFonts w:ascii="Arial" w:cs="Arial" w:eastAsia="Arial" w:hAnsi="Arial"/>
          <w:b/>
          <w:bCs/>
          <w:color w:val="1A56B0"/>
          <w:sz w:val="26"/>
          <w:szCs w:val="26"/>
        </w:rPr>
        <w:t xml:space="preserve">Purpose &amp; Business Need</w:t>
      </w:r>
    </w:p>
    <w:p>
      <w:pPr>
        <w:spacing w:before="60" w:after="80"/>
        <w:jc w:val="both"/>
      </w:pPr>
      <w:r>
        <w:rPr>
          <w:rFonts w:ascii="Arial" w:cs="Arial" w:eastAsia="Arial" w:hAnsi="Arial"/>
          <w:color w:val="333333"/>
          <w:sz w:val="22"/>
          <w:szCs w:val="22"/>
        </w:rPr>
        <w:t xml:space="preserve">Most institutions learn about placement gaps only after the campus drive is over — when rejection rates are already high. Placement Readiness Analytics shifts this from reactive to proactive, giving teams a minimum 60-day runway to close gaps, provide targeted coaching, and send only genuinely prepared students into high-stakes recruiter interactions.</w:t>
      </w:r>
    </w:p>
    <w:p>
      <w:pPr>
        <w:spacing w:before="80" w:after="80"/>
      </w:pPr>
    </w:p>
    <w:p>
      <w:pPr>
        <w:spacing w:before="240" w:after="100"/>
      </w:pPr>
      <w:r>
        <w:rPr>
          <w:rFonts w:ascii="Arial" w:cs="Arial" w:eastAsia="Arial" w:hAnsi="Arial"/>
          <w:b/>
          <w:bCs/>
          <w:color w:val="1A56B0"/>
          <w:sz w:val="26"/>
          <w:szCs w:val="26"/>
        </w:rPr>
        <w:t xml:space="preserve">Core Sub-Features</w:t>
      </w:r>
    </w:p>
    <w:p>
      <w:pPr>
        <w:spacing w:before="240" w:after="100"/>
      </w:pPr>
      <w:r>
        <w:rPr>
          <w:rFonts w:ascii="Arial" w:cs="Arial" w:eastAsia="Arial" w:hAnsi="Arial"/>
          <w:b/>
          <w:bCs/>
          <w:color w:val="EA580C"/>
          <w:sz w:val="26"/>
          <w:szCs w:val="26"/>
        </w:rPr>
        <w:t xml:space="preserve">3.1  Placement Readiness Score (PRS) per Student</w:t>
      </w:r>
    </w:p>
    <w:p>
      <w:pPr>
        <w:spacing w:before="60" w:after="80"/>
        <w:jc w:val="both"/>
      </w:pPr>
      <w:r>
        <w:rPr>
          <w:rFonts w:ascii="Arial" w:cs="Arial" w:eastAsia="Arial" w:hAnsi="Arial"/>
          <w:color w:val="333333"/>
          <w:sz w:val="22"/>
          <w:szCs w:val="22"/>
        </w:rPr>
        <w:t xml:space="preserve">A predictive score distinct from the Employability Score. PRS is calculated against the specific requirements of upcoming or historically similar placement opportunities.</w:t>
      </w:r>
    </w:p>
    <w:p>
      <w:pPr>
        <w:pStyle w:val="ListParagraph"/>
        <w:numPr>
          <w:ilvl w:val="0"/>
          <w:numId w:val="2"/>
        </w:numPr>
        <w:spacing w:before="50" w:after="50"/>
      </w:pPr>
      <w:r>
        <w:rPr>
          <w:rFonts w:ascii="Arial" w:cs="Arial" w:eastAsia="Arial" w:hAnsi="Arial"/>
          <w:color w:val="333333"/>
          <w:sz w:val="22"/>
          <w:szCs w:val="22"/>
        </w:rPr>
        <w:t xml:space="preserve">JD-matching score: how closely student skills match active job descriptions</w:t>
      </w:r>
    </w:p>
    <w:p>
      <w:pPr>
        <w:pStyle w:val="ListParagraph"/>
        <w:numPr>
          <w:ilvl w:val="0"/>
          <w:numId w:val="2"/>
        </w:numPr>
        <w:spacing w:before="50" w:after="50"/>
      </w:pPr>
      <w:r>
        <w:rPr>
          <w:rFonts w:ascii="Arial" w:cs="Arial" w:eastAsia="Arial" w:hAnsi="Arial"/>
          <w:color w:val="333333"/>
          <w:sz w:val="22"/>
          <w:szCs w:val="22"/>
        </w:rPr>
        <w:t xml:space="preserve">Communication readiness flag: based on GD performance and voice assessment data</w:t>
      </w:r>
    </w:p>
    <w:p>
      <w:pPr>
        <w:pStyle w:val="ListParagraph"/>
        <w:numPr>
          <w:ilvl w:val="0"/>
          <w:numId w:val="2"/>
        </w:numPr>
        <w:spacing w:before="50" w:after="50"/>
      </w:pPr>
      <w:r>
        <w:rPr>
          <w:rFonts w:ascii="Arial" w:cs="Arial" w:eastAsia="Arial" w:hAnsi="Arial"/>
          <w:color w:val="333333"/>
          <w:sz w:val="22"/>
          <w:szCs w:val="22"/>
        </w:rPr>
        <w:t xml:space="preserve">Availability status: academic clearance, attendance percentage, backlog status</w:t>
      </w:r>
    </w:p>
    <w:p>
      <w:pPr>
        <w:pStyle w:val="ListParagraph"/>
        <w:numPr>
          <w:ilvl w:val="0"/>
          <w:numId w:val="2"/>
        </w:numPr>
        <w:spacing w:before="50" w:after="50"/>
      </w:pPr>
      <w:r>
        <w:rPr>
          <w:rFonts w:ascii="Arial" w:cs="Arial" w:eastAsia="Arial" w:hAnsi="Arial"/>
          <w:color w:val="333333"/>
          <w:sz w:val="22"/>
          <w:szCs w:val="22"/>
        </w:rPr>
        <w:t xml:space="preserve">Employer preference alignment: past selection patterns matched to student profile</w:t>
      </w:r>
    </w:p>
    <w:p>
      <w:pPr>
        <w:pStyle w:val="ListParagraph"/>
        <w:numPr>
          <w:ilvl w:val="0"/>
          <w:numId w:val="2"/>
        </w:numPr>
        <w:spacing w:before="50" w:after="50"/>
      </w:pPr>
      <w:r>
        <w:rPr>
          <w:rFonts w:ascii="Arial" w:cs="Arial" w:eastAsia="Arial" w:hAnsi="Arial"/>
          <w:color w:val="333333"/>
          <w:sz w:val="22"/>
          <w:szCs w:val="22"/>
        </w:rPr>
        <w:t xml:space="preserve">PRS updated every 7 days; manual refresh available for counselors</w:t>
      </w:r>
    </w:p>
    <w:p>
      <w:pPr>
        <w:spacing w:before="80" w:after="80"/>
      </w:pPr>
    </w:p>
    <w:p>
      <w:pPr>
        <w:spacing w:before="240" w:after="100"/>
      </w:pPr>
      <w:r>
        <w:rPr>
          <w:rFonts w:ascii="Arial" w:cs="Arial" w:eastAsia="Arial" w:hAnsi="Arial"/>
          <w:b/>
          <w:bCs/>
          <w:color w:val="EA580C"/>
          <w:sz w:val="26"/>
          <w:szCs w:val="26"/>
        </w:rPr>
        <w:t xml:space="preserve">3.2  Batch Readiness Dashboard</w:t>
      </w:r>
    </w:p>
    <w:p>
      <w:pPr>
        <w:spacing w:before="60" w:after="80"/>
        <w:jc w:val="both"/>
      </w:pPr>
      <w:r>
        <w:rPr>
          <w:rFonts w:ascii="Arial" w:cs="Arial" w:eastAsia="Arial" w:hAnsi="Arial"/>
          <w:color w:val="333333"/>
          <w:sz w:val="22"/>
          <w:szCs w:val="22"/>
        </w:rPr>
        <w:t xml:space="preserve">An institute-wide view showing what percentage of the batch is ready for placement, broken down by readiness tier, department, and skill cluster.</w:t>
      </w:r>
    </w:p>
    <w:p>
      <w:pPr>
        <w:pStyle w:val="ListParagraph"/>
        <w:numPr>
          <w:ilvl w:val="0"/>
          <w:numId w:val="2"/>
        </w:numPr>
        <w:spacing w:before="50" w:after="50"/>
      </w:pPr>
      <w:r>
        <w:rPr>
          <w:rFonts w:ascii="Arial" w:cs="Arial" w:eastAsia="Arial" w:hAnsi="Arial"/>
          <w:color w:val="333333"/>
          <w:sz w:val="22"/>
          <w:szCs w:val="22"/>
        </w:rPr>
        <w:t xml:space="preserve">Real-time tier distribution: Not Ready / Partially Ready / Ready / High Value</w:t>
      </w:r>
    </w:p>
    <w:p>
      <w:pPr>
        <w:pStyle w:val="ListParagraph"/>
        <w:numPr>
          <w:ilvl w:val="0"/>
          <w:numId w:val="2"/>
        </w:numPr>
        <w:spacing w:before="50" w:after="50"/>
      </w:pPr>
      <w:r>
        <w:rPr>
          <w:rFonts w:ascii="Arial" w:cs="Arial" w:eastAsia="Arial" w:hAnsi="Arial"/>
          <w:color w:val="333333"/>
          <w:sz w:val="22"/>
          <w:szCs w:val="22"/>
        </w:rPr>
        <w:t xml:space="preserve">Department-level readiness comparison — identify lagging departments</w:t>
      </w:r>
    </w:p>
    <w:p>
      <w:pPr>
        <w:pStyle w:val="ListParagraph"/>
        <w:numPr>
          <w:ilvl w:val="0"/>
          <w:numId w:val="2"/>
        </w:numPr>
        <w:spacing w:before="50" w:after="50"/>
      </w:pPr>
      <w:r>
        <w:rPr>
          <w:rFonts w:ascii="Arial" w:cs="Arial" w:eastAsia="Arial" w:hAnsi="Arial"/>
          <w:color w:val="333333"/>
          <w:sz w:val="22"/>
          <w:szCs w:val="22"/>
        </w:rPr>
        <w:t xml:space="preserve">Skill cluster analysis: which competency areas are holding students back</w:t>
      </w:r>
    </w:p>
    <w:p>
      <w:pPr>
        <w:pStyle w:val="ListParagraph"/>
        <w:numPr>
          <w:ilvl w:val="0"/>
          <w:numId w:val="2"/>
        </w:numPr>
        <w:spacing w:before="50" w:after="50"/>
      </w:pPr>
      <w:r>
        <w:rPr>
          <w:rFonts w:ascii="Arial" w:cs="Arial" w:eastAsia="Arial" w:hAnsi="Arial"/>
          <w:color w:val="333333"/>
          <w:sz w:val="22"/>
          <w:szCs w:val="22"/>
        </w:rPr>
        <w:t xml:space="preserve">Week-over-week readiness change: is the batch improving as a whole</w:t>
      </w:r>
    </w:p>
    <w:p>
      <w:pPr>
        <w:pStyle w:val="ListParagraph"/>
        <w:numPr>
          <w:ilvl w:val="0"/>
          <w:numId w:val="2"/>
        </w:numPr>
        <w:spacing w:before="50" w:after="50"/>
      </w:pPr>
      <w:r>
        <w:rPr>
          <w:rFonts w:ascii="Arial" w:cs="Arial" w:eastAsia="Arial" w:hAnsi="Arial"/>
          <w:color w:val="333333"/>
          <w:sz w:val="22"/>
          <w:szCs w:val="22"/>
        </w:rPr>
        <w:t xml:space="preserve">Target vs. actual readiness tracking against institute placement goals</w:t>
      </w:r>
    </w:p>
    <w:p>
      <w:pPr>
        <w:spacing w:before="80" w:after="80"/>
      </w:pPr>
    </w:p>
    <w:p>
      <w:pPr>
        <w:spacing w:before="240" w:after="100"/>
      </w:pPr>
      <w:r>
        <w:rPr>
          <w:rFonts w:ascii="Arial" w:cs="Arial" w:eastAsia="Arial" w:hAnsi="Arial"/>
          <w:b/>
          <w:bCs/>
          <w:color w:val="EA580C"/>
          <w:sz w:val="26"/>
          <w:szCs w:val="26"/>
        </w:rPr>
        <w:t xml:space="preserve">3.3  At-Risk Student Identification</w:t>
      </w:r>
    </w:p>
    <w:p>
      <w:pPr>
        <w:spacing w:before="60" w:after="80"/>
        <w:jc w:val="both"/>
      </w:pPr>
      <w:r>
        <w:rPr>
          <w:rFonts w:ascii="Arial" w:cs="Arial" w:eastAsia="Arial" w:hAnsi="Arial"/>
          <w:color w:val="333333"/>
          <w:sz w:val="22"/>
          <w:szCs w:val="22"/>
        </w:rPr>
        <w:t xml:space="preserve">Automated identification of students unlikely to receive placement offers based on their current trajectory. Enables counselors and placement officers to intervene before it is too late.</w:t>
      </w:r>
    </w:p>
    <w:p>
      <w:pPr>
        <w:pStyle w:val="ListParagraph"/>
        <w:numPr>
          <w:ilvl w:val="0"/>
          <w:numId w:val="2"/>
        </w:numPr>
        <w:spacing w:before="50" w:after="50"/>
      </w:pPr>
      <w:r>
        <w:rPr>
          <w:rFonts w:ascii="Arial" w:cs="Arial" w:eastAsia="Arial" w:hAnsi="Arial"/>
          <w:color w:val="333333"/>
          <w:sz w:val="22"/>
          <w:szCs w:val="22"/>
        </w:rPr>
        <w:t xml:space="preserve">Multi-factor risk model: low PRS + low engagement + poor communication markers</w:t>
      </w:r>
    </w:p>
    <w:p>
      <w:pPr>
        <w:pStyle w:val="ListParagraph"/>
        <w:numPr>
          <w:ilvl w:val="0"/>
          <w:numId w:val="2"/>
        </w:numPr>
        <w:spacing w:before="50" w:after="50"/>
      </w:pPr>
      <w:r>
        <w:rPr>
          <w:rFonts w:ascii="Arial" w:cs="Arial" w:eastAsia="Arial" w:hAnsi="Arial"/>
          <w:color w:val="333333"/>
          <w:sz w:val="22"/>
          <w:szCs w:val="22"/>
        </w:rPr>
        <w:t xml:space="preserve">Risk severity levels: Critical / High / Medium — prioritize intervention order</w:t>
      </w:r>
    </w:p>
    <w:p>
      <w:pPr>
        <w:pStyle w:val="ListParagraph"/>
        <w:numPr>
          <w:ilvl w:val="0"/>
          <w:numId w:val="2"/>
        </w:numPr>
        <w:spacing w:before="50" w:after="50"/>
      </w:pPr>
      <w:r>
        <w:rPr>
          <w:rFonts w:ascii="Arial" w:cs="Arial" w:eastAsia="Arial" w:hAnsi="Arial"/>
          <w:color w:val="333333"/>
          <w:sz w:val="22"/>
          <w:szCs w:val="22"/>
        </w:rPr>
        <w:t xml:space="preserve">Root cause breakdown per student: exactly which factors are dragging the score</w:t>
      </w:r>
    </w:p>
    <w:p>
      <w:pPr>
        <w:pStyle w:val="ListParagraph"/>
        <w:numPr>
          <w:ilvl w:val="0"/>
          <w:numId w:val="2"/>
        </w:numPr>
        <w:spacing w:before="50" w:after="50"/>
      </w:pPr>
      <w:r>
        <w:rPr>
          <w:rFonts w:ascii="Arial" w:cs="Arial" w:eastAsia="Arial" w:hAnsi="Arial"/>
          <w:color w:val="333333"/>
          <w:sz w:val="22"/>
          <w:szCs w:val="22"/>
        </w:rPr>
        <w:t xml:space="preserve">Counselor assignment: at-risk students can be assigned to specific mentors</w:t>
      </w:r>
    </w:p>
    <w:p>
      <w:pPr>
        <w:pStyle w:val="ListParagraph"/>
        <w:numPr>
          <w:ilvl w:val="0"/>
          <w:numId w:val="2"/>
        </w:numPr>
        <w:spacing w:before="50" w:after="50"/>
      </w:pPr>
      <w:r>
        <w:rPr>
          <w:rFonts w:ascii="Arial" w:cs="Arial" w:eastAsia="Arial" w:hAnsi="Arial"/>
          <w:color w:val="333333"/>
          <w:sz w:val="22"/>
          <w:szCs w:val="22"/>
        </w:rPr>
        <w:t xml:space="preserve">Intervention tracking: log coaching sessions and measure impact on PRS</w:t>
      </w:r>
    </w:p>
    <w:p>
      <w:pPr>
        <w:spacing w:before="80" w:after="80"/>
      </w:pPr>
    </w:p>
    <w:p>
      <w:pPr>
        <w:spacing w:before="240" w:after="100"/>
      </w:pPr>
      <w:r>
        <w:rPr>
          <w:rFonts w:ascii="Arial" w:cs="Arial" w:eastAsia="Arial" w:hAnsi="Arial"/>
          <w:b/>
          <w:bCs/>
          <w:color w:val="EA580C"/>
          <w:sz w:val="26"/>
          <w:szCs w:val="26"/>
        </w:rPr>
        <w:t xml:space="preserve">3.4  Employer-Aligned Readiness Matching</w:t>
      </w:r>
    </w:p>
    <w:p>
      <w:pPr>
        <w:spacing w:before="60" w:after="80"/>
        <w:jc w:val="both"/>
      </w:pPr>
      <w:r>
        <w:rPr>
          <w:rFonts w:ascii="Arial" w:cs="Arial" w:eastAsia="Arial" w:hAnsi="Arial"/>
          <w:color w:val="333333"/>
          <w:sz w:val="22"/>
          <w:szCs w:val="22"/>
        </w:rPr>
        <w:t xml:space="preserve">Maps student readiness against the specific profiles of employers who have historically hired from this institution or who are scheduled for upcoming campus drives.</w:t>
      </w:r>
    </w:p>
    <w:p>
      <w:pPr>
        <w:pStyle w:val="ListParagraph"/>
        <w:numPr>
          <w:ilvl w:val="0"/>
          <w:numId w:val="2"/>
        </w:numPr>
        <w:spacing w:before="50" w:after="50"/>
      </w:pPr>
      <w:r>
        <w:rPr>
          <w:rFonts w:ascii="Arial" w:cs="Arial" w:eastAsia="Arial" w:hAnsi="Arial"/>
          <w:color w:val="333333"/>
          <w:sz w:val="22"/>
          <w:szCs w:val="22"/>
        </w:rPr>
        <w:t xml:space="preserve">Import employer JD requirements and map to platform skill taxonomy</w:t>
      </w:r>
    </w:p>
    <w:p>
      <w:pPr>
        <w:pStyle w:val="ListParagraph"/>
        <w:numPr>
          <w:ilvl w:val="0"/>
          <w:numId w:val="2"/>
        </w:numPr>
        <w:spacing w:before="50" w:after="50"/>
      </w:pPr>
      <w:r>
        <w:rPr>
          <w:rFonts w:ascii="Arial" w:cs="Arial" w:eastAsia="Arial" w:hAnsi="Arial"/>
          <w:color w:val="333333"/>
          <w:sz w:val="22"/>
          <w:szCs w:val="22"/>
        </w:rPr>
        <w:t xml:space="preserve">Pre-screening: surface students who meet minimum JD requirements</w:t>
      </w:r>
    </w:p>
    <w:p>
      <w:pPr>
        <w:pStyle w:val="ListParagraph"/>
        <w:numPr>
          <w:ilvl w:val="0"/>
          <w:numId w:val="2"/>
        </w:numPr>
        <w:spacing w:before="50" w:after="50"/>
      </w:pPr>
      <w:r>
        <w:rPr>
          <w:rFonts w:ascii="Arial" w:cs="Arial" w:eastAsia="Arial" w:hAnsi="Arial"/>
          <w:color w:val="333333"/>
          <w:sz w:val="22"/>
          <w:szCs w:val="22"/>
        </w:rPr>
        <w:t xml:space="preserve">Employer shortlist preview: simulate who would pass initial screening</w:t>
      </w:r>
    </w:p>
    <w:p>
      <w:pPr>
        <w:pStyle w:val="ListParagraph"/>
        <w:numPr>
          <w:ilvl w:val="0"/>
          <w:numId w:val="2"/>
        </w:numPr>
        <w:spacing w:before="50" w:after="50"/>
      </w:pPr>
      <w:r>
        <w:rPr>
          <w:rFonts w:ascii="Arial" w:cs="Arial" w:eastAsia="Arial" w:hAnsi="Arial"/>
          <w:color w:val="333333"/>
          <w:sz w:val="22"/>
          <w:szCs w:val="22"/>
        </w:rPr>
        <w:t xml:space="preserve">Gap heatmap: skills most commonly missing for this employer's requirements</w:t>
      </w:r>
    </w:p>
    <w:p>
      <w:pPr>
        <w:pStyle w:val="ListParagraph"/>
        <w:numPr>
          <w:ilvl w:val="0"/>
          <w:numId w:val="2"/>
        </w:numPr>
        <w:spacing w:before="50" w:after="50"/>
      </w:pPr>
      <w:r>
        <w:rPr>
          <w:rFonts w:ascii="Arial" w:cs="Arial" w:eastAsia="Arial" w:hAnsi="Arial"/>
          <w:color w:val="333333"/>
          <w:sz w:val="22"/>
          <w:szCs w:val="22"/>
        </w:rPr>
        <w:t xml:space="preserve">Recommended pre-drive training based on identified gaps</w:t>
      </w:r>
    </w:p>
    <w:p>
      <w:pPr>
        <w:spacing w:before="80" w:after="80"/>
      </w:pPr>
    </w:p>
    <w:p>
      <w:pPr>
        <w:spacing w:before="240" w:after="100"/>
      </w:pPr>
      <w:r>
        <w:rPr>
          <w:rFonts w:ascii="Arial" w:cs="Arial" w:eastAsia="Arial" w:hAnsi="Arial"/>
          <w:b/>
          <w:bCs/>
          <w:color w:val="EA580C"/>
          <w:sz w:val="26"/>
          <w:szCs w:val="26"/>
        </w:rPr>
        <w:t xml:space="preserve">3.5  Placement Readiness Timeline &amp; Milestones</w:t>
      </w:r>
    </w:p>
    <w:p>
      <w:pPr>
        <w:spacing w:before="60" w:after="80"/>
        <w:jc w:val="both"/>
      </w:pPr>
      <w:r>
        <w:rPr>
          <w:rFonts w:ascii="Arial" w:cs="Arial" w:eastAsia="Arial" w:hAnsi="Arial"/>
          <w:color w:val="333333"/>
          <w:sz w:val="22"/>
          <w:szCs w:val="22"/>
        </w:rPr>
        <w:t xml:space="preserve">A structured calendar view showing readiness milestones, scheduled drives, and preparation deadlines — helping institutions manage the pre-placement period with precision.</w:t>
      </w:r>
    </w:p>
    <w:p>
      <w:pPr>
        <w:pStyle w:val="ListParagraph"/>
        <w:numPr>
          <w:ilvl w:val="0"/>
          <w:numId w:val="2"/>
        </w:numPr>
        <w:spacing w:before="50" w:after="50"/>
      </w:pPr>
      <w:r>
        <w:rPr>
          <w:rFonts w:ascii="Arial" w:cs="Arial" w:eastAsia="Arial" w:hAnsi="Arial"/>
          <w:color w:val="333333"/>
          <w:sz w:val="22"/>
          <w:szCs w:val="22"/>
        </w:rPr>
        <w:t xml:space="preserve">Configurable readiness milestones: mock interviews, GD practice, aptitude tests</w:t>
      </w:r>
    </w:p>
    <w:p>
      <w:pPr>
        <w:pStyle w:val="ListParagraph"/>
        <w:numPr>
          <w:ilvl w:val="0"/>
          <w:numId w:val="2"/>
        </w:numPr>
        <w:spacing w:before="50" w:after="50"/>
      </w:pPr>
      <w:r>
        <w:rPr>
          <w:rFonts w:ascii="Arial" w:cs="Arial" w:eastAsia="Arial" w:hAnsi="Arial"/>
          <w:color w:val="333333"/>
          <w:sz w:val="22"/>
          <w:szCs w:val="22"/>
        </w:rPr>
        <w:t xml:space="preserve">Automated milestone reminders to students and faculty</w:t>
      </w:r>
    </w:p>
    <w:p>
      <w:pPr>
        <w:pStyle w:val="ListParagraph"/>
        <w:numPr>
          <w:ilvl w:val="0"/>
          <w:numId w:val="2"/>
        </w:numPr>
        <w:spacing w:before="50" w:after="50"/>
      </w:pPr>
      <w:r>
        <w:rPr>
          <w:rFonts w:ascii="Arial" w:cs="Arial" w:eastAsia="Arial" w:hAnsi="Arial"/>
          <w:color w:val="333333"/>
          <w:sz w:val="22"/>
          <w:szCs w:val="22"/>
        </w:rPr>
        <w:t xml:space="preserve">Readiness gate: only students meeting PRS threshold are unlocked for registration</w:t>
      </w:r>
    </w:p>
    <w:p>
      <w:pPr>
        <w:pStyle w:val="ListParagraph"/>
        <w:numPr>
          <w:ilvl w:val="0"/>
          <w:numId w:val="2"/>
        </w:numPr>
        <w:spacing w:before="50" w:after="50"/>
      </w:pPr>
      <w:r>
        <w:rPr>
          <w:rFonts w:ascii="Arial" w:cs="Arial" w:eastAsia="Arial" w:hAnsi="Arial"/>
          <w:color w:val="333333"/>
          <w:sz w:val="22"/>
          <w:szCs w:val="22"/>
        </w:rPr>
        <w:t xml:space="preserve">Drive-day summary report: batch readiness snapshot on drive date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640"/>
      </w:tblGrid>
      <w:tr>
        <w:tc>
          <w:tcPr>
            <w:tcW w:type="dxa" w:w="4640"/>
            <w:tcBorders>
              <w:top w:val="single" w:color="D1D9E6" w:sz="1"/>
              <w:left w:val="single" w:color="D1D9E6" w:sz="1"/>
              <w:bottom w:val="single" w:color="D1D9E6" w:sz="1"/>
              <w:right w:val="single" w:color="D1D9E6" w:sz="1"/>
            </w:tcBorders>
            <w:shd w:fill="FFF7ED" w:val="clear"/>
            <w:tcMar>
              <w:top w:type="dxa" w:w="120"/>
              <w:left w:type="dxa" w:w="160"/>
              <w:bottom w:type="dxa" w:w="120"/>
              <w:right w:type="dxa" w:w="160"/>
            </w:tcMar>
          </w:tcPr>
          <w:p>
            <w:pPr>
              <w:spacing w:before="40" w:after="80"/>
            </w:pPr>
            <w:r>
              <w:rPr>
                <w:rFonts w:ascii="Arial" w:cs="Arial" w:eastAsia="Arial" w:hAnsi="Arial"/>
                <w:b/>
                <w:bCs/>
                <w:color w:val="EA580C"/>
                <w:sz w:val="22"/>
                <w:szCs w:val="22"/>
              </w:rPr>
              <w:t xml:space="preserve">What This Feature Solves</w:t>
            </w:r>
          </w:p>
          <w:p>
            <w:pPr>
              <w:spacing w:before="40" w:after="40"/>
            </w:pPr>
            <w:r>
              <w:rPr>
                <w:rFonts w:ascii="Arial" w:cs="Arial" w:eastAsia="Arial" w:hAnsi="Arial"/>
                <w:b/>
                <w:bCs/>
                <w:color w:val="EA580C"/>
                <w:sz w:val="21"/>
                <w:szCs w:val="21"/>
              </w:rPr>
              <w:t xml:space="preserve">• </w:t>
            </w:r>
            <w:r>
              <w:rPr>
                <w:rFonts w:ascii="Arial" w:cs="Arial" w:eastAsia="Arial" w:hAnsi="Arial"/>
                <w:color w:val="333333"/>
                <w:sz w:val="21"/>
                <w:szCs w:val="21"/>
              </w:rPr>
              <w:t xml:space="preserve">Placement gaps discovered only after rejections</w:t>
            </w:r>
          </w:p>
          <w:p>
            <w:pPr>
              <w:spacing w:before="40" w:after="40"/>
            </w:pPr>
            <w:r>
              <w:rPr>
                <w:rFonts w:ascii="Arial" w:cs="Arial" w:eastAsia="Arial" w:hAnsi="Arial"/>
                <w:b/>
                <w:bCs/>
                <w:color w:val="EA580C"/>
                <w:sz w:val="21"/>
                <w:szCs w:val="21"/>
              </w:rPr>
              <w:t xml:space="preserve">• </w:t>
            </w:r>
            <w:r>
              <w:rPr>
                <w:rFonts w:ascii="Arial" w:cs="Arial" w:eastAsia="Arial" w:hAnsi="Arial"/>
                <w:color w:val="333333"/>
                <w:sz w:val="21"/>
                <w:szCs w:val="21"/>
              </w:rPr>
              <w:t xml:space="preserve">No proactive intervention system for at-risk students</w:t>
            </w:r>
          </w:p>
          <w:p>
            <w:pPr>
              <w:spacing w:before="40" w:after="40"/>
            </w:pPr>
            <w:r>
              <w:rPr>
                <w:rFonts w:ascii="Arial" w:cs="Arial" w:eastAsia="Arial" w:hAnsi="Arial"/>
                <w:b/>
                <w:bCs/>
                <w:color w:val="EA580C"/>
                <w:sz w:val="21"/>
                <w:szCs w:val="21"/>
              </w:rPr>
              <w:t xml:space="preserve">• </w:t>
            </w:r>
            <w:r>
              <w:rPr>
                <w:rFonts w:ascii="Arial" w:cs="Arial" w:eastAsia="Arial" w:hAnsi="Arial"/>
                <w:color w:val="333333"/>
                <w:sz w:val="21"/>
                <w:szCs w:val="21"/>
              </w:rPr>
              <w:t xml:space="preserve">Mismatch between student profiles and employer needs</w:t>
            </w:r>
          </w:p>
          <w:p>
            <w:pPr>
              <w:spacing w:before="40" w:after="40"/>
            </w:pPr>
            <w:r>
              <w:rPr>
                <w:rFonts w:ascii="Arial" w:cs="Arial" w:eastAsia="Arial" w:hAnsi="Arial"/>
                <w:b/>
                <w:bCs/>
                <w:color w:val="EA580C"/>
                <w:sz w:val="21"/>
                <w:szCs w:val="21"/>
              </w:rPr>
              <w:t xml:space="preserve">• </w:t>
            </w:r>
            <w:r>
              <w:rPr>
                <w:rFonts w:ascii="Arial" w:cs="Arial" w:eastAsia="Arial" w:hAnsi="Arial"/>
                <w:color w:val="333333"/>
                <w:sz w:val="21"/>
                <w:szCs w:val="21"/>
              </w:rPr>
              <w:t xml:space="preserve">Placement drives conducted without preparedness data</w:t>
            </w:r>
          </w:p>
        </w:tc>
        <w:tc>
          <w:tcPr>
            <w:tcW w:type="dxa" w:w="4640"/>
            <w:tcBorders>
              <w:top w:val="single" w:color="D1D9E6" w:sz="1"/>
              <w:left w:val="single" w:color="D1D9E6" w:sz="1"/>
              <w:bottom w:val="single" w:color="D1D9E6" w:sz="1"/>
              <w:right w:val="single" w:color="D1D9E6" w:sz="1"/>
            </w:tcBorders>
            <w:shd w:fill="FFF7ED" w:val="clear"/>
            <w:tcMar>
              <w:top w:type="dxa" w:w="120"/>
              <w:left w:type="dxa" w:w="160"/>
              <w:bottom w:type="dxa" w:w="120"/>
              <w:right w:type="dxa" w:w="160"/>
            </w:tcMar>
          </w:tcPr>
          <w:p>
            <w:pPr>
              <w:spacing w:before="40" w:after="80"/>
            </w:pPr>
            <w:r>
              <w:rPr>
                <w:rFonts w:ascii="Arial" w:cs="Arial" w:eastAsia="Arial" w:hAnsi="Arial"/>
                <w:b/>
                <w:bCs/>
                <w:color w:val="EA580C"/>
                <w:sz w:val="22"/>
                <w:szCs w:val="22"/>
              </w:rPr>
              <w:t xml:space="preserve">Business Impact</w:t>
            </w:r>
          </w:p>
          <w:p>
            <w:pPr>
              <w:spacing w:before="40" w:after="40"/>
            </w:pPr>
            <w:r>
              <w:rPr>
                <w:rFonts w:ascii="Arial" w:cs="Arial" w:eastAsia="Arial" w:hAnsi="Arial"/>
                <w:b/>
                <w:bCs/>
                <w:color w:val="EA580C"/>
                <w:sz w:val="21"/>
                <w:szCs w:val="21"/>
              </w:rPr>
              <w:t xml:space="preserve">• </w:t>
            </w:r>
            <w:r>
              <w:rPr>
                <w:rFonts w:ascii="Arial" w:cs="Arial" w:eastAsia="Arial" w:hAnsi="Arial"/>
                <w:color w:val="333333"/>
                <w:sz w:val="21"/>
                <w:szCs w:val="21"/>
              </w:rPr>
              <w:t xml:space="preserve">Significantly higher placement rates through early preparation</w:t>
            </w:r>
          </w:p>
          <w:p>
            <w:pPr>
              <w:spacing w:before="40" w:after="40"/>
            </w:pPr>
            <w:r>
              <w:rPr>
                <w:rFonts w:ascii="Arial" w:cs="Arial" w:eastAsia="Arial" w:hAnsi="Arial"/>
                <w:b/>
                <w:bCs/>
                <w:color w:val="EA580C"/>
                <w:sz w:val="21"/>
                <w:szCs w:val="21"/>
              </w:rPr>
              <w:t xml:space="preserve">• </w:t>
            </w:r>
            <w:r>
              <w:rPr>
                <w:rFonts w:ascii="Arial" w:cs="Arial" w:eastAsia="Arial" w:hAnsi="Arial"/>
                <w:color w:val="333333"/>
                <w:sz w:val="21"/>
                <w:szCs w:val="21"/>
              </w:rPr>
              <w:t xml:space="preserve">Targeted coaching maximizes impact per rupee spent</w:t>
            </w:r>
          </w:p>
          <w:p>
            <w:pPr>
              <w:spacing w:before="40" w:after="40"/>
            </w:pPr>
            <w:r>
              <w:rPr>
                <w:rFonts w:ascii="Arial" w:cs="Arial" w:eastAsia="Arial" w:hAnsi="Arial"/>
                <w:b/>
                <w:bCs/>
                <w:color w:val="EA580C"/>
                <w:sz w:val="21"/>
                <w:szCs w:val="21"/>
              </w:rPr>
              <w:t xml:space="preserve">• </w:t>
            </w:r>
            <w:r>
              <w:rPr>
                <w:rFonts w:ascii="Arial" w:cs="Arial" w:eastAsia="Arial" w:hAnsi="Arial"/>
                <w:color w:val="333333"/>
                <w:sz w:val="21"/>
                <w:szCs w:val="21"/>
              </w:rPr>
              <w:t xml:space="preserve">Employer trust grows as match quality improves</w:t>
            </w:r>
          </w:p>
          <w:p>
            <w:pPr>
              <w:spacing w:before="40" w:after="40"/>
            </w:pPr>
            <w:r>
              <w:rPr>
                <w:rFonts w:ascii="Arial" w:cs="Arial" w:eastAsia="Arial" w:hAnsi="Arial"/>
                <w:b/>
                <w:bCs/>
                <w:color w:val="EA580C"/>
                <w:sz w:val="21"/>
                <w:szCs w:val="21"/>
              </w:rPr>
              <w:t xml:space="preserve">• </w:t>
            </w:r>
            <w:r>
              <w:rPr>
                <w:rFonts w:ascii="Arial" w:cs="Arial" w:eastAsia="Arial" w:hAnsi="Arial"/>
                <w:color w:val="333333"/>
                <w:sz w:val="21"/>
                <w:szCs w:val="21"/>
              </w:rPr>
              <w:t xml:space="preserve">Institutional placement record improves year over year</w:t>
            </w:r>
          </w:p>
        </w:tc>
      </w:tr>
    </w:tbl>
    <w:p>
      <w:pPr>
        <w:spacing w:before="80" w:after="80"/>
      </w:pPr>
    </w:p>
    <w:p>
      <w:r>
        <w:br w:type="page"/>
      </w:r>
    </w:p>
    <w:p>
      <w:pPr>
        <w:spacing w:before="480" w:after="120"/>
      </w:pPr>
      <w:r>
        <w:rPr>
          <w:rFonts w:ascii="Arial" w:cs="Arial" w:eastAsia="Arial" w:hAnsi="Arial"/>
          <w:b/>
          <w:bCs/>
          <w:color w:val="AAAAAA"/>
          <w:sz w:val="28"/>
          <w:szCs w:val="28"/>
        </w:rPr>
        <w:t xml:space="preserve">Feature 04  </w:t>
      </w:r>
      <w:r>
        <w:rPr>
          <w:rFonts w:ascii="Arial" w:cs="Arial" w:eastAsia="Arial" w:hAnsi="Arial"/>
          <w:b/>
          <w:bCs/>
          <w:color w:val="7C3AED"/>
          <w:sz w:val="36"/>
          <w:szCs w:val="36"/>
        </w:rPr>
        <w:t xml:space="preserve">Teacher Performance Analytics</w:t>
      </w:r>
    </w:p>
    <w:p>
      <w:pPr>
        <w:pBdr>
          <w:bottom w:val="single" w:color="7C3AED" w:sz="8" w:space="1"/>
        </w:pBdr>
        <w:spacing w:before="80" w:after="200"/>
      </w:pPr>
    </w:p>
    <w:p>
      <w:pPr>
        <w:spacing w:before="240" w:after="100"/>
      </w:pPr>
      <w:r>
        <w:rPr>
          <w:rFonts w:ascii="Arial" w:cs="Arial" w:eastAsia="Arial" w:hAnsi="Arial"/>
          <w:b/>
          <w:bCs/>
          <w:color w:val="1A56B0"/>
          <w:sz w:val="26"/>
          <w:szCs w:val="26"/>
        </w:rPr>
        <w:t xml:space="preserve">Overview</w:t>
      </w:r>
    </w:p>
    <w:p>
      <w:pPr>
        <w:spacing w:before="60" w:after="80"/>
        <w:jc w:val="both"/>
      </w:pPr>
      <w:r>
        <w:rPr>
          <w:rFonts w:ascii="Arial" w:cs="Arial" w:eastAsia="Arial" w:hAnsi="Arial"/>
          <w:color w:val="333333"/>
          <w:sz w:val="22"/>
          <w:szCs w:val="22"/>
        </w:rPr>
        <w:t xml:space="preserve">Teacher Performance Analytics provides a structured, data-driven framework to evaluate how effectively faculty members are contributing to student skill development and placement outcomes. Unlike traditional appraisal systems that rely on peer reviews or subjective assessments, this feature measures teacher performance through the observable impact of their work — student skill gains, engagement rates, assessment quality, and outcome correlations.</w:t>
      </w:r>
    </w:p>
    <w:p>
      <w:pPr>
        <w:spacing w:before="60" w:after="80"/>
        <w:jc w:val="both"/>
      </w:pPr>
      <w:r>
        <w:rPr>
          <w:rFonts w:ascii="Arial" w:cs="Arial" w:eastAsia="Arial" w:hAnsi="Arial"/>
          <w:color w:val="333333"/>
          <w:sz w:val="22"/>
          <w:szCs w:val="22"/>
        </w:rPr>
        <w:t xml:space="preserve">The goal is not surveillance but continuous improvement. Faculty receive personalized dashboards showing where their teaching is driving results and where changes could increase impact. Leadership gets an objective, consistent basis for performance reviews, recognition, and professional development planning.</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9E6" w:sz="1"/>
              <w:left w:val="single" w:color="D1D9E6" w:sz="1"/>
              <w:bottom w:val="single" w:color="D1D9E6" w:sz="1"/>
              <w:right w:val="single" w:color="D1D9E6" w:sz="1"/>
            </w:tcBorders>
            <w:shd w:fill="F5F7FA" w:val="clear"/>
            <w:tcMar>
              <w:top w:type="dxa" w:w="80"/>
              <w:left w:type="dxa" w:w="150"/>
              <w:bottom w:type="dxa" w:w="80"/>
              <w:right w:type="dxa" w:w="150"/>
            </w:tcMar>
          </w:tcPr>
          <w:p>
            <w:r>
              <w:rPr>
                <w:rFonts w:ascii="Arial" w:cs="Arial" w:eastAsia="Arial" w:hAnsi="Arial"/>
                <w:b/>
                <w:bCs/>
                <w:color w:val="1A56B0"/>
                <w:sz w:val="21"/>
                <w:szCs w:val="21"/>
              </w:rPr>
              <w:t xml:space="preserve">Target Users</w:t>
            </w:r>
          </w:p>
        </w:tc>
        <w:tc>
          <w:tcPr>
            <w:tcW w:type="dxa" w:w="6560"/>
            <w:tcBorders>
              <w:top w:val="single" w:color="D1D9E6" w:sz="1"/>
              <w:left w:val="single" w:color="D1D9E6" w:sz="1"/>
              <w:bottom w:val="single" w:color="D1D9E6" w:sz="1"/>
              <w:right w:val="single" w:color="D1D9E6" w:sz="1"/>
            </w:tcBorders>
            <w:tcMar>
              <w:top w:type="dxa" w:w="80"/>
              <w:left w:type="dxa" w:w="150"/>
              <w:bottom w:type="dxa" w:w="80"/>
              <w:right w:type="dxa" w:w="150"/>
            </w:tcMar>
          </w:tcPr>
          <w:p>
            <w:r>
              <w:rPr>
                <w:rFonts w:ascii="Arial" w:cs="Arial" w:eastAsia="Arial" w:hAnsi="Arial"/>
                <w:color w:val="333333"/>
                <w:sz w:val="21"/>
                <w:szCs w:val="21"/>
              </w:rPr>
              <w:t xml:space="preserve">Teachers (self-view), HODs, Academic Directors, HR/Administration</w:t>
            </w:r>
          </w:p>
        </w:tc>
      </w:tr>
      <w:tr>
        <w:tc>
          <w:tcPr>
            <w:tcW w:type="dxa" w:w="2800"/>
            <w:tcBorders>
              <w:top w:val="single" w:color="D1D9E6" w:sz="1"/>
              <w:left w:val="single" w:color="D1D9E6" w:sz="1"/>
              <w:bottom w:val="single" w:color="D1D9E6" w:sz="1"/>
              <w:right w:val="single" w:color="D1D9E6" w:sz="1"/>
            </w:tcBorders>
            <w:shd w:fill="F5F7FA" w:val="clear"/>
            <w:tcMar>
              <w:top w:type="dxa" w:w="80"/>
              <w:left w:type="dxa" w:w="150"/>
              <w:bottom w:type="dxa" w:w="80"/>
              <w:right w:type="dxa" w:w="150"/>
            </w:tcMar>
          </w:tcPr>
          <w:p>
            <w:r>
              <w:rPr>
                <w:rFonts w:ascii="Arial" w:cs="Arial" w:eastAsia="Arial" w:hAnsi="Arial"/>
                <w:b/>
                <w:bCs/>
                <w:color w:val="1A56B0"/>
                <w:sz w:val="21"/>
                <w:szCs w:val="21"/>
              </w:rPr>
              <w:t xml:space="preserve">Evaluation Dimensions</w:t>
            </w:r>
          </w:p>
        </w:tc>
        <w:tc>
          <w:tcPr>
            <w:tcW w:type="dxa" w:w="6560"/>
            <w:tcBorders>
              <w:top w:val="single" w:color="D1D9E6" w:sz="1"/>
              <w:left w:val="single" w:color="D1D9E6" w:sz="1"/>
              <w:bottom w:val="single" w:color="D1D9E6" w:sz="1"/>
              <w:right w:val="single" w:color="D1D9E6" w:sz="1"/>
            </w:tcBorders>
            <w:tcMar>
              <w:top w:type="dxa" w:w="80"/>
              <w:left w:type="dxa" w:w="150"/>
              <w:bottom w:type="dxa" w:w="80"/>
              <w:right w:type="dxa" w:w="150"/>
            </w:tcMar>
          </w:tcPr>
          <w:p>
            <w:r>
              <w:rPr>
                <w:rFonts w:ascii="Arial" w:cs="Arial" w:eastAsia="Arial" w:hAnsi="Arial"/>
                <w:color w:val="333333"/>
                <w:sz w:val="21"/>
                <w:szCs w:val="21"/>
              </w:rPr>
              <w:t xml:space="preserve">5 dimensions: Skill Delivery, Engagement, Assessment Quality, Outcomes, Conduct</w:t>
            </w:r>
          </w:p>
        </w:tc>
      </w:tr>
      <w:tr>
        <w:tc>
          <w:tcPr>
            <w:tcW w:type="dxa" w:w="2800"/>
            <w:tcBorders>
              <w:top w:val="single" w:color="D1D9E6" w:sz="1"/>
              <w:left w:val="single" w:color="D1D9E6" w:sz="1"/>
              <w:bottom w:val="single" w:color="D1D9E6" w:sz="1"/>
              <w:right w:val="single" w:color="D1D9E6" w:sz="1"/>
            </w:tcBorders>
            <w:shd w:fill="F5F7FA" w:val="clear"/>
            <w:tcMar>
              <w:top w:type="dxa" w:w="80"/>
              <w:left w:type="dxa" w:w="150"/>
              <w:bottom w:type="dxa" w:w="80"/>
              <w:right w:type="dxa" w:w="150"/>
            </w:tcMar>
          </w:tcPr>
          <w:p>
            <w:r>
              <w:rPr>
                <w:rFonts w:ascii="Arial" w:cs="Arial" w:eastAsia="Arial" w:hAnsi="Arial"/>
                <w:b/>
                <w:bCs/>
                <w:color w:val="1A56B0"/>
                <w:sz w:val="21"/>
                <w:szCs w:val="21"/>
              </w:rPr>
              <w:t xml:space="preserve">Privacy Model</w:t>
            </w:r>
          </w:p>
        </w:tc>
        <w:tc>
          <w:tcPr>
            <w:tcW w:type="dxa" w:w="6560"/>
            <w:tcBorders>
              <w:top w:val="single" w:color="D1D9E6" w:sz="1"/>
              <w:left w:val="single" w:color="D1D9E6" w:sz="1"/>
              <w:bottom w:val="single" w:color="D1D9E6" w:sz="1"/>
              <w:right w:val="single" w:color="D1D9E6" w:sz="1"/>
            </w:tcBorders>
            <w:tcMar>
              <w:top w:type="dxa" w:w="80"/>
              <w:left w:type="dxa" w:w="150"/>
              <w:bottom w:type="dxa" w:w="80"/>
              <w:right w:type="dxa" w:w="150"/>
            </w:tcMar>
          </w:tcPr>
          <w:p>
            <w:r>
              <w:rPr>
                <w:rFonts w:ascii="Arial" w:cs="Arial" w:eastAsia="Arial" w:hAnsi="Arial"/>
                <w:color w:val="333333"/>
                <w:sz w:val="21"/>
                <w:szCs w:val="21"/>
              </w:rPr>
              <w:t xml:space="preserve">Teachers see their own full data; Leadership sees aggregated + individual summaries</w:t>
            </w:r>
          </w:p>
        </w:tc>
      </w:tr>
      <w:tr>
        <w:tc>
          <w:tcPr>
            <w:tcW w:type="dxa" w:w="2800"/>
            <w:tcBorders>
              <w:top w:val="single" w:color="D1D9E6" w:sz="1"/>
              <w:left w:val="single" w:color="D1D9E6" w:sz="1"/>
              <w:bottom w:val="single" w:color="D1D9E6" w:sz="1"/>
              <w:right w:val="single" w:color="D1D9E6" w:sz="1"/>
            </w:tcBorders>
            <w:shd w:fill="F5F7FA" w:val="clear"/>
            <w:tcMar>
              <w:top w:type="dxa" w:w="80"/>
              <w:left w:type="dxa" w:w="150"/>
              <w:bottom w:type="dxa" w:w="80"/>
              <w:right w:type="dxa" w:w="150"/>
            </w:tcMar>
          </w:tcPr>
          <w:p>
            <w:r>
              <w:rPr>
                <w:rFonts w:ascii="Arial" w:cs="Arial" w:eastAsia="Arial" w:hAnsi="Arial"/>
                <w:b/>
                <w:bCs/>
                <w:color w:val="1A56B0"/>
                <w:sz w:val="21"/>
                <w:szCs w:val="21"/>
              </w:rPr>
              <w:t xml:space="preserve">Review Cycles</w:t>
            </w:r>
          </w:p>
        </w:tc>
        <w:tc>
          <w:tcPr>
            <w:tcW w:type="dxa" w:w="6560"/>
            <w:tcBorders>
              <w:top w:val="single" w:color="D1D9E6" w:sz="1"/>
              <w:left w:val="single" w:color="D1D9E6" w:sz="1"/>
              <w:bottom w:val="single" w:color="D1D9E6" w:sz="1"/>
              <w:right w:val="single" w:color="D1D9E6" w:sz="1"/>
            </w:tcBorders>
            <w:tcMar>
              <w:top w:type="dxa" w:w="80"/>
              <w:left w:type="dxa" w:w="150"/>
              <w:bottom w:type="dxa" w:w="80"/>
              <w:right w:type="dxa" w:w="150"/>
            </w:tcMar>
          </w:tcPr>
          <w:p>
            <w:r>
              <w:rPr>
                <w:rFonts w:ascii="Arial" w:cs="Arial" w:eastAsia="Arial" w:hAnsi="Arial"/>
                <w:color w:val="333333"/>
                <w:sz w:val="21"/>
                <w:szCs w:val="21"/>
              </w:rPr>
              <w:t xml:space="preserve">Continuous tracking + Formal quarterly review snapshots</w:t>
            </w:r>
          </w:p>
        </w:tc>
      </w:tr>
      <w:tr>
        <w:tc>
          <w:tcPr>
            <w:tcW w:type="dxa" w:w="2800"/>
            <w:tcBorders>
              <w:top w:val="single" w:color="D1D9E6" w:sz="1"/>
              <w:left w:val="single" w:color="D1D9E6" w:sz="1"/>
              <w:bottom w:val="single" w:color="D1D9E6" w:sz="1"/>
              <w:right w:val="single" w:color="D1D9E6" w:sz="1"/>
            </w:tcBorders>
            <w:shd w:fill="F5F7FA" w:val="clear"/>
            <w:tcMar>
              <w:top w:type="dxa" w:w="80"/>
              <w:left w:type="dxa" w:w="150"/>
              <w:bottom w:type="dxa" w:w="80"/>
              <w:right w:type="dxa" w:w="150"/>
            </w:tcMar>
          </w:tcPr>
          <w:p>
            <w:r>
              <w:rPr>
                <w:rFonts w:ascii="Arial" w:cs="Arial" w:eastAsia="Arial" w:hAnsi="Arial"/>
                <w:b/>
                <w:bCs/>
                <w:color w:val="1A56B0"/>
                <w:sz w:val="21"/>
                <w:szCs w:val="21"/>
              </w:rPr>
              <w:t xml:space="preserve">Integration</w:t>
            </w:r>
          </w:p>
        </w:tc>
        <w:tc>
          <w:tcPr>
            <w:tcW w:type="dxa" w:w="6560"/>
            <w:tcBorders>
              <w:top w:val="single" w:color="D1D9E6" w:sz="1"/>
              <w:left w:val="single" w:color="D1D9E6" w:sz="1"/>
              <w:bottom w:val="single" w:color="D1D9E6" w:sz="1"/>
              <w:right w:val="single" w:color="D1D9E6" w:sz="1"/>
            </w:tcBorders>
            <w:tcMar>
              <w:top w:type="dxa" w:w="80"/>
              <w:left w:type="dxa" w:w="150"/>
              <w:bottom w:type="dxa" w:w="80"/>
              <w:right w:type="dxa" w:w="150"/>
            </w:tcMar>
          </w:tcPr>
          <w:p>
            <w:r>
              <w:rPr>
                <w:rFonts w:ascii="Arial" w:cs="Arial" w:eastAsia="Arial" w:hAnsi="Arial"/>
                <w:color w:val="333333"/>
                <w:sz w:val="21"/>
                <w:szCs w:val="21"/>
              </w:rPr>
              <w:t xml:space="preserve">Pulls from course delivery logs, student assessments, feedback submissions</w:t>
            </w:r>
          </w:p>
        </w:tc>
      </w:tr>
    </w:tbl>
    <w:p>
      <w:pPr>
        <w:spacing w:before="160" w:after="160"/>
      </w:pPr>
    </w:p>
    <w:p>
      <w:pPr>
        <w:spacing w:before="240" w:after="100"/>
      </w:pPr>
      <w:r>
        <w:rPr>
          <w:rFonts w:ascii="Arial" w:cs="Arial" w:eastAsia="Arial" w:hAnsi="Arial"/>
          <w:b/>
          <w:bCs/>
          <w:color w:val="1A56B0"/>
          <w:sz w:val="26"/>
          <w:szCs w:val="26"/>
        </w:rPr>
        <w:t xml:space="preserve">Purpose &amp; Business Need</w:t>
      </w:r>
    </w:p>
    <w:p>
      <w:pPr>
        <w:spacing w:before="60" w:after="80"/>
        <w:jc w:val="both"/>
      </w:pPr>
      <w:r>
        <w:rPr>
          <w:rFonts w:ascii="Arial" w:cs="Arial" w:eastAsia="Arial" w:hAnsi="Arial"/>
          <w:color w:val="333333"/>
          <w:sz w:val="22"/>
          <w:szCs w:val="22"/>
        </w:rPr>
        <w:t xml:space="preserve">Institutions struggle to provide teachers with meaningful, actionable feedback. Annual reviews based on peer surveys are too infrequent and too subjective to drive real improvement. This feature creates a feedback loop where teachers can see the impact of their delivery in near-real time, enabling them to adjust their approach before a course ends rather than after it is too late.</w:t>
      </w:r>
    </w:p>
    <w:p>
      <w:pPr>
        <w:spacing w:before="80" w:after="80"/>
      </w:pPr>
    </w:p>
    <w:p>
      <w:pPr>
        <w:spacing w:before="240" w:after="100"/>
      </w:pPr>
      <w:r>
        <w:rPr>
          <w:rFonts w:ascii="Arial" w:cs="Arial" w:eastAsia="Arial" w:hAnsi="Arial"/>
          <w:b/>
          <w:bCs/>
          <w:color w:val="1A56B0"/>
          <w:sz w:val="26"/>
          <w:szCs w:val="26"/>
        </w:rPr>
        <w:t xml:space="preserve">Core Sub-Features</w:t>
      </w:r>
    </w:p>
    <w:p>
      <w:pPr>
        <w:spacing w:before="240" w:after="100"/>
      </w:pPr>
      <w:r>
        <w:rPr>
          <w:rFonts w:ascii="Arial" w:cs="Arial" w:eastAsia="Arial" w:hAnsi="Arial"/>
          <w:b/>
          <w:bCs/>
          <w:color w:val="7C3AED"/>
          <w:sz w:val="26"/>
          <w:szCs w:val="26"/>
        </w:rPr>
        <w:t xml:space="preserve">4.1  Teacher Performance Score (TPS)</w:t>
      </w:r>
    </w:p>
    <w:p>
      <w:pPr>
        <w:spacing w:before="60" w:after="80"/>
        <w:jc w:val="both"/>
      </w:pPr>
      <w:r>
        <w:rPr>
          <w:rFonts w:ascii="Arial" w:cs="Arial" w:eastAsia="Arial" w:hAnsi="Arial"/>
          <w:color w:val="333333"/>
          <w:sz w:val="22"/>
          <w:szCs w:val="22"/>
        </w:rPr>
        <w:t xml:space="preserve">A composite score calculated from five weighted dimensions that collectively represent teaching effectiveness in the context of skill-based employability education.</w:t>
      </w:r>
    </w:p>
    <w:p>
      <w:pPr>
        <w:pStyle w:val="ListParagraph"/>
        <w:numPr>
          <w:ilvl w:val="0"/>
          <w:numId w:val="2"/>
        </w:numPr>
        <w:spacing w:before="50" w:after="50"/>
      </w:pPr>
      <w:r>
        <w:rPr>
          <w:rFonts w:ascii="Arial" w:cs="Arial" w:eastAsia="Arial" w:hAnsi="Arial"/>
          <w:color w:val="333333"/>
          <w:sz w:val="22"/>
          <w:szCs w:val="22"/>
        </w:rPr>
        <w:t xml:space="preserve">Skill Delivery Score (30%): Average student skill gain in courses taught by this teacher</w:t>
      </w:r>
    </w:p>
    <w:p>
      <w:pPr>
        <w:pStyle w:val="ListParagraph"/>
        <w:numPr>
          <w:ilvl w:val="0"/>
          <w:numId w:val="2"/>
        </w:numPr>
        <w:spacing w:before="50" w:after="50"/>
      </w:pPr>
      <w:r>
        <w:rPr>
          <w:rFonts w:ascii="Arial" w:cs="Arial" w:eastAsia="Arial" w:hAnsi="Arial"/>
          <w:color w:val="333333"/>
          <w:sz w:val="22"/>
          <w:szCs w:val="22"/>
        </w:rPr>
        <w:t xml:space="preserve">Engagement Rate (20%): Student participation, assignment submission, and course completion rates</w:t>
      </w:r>
    </w:p>
    <w:p>
      <w:pPr>
        <w:pStyle w:val="ListParagraph"/>
        <w:numPr>
          <w:ilvl w:val="0"/>
          <w:numId w:val="2"/>
        </w:numPr>
        <w:spacing w:before="50" w:after="50"/>
      </w:pPr>
      <w:r>
        <w:rPr>
          <w:rFonts w:ascii="Arial" w:cs="Arial" w:eastAsia="Arial" w:hAnsi="Arial"/>
          <w:color w:val="333333"/>
          <w:sz w:val="22"/>
          <w:szCs w:val="22"/>
        </w:rPr>
        <w:t xml:space="preserve">Assessment Quality Score (20%): Validity of assessments — do they accurately predict student skill?</w:t>
      </w:r>
    </w:p>
    <w:p>
      <w:pPr>
        <w:pStyle w:val="ListParagraph"/>
        <w:numPr>
          <w:ilvl w:val="0"/>
          <w:numId w:val="2"/>
        </w:numPr>
        <w:spacing w:before="50" w:after="50"/>
      </w:pPr>
      <w:r>
        <w:rPr>
          <w:rFonts w:ascii="Arial" w:cs="Arial" w:eastAsia="Arial" w:hAnsi="Arial"/>
          <w:color w:val="333333"/>
          <w:sz w:val="22"/>
          <w:szCs w:val="22"/>
        </w:rPr>
        <w:t xml:space="preserve">Outcome Correlation (20%): Do students from this teacher's courses perform better in placements?</w:t>
      </w:r>
    </w:p>
    <w:p>
      <w:pPr>
        <w:pStyle w:val="ListParagraph"/>
        <w:numPr>
          <w:ilvl w:val="0"/>
          <w:numId w:val="2"/>
        </w:numPr>
        <w:spacing w:before="50" w:after="50"/>
      </w:pPr>
      <w:r>
        <w:rPr>
          <w:rFonts w:ascii="Arial" w:cs="Arial" w:eastAsia="Arial" w:hAnsi="Arial"/>
          <w:color w:val="333333"/>
          <w:sz w:val="22"/>
          <w:szCs w:val="22"/>
        </w:rPr>
        <w:t xml:space="preserve">Student Feedback Score (10%): Anonymized, structured feedback from enrolled students</w:t>
      </w:r>
    </w:p>
    <w:p>
      <w:pPr>
        <w:spacing w:before="80" w:after="80"/>
      </w:pPr>
    </w:p>
    <w:p>
      <w:pPr>
        <w:spacing w:before="240" w:after="100"/>
      </w:pPr>
      <w:r>
        <w:rPr>
          <w:rFonts w:ascii="Arial" w:cs="Arial" w:eastAsia="Arial" w:hAnsi="Arial"/>
          <w:b/>
          <w:bCs/>
          <w:color w:val="7C3AED"/>
          <w:sz w:val="26"/>
          <w:szCs w:val="26"/>
        </w:rPr>
        <w:t xml:space="preserve">4.2  Teacher Self-Dashboard</w:t>
      </w:r>
    </w:p>
    <w:p>
      <w:pPr>
        <w:spacing w:before="60" w:after="80"/>
        <w:jc w:val="both"/>
      </w:pPr>
      <w:r>
        <w:rPr>
          <w:rFonts w:ascii="Arial" w:cs="Arial" w:eastAsia="Arial" w:hAnsi="Arial"/>
          <w:color w:val="333333"/>
          <w:sz w:val="22"/>
          <w:szCs w:val="22"/>
        </w:rPr>
        <w:t xml:space="preserve">A personal analytics dashboard visible only to the teacher themselves. Designed to be a coaching tool rather than a surveillance tool — giving faculty the data they need to improve.</w:t>
      </w:r>
    </w:p>
    <w:p>
      <w:pPr>
        <w:pStyle w:val="ListParagraph"/>
        <w:numPr>
          <w:ilvl w:val="0"/>
          <w:numId w:val="2"/>
        </w:numPr>
        <w:spacing w:before="50" w:after="50"/>
      </w:pPr>
      <w:r>
        <w:rPr>
          <w:rFonts w:ascii="Arial" w:cs="Arial" w:eastAsia="Arial" w:hAnsi="Arial"/>
          <w:color w:val="333333"/>
          <w:sz w:val="22"/>
          <w:szCs w:val="22"/>
        </w:rPr>
        <w:t xml:space="preserve">TPS over time: see how performance has trended each month and semester</w:t>
      </w:r>
    </w:p>
    <w:p>
      <w:pPr>
        <w:pStyle w:val="ListParagraph"/>
        <w:numPr>
          <w:ilvl w:val="0"/>
          <w:numId w:val="2"/>
        </w:numPr>
        <w:spacing w:before="50" w:after="50"/>
      </w:pPr>
      <w:r>
        <w:rPr>
          <w:rFonts w:ascii="Arial" w:cs="Arial" w:eastAsia="Arial" w:hAnsi="Arial"/>
          <w:color w:val="333333"/>
          <w:sz w:val="22"/>
          <w:szCs w:val="22"/>
        </w:rPr>
        <w:t xml:space="preserve">Course-level breakdown: which courses are driving strong outcomes, which are not</w:t>
      </w:r>
    </w:p>
    <w:p>
      <w:pPr>
        <w:pStyle w:val="ListParagraph"/>
        <w:numPr>
          <w:ilvl w:val="0"/>
          <w:numId w:val="2"/>
        </w:numPr>
        <w:spacing w:before="50" w:after="50"/>
      </w:pPr>
      <w:r>
        <w:rPr>
          <w:rFonts w:ascii="Arial" w:cs="Arial" w:eastAsia="Arial" w:hAnsi="Arial"/>
          <w:color w:val="333333"/>
          <w:sz w:val="22"/>
          <w:szCs w:val="22"/>
        </w:rPr>
        <w:t xml:space="preserve">Student skill gains: see average before/after skill scores for students in each course</w:t>
      </w:r>
    </w:p>
    <w:p>
      <w:pPr>
        <w:pStyle w:val="ListParagraph"/>
        <w:numPr>
          <w:ilvl w:val="0"/>
          <w:numId w:val="2"/>
        </w:numPr>
        <w:spacing w:before="50" w:after="50"/>
      </w:pPr>
      <w:r>
        <w:rPr>
          <w:rFonts w:ascii="Arial" w:cs="Arial" w:eastAsia="Arial" w:hAnsi="Arial"/>
          <w:color w:val="333333"/>
          <w:sz w:val="22"/>
          <w:szCs w:val="22"/>
        </w:rPr>
        <w:t xml:space="preserve">Engagement analytics: submission rates, session attendance, and activity completion</w:t>
      </w:r>
    </w:p>
    <w:p>
      <w:pPr>
        <w:pStyle w:val="ListParagraph"/>
        <w:numPr>
          <w:ilvl w:val="0"/>
          <w:numId w:val="2"/>
        </w:numPr>
        <w:spacing w:before="50" w:after="50"/>
      </w:pPr>
      <w:r>
        <w:rPr>
          <w:rFonts w:ascii="Arial" w:cs="Arial" w:eastAsia="Arial" w:hAnsi="Arial"/>
          <w:color w:val="333333"/>
          <w:sz w:val="22"/>
          <w:szCs w:val="22"/>
        </w:rPr>
        <w:t xml:space="preserve">Peer benchmark (anonymized): how this teacher compares to faculty average</w:t>
      </w:r>
    </w:p>
    <w:p>
      <w:pPr>
        <w:spacing w:before="80" w:after="80"/>
      </w:pPr>
    </w:p>
    <w:p>
      <w:pPr>
        <w:spacing w:before="240" w:after="100"/>
      </w:pPr>
      <w:r>
        <w:rPr>
          <w:rFonts w:ascii="Arial" w:cs="Arial" w:eastAsia="Arial" w:hAnsi="Arial"/>
          <w:b/>
          <w:bCs/>
          <w:color w:val="7C3AED"/>
          <w:sz w:val="26"/>
          <w:szCs w:val="26"/>
        </w:rPr>
        <w:t xml:space="preserve">4.3  HOD / Leadership Performance Review Panel</w:t>
      </w:r>
    </w:p>
    <w:p>
      <w:pPr>
        <w:spacing w:before="60" w:after="80"/>
        <w:jc w:val="both"/>
      </w:pPr>
      <w:r>
        <w:rPr>
          <w:rFonts w:ascii="Arial" w:cs="Arial" w:eastAsia="Arial" w:hAnsi="Arial"/>
          <w:color w:val="333333"/>
          <w:sz w:val="22"/>
          <w:szCs w:val="22"/>
        </w:rPr>
        <w:t xml:space="preserve">An administrative view giving department heads and academic directors a structured overview of faculty performance for review cycles, recognition, and development planning.</w:t>
      </w:r>
    </w:p>
    <w:p>
      <w:pPr>
        <w:pStyle w:val="ListParagraph"/>
        <w:numPr>
          <w:ilvl w:val="0"/>
          <w:numId w:val="2"/>
        </w:numPr>
        <w:spacing w:before="50" w:after="50"/>
      </w:pPr>
      <w:r>
        <w:rPr>
          <w:rFonts w:ascii="Arial" w:cs="Arial" w:eastAsia="Arial" w:hAnsi="Arial"/>
          <w:color w:val="333333"/>
          <w:sz w:val="22"/>
          <w:szCs w:val="22"/>
        </w:rPr>
        <w:t xml:space="preserve">Department-level TPS leaderboard — identify top performers and those needing support</w:t>
      </w:r>
    </w:p>
    <w:p>
      <w:pPr>
        <w:pStyle w:val="ListParagraph"/>
        <w:numPr>
          <w:ilvl w:val="0"/>
          <w:numId w:val="2"/>
        </w:numPr>
        <w:spacing w:before="50" w:after="50"/>
      </w:pPr>
      <w:r>
        <w:rPr>
          <w:rFonts w:ascii="Arial" w:cs="Arial" w:eastAsia="Arial" w:hAnsi="Arial"/>
          <w:color w:val="333333"/>
          <w:sz w:val="22"/>
          <w:szCs w:val="22"/>
        </w:rPr>
        <w:t xml:space="preserve">Drill-down into individual faculty profiles for detailed review</w:t>
      </w:r>
    </w:p>
    <w:p>
      <w:pPr>
        <w:pStyle w:val="ListParagraph"/>
        <w:numPr>
          <w:ilvl w:val="0"/>
          <w:numId w:val="2"/>
        </w:numPr>
        <w:spacing w:before="50" w:after="50"/>
      </w:pPr>
      <w:r>
        <w:rPr>
          <w:rFonts w:ascii="Arial" w:cs="Arial" w:eastAsia="Arial" w:hAnsi="Arial"/>
          <w:color w:val="333333"/>
          <w:sz w:val="22"/>
          <w:szCs w:val="22"/>
        </w:rPr>
        <w:t xml:space="preserve">Trend analysis: is overall department teaching quality improving over time</w:t>
      </w:r>
    </w:p>
    <w:p>
      <w:pPr>
        <w:pStyle w:val="ListParagraph"/>
        <w:numPr>
          <w:ilvl w:val="0"/>
          <w:numId w:val="2"/>
        </w:numPr>
        <w:spacing w:before="50" w:after="50"/>
      </w:pPr>
      <w:r>
        <w:rPr>
          <w:rFonts w:ascii="Arial" w:cs="Arial" w:eastAsia="Arial" w:hAnsi="Arial"/>
          <w:color w:val="333333"/>
          <w:sz w:val="22"/>
          <w:szCs w:val="22"/>
        </w:rPr>
        <w:t xml:space="preserve">Risk flags: teachers whose student outcomes are significantly below department average</w:t>
      </w:r>
    </w:p>
    <w:p>
      <w:pPr>
        <w:pStyle w:val="ListParagraph"/>
        <w:numPr>
          <w:ilvl w:val="0"/>
          <w:numId w:val="2"/>
        </w:numPr>
        <w:spacing w:before="50" w:after="50"/>
      </w:pPr>
      <w:r>
        <w:rPr>
          <w:rFonts w:ascii="Arial" w:cs="Arial" w:eastAsia="Arial" w:hAnsi="Arial"/>
          <w:color w:val="333333"/>
          <w:sz w:val="22"/>
          <w:szCs w:val="22"/>
        </w:rPr>
        <w:t xml:space="preserve">Generate printable performance summary for formal appraisal meetings</w:t>
      </w:r>
    </w:p>
    <w:p>
      <w:pPr>
        <w:spacing w:before="80" w:after="80"/>
      </w:pPr>
    </w:p>
    <w:p>
      <w:pPr>
        <w:spacing w:before="240" w:after="100"/>
      </w:pPr>
      <w:r>
        <w:rPr>
          <w:rFonts w:ascii="Arial" w:cs="Arial" w:eastAsia="Arial" w:hAnsi="Arial"/>
          <w:b/>
          <w:bCs/>
          <w:color w:val="7C3AED"/>
          <w:sz w:val="26"/>
          <w:szCs w:val="26"/>
        </w:rPr>
        <w:t xml:space="preserve">4.4  Structured Student Feedback System</w:t>
      </w:r>
    </w:p>
    <w:p>
      <w:pPr>
        <w:spacing w:before="60" w:after="80"/>
        <w:jc w:val="both"/>
      </w:pPr>
      <w:r>
        <w:rPr>
          <w:rFonts w:ascii="Arial" w:cs="Arial" w:eastAsia="Arial" w:hAnsi="Arial"/>
          <w:color w:val="333333"/>
          <w:sz w:val="22"/>
          <w:szCs w:val="22"/>
        </w:rPr>
        <w:t xml:space="preserve">A standardized, anonymized feedback mechanism that collects student input at the end of each course module. Feedback is structured to yield actionable insights rather than free-form opinions.</w:t>
      </w:r>
    </w:p>
    <w:p>
      <w:pPr>
        <w:pStyle w:val="ListParagraph"/>
        <w:numPr>
          <w:ilvl w:val="0"/>
          <w:numId w:val="2"/>
        </w:numPr>
        <w:spacing w:before="50" w:after="50"/>
      </w:pPr>
      <w:r>
        <w:rPr>
          <w:rFonts w:ascii="Arial" w:cs="Arial" w:eastAsia="Arial" w:hAnsi="Arial"/>
          <w:color w:val="333333"/>
          <w:sz w:val="22"/>
          <w:szCs w:val="22"/>
        </w:rPr>
        <w:t xml:space="preserve">Fixed-format survey: 10 questions mapped to teaching effectiveness dimensions</w:t>
      </w:r>
    </w:p>
    <w:p>
      <w:pPr>
        <w:pStyle w:val="ListParagraph"/>
        <w:numPr>
          <w:ilvl w:val="0"/>
          <w:numId w:val="2"/>
        </w:numPr>
        <w:spacing w:before="50" w:after="50"/>
      </w:pPr>
      <w:r>
        <w:rPr>
          <w:rFonts w:ascii="Arial" w:cs="Arial" w:eastAsia="Arial" w:hAnsi="Arial"/>
          <w:color w:val="333333"/>
          <w:sz w:val="22"/>
          <w:szCs w:val="22"/>
        </w:rPr>
        <w:t xml:space="preserve">Anonymous response aggregation — no individual student can be identified</w:t>
      </w:r>
    </w:p>
    <w:p>
      <w:pPr>
        <w:pStyle w:val="ListParagraph"/>
        <w:numPr>
          <w:ilvl w:val="0"/>
          <w:numId w:val="2"/>
        </w:numPr>
        <w:spacing w:before="50" w:after="50"/>
      </w:pPr>
      <w:r>
        <w:rPr>
          <w:rFonts w:ascii="Arial" w:cs="Arial" w:eastAsia="Arial" w:hAnsi="Arial"/>
          <w:color w:val="333333"/>
          <w:sz w:val="22"/>
          <w:szCs w:val="22"/>
        </w:rPr>
        <w:t xml:space="preserve">Response rate tracking — low response alerts to ensure data reliability</w:t>
      </w:r>
    </w:p>
    <w:p>
      <w:pPr>
        <w:pStyle w:val="ListParagraph"/>
        <w:numPr>
          <w:ilvl w:val="0"/>
          <w:numId w:val="2"/>
        </w:numPr>
        <w:spacing w:before="50" w:after="50"/>
      </w:pPr>
      <w:r>
        <w:rPr>
          <w:rFonts w:ascii="Arial" w:cs="Arial" w:eastAsia="Arial" w:hAnsi="Arial"/>
          <w:color w:val="333333"/>
          <w:sz w:val="22"/>
          <w:szCs w:val="22"/>
        </w:rPr>
        <w:t xml:space="preserve">Sentiment trend: is feedback improving or declining over the semester</w:t>
      </w:r>
    </w:p>
    <w:p>
      <w:pPr>
        <w:pStyle w:val="ListParagraph"/>
        <w:numPr>
          <w:ilvl w:val="0"/>
          <w:numId w:val="2"/>
        </w:numPr>
        <w:spacing w:before="50" w:after="50"/>
      </w:pPr>
      <w:r>
        <w:rPr>
          <w:rFonts w:ascii="Arial" w:cs="Arial" w:eastAsia="Arial" w:hAnsi="Arial"/>
          <w:color w:val="333333"/>
          <w:sz w:val="22"/>
          <w:szCs w:val="22"/>
        </w:rPr>
        <w:t xml:space="preserve">Teacher receives anonymized summary; leadership receives aggregated view</w:t>
      </w:r>
    </w:p>
    <w:p>
      <w:pPr>
        <w:spacing w:before="80" w:after="80"/>
      </w:pPr>
    </w:p>
    <w:p>
      <w:pPr>
        <w:spacing w:before="240" w:after="100"/>
      </w:pPr>
      <w:r>
        <w:rPr>
          <w:rFonts w:ascii="Arial" w:cs="Arial" w:eastAsia="Arial" w:hAnsi="Arial"/>
          <w:b/>
          <w:bCs/>
          <w:color w:val="7C3AED"/>
          <w:sz w:val="26"/>
          <w:szCs w:val="26"/>
        </w:rPr>
        <w:t xml:space="preserve">4.5  Professional Development Recommendations</w:t>
      </w:r>
    </w:p>
    <w:p>
      <w:pPr>
        <w:spacing w:before="60" w:after="80"/>
        <w:jc w:val="both"/>
      </w:pPr>
      <w:r>
        <w:rPr>
          <w:rFonts w:ascii="Arial" w:cs="Arial" w:eastAsia="Arial" w:hAnsi="Arial"/>
          <w:color w:val="333333"/>
          <w:sz w:val="22"/>
          <w:szCs w:val="22"/>
        </w:rPr>
        <w:t xml:space="preserve">Based on TPS dimension scores and trend patterns, the system automatically surfaces personalized recommendations for professional development activities — workshops, certifications, peer observations, or content revisions.</w:t>
      </w:r>
    </w:p>
    <w:p>
      <w:pPr>
        <w:pStyle w:val="ListParagraph"/>
        <w:numPr>
          <w:ilvl w:val="0"/>
          <w:numId w:val="2"/>
        </w:numPr>
        <w:spacing w:before="50" w:after="50"/>
      </w:pPr>
      <w:r>
        <w:rPr>
          <w:rFonts w:ascii="Arial" w:cs="Arial" w:eastAsia="Arial" w:hAnsi="Arial"/>
          <w:color w:val="333333"/>
          <w:sz w:val="22"/>
          <w:szCs w:val="22"/>
        </w:rPr>
        <w:t xml:space="preserve">Dimension-specific recommendations: if Engagement is low, suggest active learning workshops</w:t>
      </w:r>
    </w:p>
    <w:p>
      <w:pPr>
        <w:pStyle w:val="ListParagraph"/>
        <w:numPr>
          <w:ilvl w:val="0"/>
          <w:numId w:val="2"/>
        </w:numPr>
        <w:spacing w:before="50" w:after="50"/>
      </w:pPr>
      <w:r>
        <w:rPr>
          <w:rFonts w:ascii="Arial" w:cs="Arial" w:eastAsia="Arial" w:hAnsi="Arial"/>
          <w:color w:val="333333"/>
          <w:sz w:val="22"/>
          <w:szCs w:val="22"/>
        </w:rPr>
        <w:t xml:space="preserve">Course revision alerts: when a course consistently produces low skill gains</w:t>
      </w:r>
    </w:p>
    <w:p>
      <w:pPr>
        <w:pStyle w:val="ListParagraph"/>
        <w:numPr>
          <w:ilvl w:val="0"/>
          <w:numId w:val="2"/>
        </w:numPr>
        <w:spacing w:before="50" w:after="50"/>
      </w:pPr>
      <w:r>
        <w:rPr>
          <w:rFonts w:ascii="Arial" w:cs="Arial" w:eastAsia="Arial" w:hAnsi="Arial"/>
          <w:color w:val="333333"/>
          <w:sz w:val="22"/>
          <w:szCs w:val="22"/>
        </w:rPr>
        <w:t xml:space="preserve">Peer collaboration suggestions: pair lower-performing teacher with top-performing colleague</w:t>
      </w:r>
    </w:p>
    <w:p>
      <w:pPr>
        <w:pStyle w:val="ListParagraph"/>
        <w:numPr>
          <w:ilvl w:val="0"/>
          <w:numId w:val="2"/>
        </w:numPr>
        <w:spacing w:before="50" w:after="50"/>
      </w:pPr>
      <w:r>
        <w:rPr>
          <w:rFonts w:ascii="Arial" w:cs="Arial" w:eastAsia="Arial" w:hAnsi="Arial"/>
          <w:color w:val="333333"/>
          <w:sz w:val="22"/>
          <w:szCs w:val="22"/>
        </w:rPr>
        <w:t xml:space="preserve">Development goal tracking: teachers can set goals and track progress within the platform</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640"/>
      </w:tblGrid>
      <w:tr>
        <w:tc>
          <w:tcPr>
            <w:tcW w:type="dxa" w:w="4640"/>
            <w:tcBorders>
              <w:top w:val="single" w:color="D1D9E6" w:sz="1"/>
              <w:left w:val="single" w:color="D1D9E6" w:sz="1"/>
              <w:bottom w:val="single" w:color="D1D9E6" w:sz="1"/>
              <w:right w:val="single" w:color="D1D9E6" w:sz="1"/>
            </w:tcBorders>
            <w:shd w:fill="F5F3FF" w:val="clear"/>
            <w:tcMar>
              <w:top w:type="dxa" w:w="120"/>
              <w:left w:type="dxa" w:w="160"/>
              <w:bottom w:type="dxa" w:w="120"/>
              <w:right w:type="dxa" w:w="160"/>
            </w:tcMar>
          </w:tcPr>
          <w:p>
            <w:pPr>
              <w:spacing w:before="40" w:after="80"/>
            </w:pPr>
            <w:r>
              <w:rPr>
                <w:rFonts w:ascii="Arial" w:cs="Arial" w:eastAsia="Arial" w:hAnsi="Arial"/>
                <w:b/>
                <w:bCs/>
                <w:color w:val="7C3AED"/>
                <w:sz w:val="22"/>
                <w:szCs w:val="22"/>
              </w:rPr>
              <w:t xml:space="preserve">What This Feature Solves</w:t>
            </w:r>
          </w:p>
          <w:p>
            <w:pPr>
              <w:spacing w:before="40" w:after="40"/>
            </w:pPr>
            <w:r>
              <w:rPr>
                <w:rFonts w:ascii="Arial" w:cs="Arial" w:eastAsia="Arial" w:hAnsi="Arial"/>
                <w:b/>
                <w:bCs/>
                <w:color w:val="7C3AED"/>
                <w:sz w:val="21"/>
                <w:szCs w:val="21"/>
              </w:rPr>
              <w:t xml:space="preserve">• </w:t>
            </w:r>
            <w:r>
              <w:rPr>
                <w:rFonts w:ascii="Arial" w:cs="Arial" w:eastAsia="Arial" w:hAnsi="Arial"/>
                <w:color w:val="333333"/>
                <w:sz w:val="21"/>
                <w:szCs w:val="21"/>
              </w:rPr>
              <w:t xml:space="preserve">Subjective, infrequent teacher performance reviews</w:t>
            </w:r>
          </w:p>
          <w:p>
            <w:pPr>
              <w:spacing w:before="40" w:after="40"/>
            </w:pPr>
            <w:r>
              <w:rPr>
                <w:rFonts w:ascii="Arial" w:cs="Arial" w:eastAsia="Arial" w:hAnsi="Arial"/>
                <w:b/>
                <w:bCs/>
                <w:color w:val="7C3AED"/>
                <w:sz w:val="21"/>
                <w:szCs w:val="21"/>
              </w:rPr>
              <w:t xml:space="preserve">• </w:t>
            </w:r>
            <w:r>
              <w:rPr>
                <w:rFonts w:ascii="Arial" w:cs="Arial" w:eastAsia="Arial" w:hAnsi="Arial"/>
                <w:color w:val="333333"/>
                <w:sz w:val="21"/>
                <w:szCs w:val="21"/>
              </w:rPr>
              <w:t xml:space="preserve">Faculty have no real-time feedback on teaching effectiveness</w:t>
            </w:r>
          </w:p>
          <w:p>
            <w:pPr>
              <w:spacing w:before="40" w:after="40"/>
            </w:pPr>
            <w:r>
              <w:rPr>
                <w:rFonts w:ascii="Arial" w:cs="Arial" w:eastAsia="Arial" w:hAnsi="Arial"/>
                <w:b/>
                <w:bCs/>
                <w:color w:val="7C3AED"/>
                <w:sz w:val="21"/>
                <w:szCs w:val="21"/>
              </w:rPr>
              <w:t xml:space="preserve">• </w:t>
            </w:r>
            <w:r>
              <w:rPr>
                <w:rFonts w:ascii="Arial" w:cs="Arial" w:eastAsia="Arial" w:hAnsi="Arial"/>
                <w:color w:val="333333"/>
                <w:sz w:val="21"/>
                <w:szCs w:val="21"/>
              </w:rPr>
              <w:t xml:space="preserve">No connection between teaching quality and student outcomes</w:t>
            </w:r>
          </w:p>
          <w:p>
            <w:pPr>
              <w:spacing w:before="40" w:after="40"/>
            </w:pPr>
            <w:r>
              <w:rPr>
                <w:rFonts w:ascii="Arial" w:cs="Arial" w:eastAsia="Arial" w:hAnsi="Arial"/>
                <w:b/>
                <w:bCs/>
                <w:color w:val="7C3AED"/>
                <w:sz w:val="21"/>
                <w:szCs w:val="21"/>
              </w:rPr>
              <w:t xml:space="preserve">• </w:t>
            </w:r>
            <w:r>
              <w:rPr>
                <w:rFonts w:ascii="Arial" w:cs="Arial" w:eastAsia="Arial" w:hAnsi="Arial"/>
                <w:color w:val="333333"/>
                <w:sz w:val="21"/>
                <w:szCs w:val="21"/>
              </w:rPr>
              <w:t xml:space="preserve">Difficult to identify who needs support vs. who should be recognized</w:t>
            </w:r>
          </w:p>
        </w:tc>
        <w:tc>
          <w:tcPr>
            <w:tcW w:type="dxa" w:w="4640"/>
            <w:tcBorders>
              <w:top w:val="single" w:color="D1D9E6" w:sz="1"/>
              <w:left w:val="single" w:color="D1D9E6" w:sz="1"/>
              <w:bottom w:val="single" w:color="D1D9E6" w:sz="1"/>
              <w:right w:val="single" w:color="D1D9E6" w:sz="1"/>
            </w:tcBorders>
            <w:shd w:fill="F5F3FF" w:val="clear"/>
            <w:tcMar>
              <w:top w:type="dxa" w:w="120"/>
              <w:left w:type="dxa" w:w="160"/>
              <w:bottom w:type="dxa" w:w="120"/>
              <w:right w:type="dxa" w:w="160"/>
            </w:tcMar>
          </w:tcPr>
          <w:p>
            <w:pPr>
              <w:spacing w:before="40" w:after="80"/>
            </w:pPr>
            <w:r>
              <w:rPr>
                <w:rFonts w:ascii="Arial" w:cs="Arial" w:eastAsia="Arial" w:hAnsi="Arial"/>
                <w:b/>
                <w:bCs/>
                <w:color w:val="7C3AED"/>
                <w:sz w:val="22"/>
                <w:szCs w:val="22"/>
              </w:rPr>
              <w:t xml:space="preserve">Business Impact</w:t>
            </w:r>
          </w:p>
          <w:p>
            <w:pPr>
              <w:spacing w:before="40" w:after="40"/>
            </w:pPr>
            <w:r>
              <w:rPr>
                <w:rFonts w:ascii="Arial" w:cs="Arial" w:eastAsia="Arial" w:hAnsi="Arial"/>
                <w:b/>
                <w:bCs/>
                <w:color w:val="7C3AED"/>
                <w:sz w:val="21"/>
                <w:szCs w:val="21"/>
              </w:rPr>
              <w:t xml:space="preserve">• </w:t>
            </w:r>
            <w:r>
              <w:rPr>
                <w:rFonts w:ascii="Arial" w:cs="Arial" w:eastAsia="Arial" w:hAnsi="Arial"/>
                <w:color w:val="333333"/>
                <w:sz w:val="21"/>
                <w:szCs w:val="21"/>
              </w:rPr>
              <w:t xml:space="preserve">Data-driven appraisals are fairer and more credible</w:t>
            </w:r>
          </w:p>
          <w:p>
            <w:pPr>
              <w:spacing w:before="40" w:after="40"/>
            </w:pPr>
            <w:r>
              <w:rPr>
                <w:rFonts w:ascii="Arial" w:cs="Arial" w:eastAsia="Arial" w:hAnsi="Arial"/>
                <w:b/>
                <w:bCs/>
                <w:color w:val="7C3AED"/>
                <w:sz w:val="21"/>
                <w:szCs w:val="21"/>
              </w:rPr>
              <w:t xml:space="preserve">• </w:t>
            </w:r>
            <w:r>
              <w:rPr>
                <w:rFonts w:ascii="Arial" w:cs="Arial" w:eastAsia="Arial" w:hAnsi="Arial"/>
                <w:color w:val="333333"/>
                <w:sz w:val="21"/>
                <w:szCs w:val="21"/>
              </w:rPr>
              <w:t xml:space="preserve">Teachers improve faster with continuous, specific feedback</w:t>
            </w:r>
          </w:p>
          <w:p>
            <w:pPr>
              <w:spacing w:before="40" w:after="40"/>
            </w:pPr>
            <w:r>
              <w:rPr>
                <w:rFonts w:ascii="Arial" w:cs="Arial" w:eastAsia="Arial" w:hAnsi="Arial"/>
                <w:b/>
                <w:bCs/>
                <w:color w:val="7C3AED"/>
                <w:sz w:val="21"/>
                <w:szCs w:val="21"/>
              </w:rPr>
              <w:t xml:space="preserve">• </w:t>
            </w:r>
            <w:r>
              <w:rPr>
                <w:rFonts w:ascii="Arial" w:cs="Arial" w:eastAsia="Arial" w:hAnsi="Arial"/>
                <w:color w:val="333333"/>
                <w:sz w:val="21"/>
                <w:szCs w:val="21"/>
              </w:rPr>
              <w:t xml:space="preserve">Student outcomes improve as teaching quality increases</w:t>
            </w:r>
          </w:p>
          <w:p>
            <w:pPr>
              <w:spacing w:before="40" w:after="40"/>
            </w:pPr>
            <w:r>
              <w:rPr>
                <w:rFonts w:ascii="Arial" w:cs="Arial" w:eastAsia="Arial" w:hAnsi="Arial"/>
                <w:b/>
                <w:bCs/>
                <w:color w:val="7C3AED"/>
                <w:sz w:val="21"/>
                <w:szCs w:val="21"/>
              </w:rPr>
              <w:t xml:space="preserve">• </w:t>
            </w:r>
            <w:r>
              <w:rPr>
                <w:rFonts w:ascii="Arial" w:cs="Arial" w:eastAsia="Arial" w:hAnsi="Arial"/>
                <w:color w:val="333333"/>
                <w:sz w:val="21"/>
                <w:szCs w:val="21"/>
              </w:rPr>
              <w:t xml:space="preserve">Leadership can make evidence-based staffing and recognition decisions</w:t>
            </w:r>
          </w:p>
        </w:tc>
      </w:tr>
    </w:tbl>
    <w:p>
      <w:pPr>
        <w:spacing w:before="80" w:after="80"/>
      </w:pPr>
    </w:p>
    <w:p>
      <w:r>
        <w:br w:type="page"/>
      </w:r>
    </w:p>
    <w:p>
      <w:pPr>
        <w:spacing w:before="480" w:after="120"/>
      </w:pPr>
      <w:r>
        <w:rPr>
          <w:rFonts w:ascii="Arial" w:cs="Arial" w:eastAsia="Arial" w:hAnsi="Arial"/>
          <w:b/>
          <w:bCs/>
          <w:color w:val="AAAAAA"/>
          <w:sz w:val="28"/>
          <w:szCs w:val="28"/>
        </w:rPr>
        <w:t xml:space="preserve">Feature 05  </w:t>
      </w:r>
      <w:r>
        <w:rPr>
          <w:rFonts w:ascii="Arial" w:cs="Arial" w:eastAsia="Arial" w:hAnsi="Arial"/>
          <w:b/>
          <w:bCs/>
          <w:color w:val="0D9488"/>
          <w:sz w:val="36"/>
          <w:szCs w:val="36"/>
        </w:rPr>
        <w:t xml:space="preserve">Institute Reputation Score</w:t>
      </w:r>
    </w:p>
    <w:p>
      <w:pPr>
        <w:pBdr>
          <w:bottom w:val="single" w:color="0D9488" w:sz="8" w:space="1"/>
        </w:pBdr>
        <w:spacing w:before="80" w:after="200"/>
      </w:pPr>
    </w:p>
    <w:p>
      <w:pPr>
        <w:spacing w:before="240" w:after="100"/>
      </w:pPr>
      <w:r>
        <w:rPr>
          <w:rFonts w:ascii="Arial" w:cs="Arial" w:eastAsia="Arial" w:hAnsi="Arial"/>
          <w:b/>
          <w:bCs/>
          <w:color w:val="1A56B0"/>
          <w:sz w:val="26"/>
          <w:szCs w:val="26"/>
        </w:rPr>
        <w:t xml:space="preserve">Overview</w:t>
      </w:r>
    </w:p>
    <w:p>
      <w:pPr>
        <w:spacing w:before="60" w:after="80"/>
        <w:jc w:val="both"/>
      </w:pPr>
      <w:r>
        <w:rPr>
          <w:rFonts w:ascii="Arial" w:cs="Arial" w:eastAsia="Arial" w:hAnsi="Arial"/>
          <w:color w:val="333333"/>
          <w:sz w:val="22"/>
          <w:szCs w:val="22"/>
        </w:rPr>
        <w:t xml:space="preserve">The Institute Reputation Score (IRS) is a dynamic, composite index that quantifies how an institution is perceived and how it actually performs across the dimensions that matter most to students, employers, and the broader education ecosystem. It combines verifiable outcome data — placement rates, student skill levels, employer satisfaction — with behavioral and engagement metrics to produce a transparent, trustworthy reputation signal.</w:t>
      </w:r>
    </w:p>
    <w:p>
      <w:pPr>
        <w:spacing w:before="60" w:after="80"/>
        <w:jc w:val="both"/>
      </w:pPr>
      <w:r>
        <w:rPr>
          <w:rFonts w:ascii="Arial" w:cs="Arial" w:eastAsia="Arial" w:hAnsi="Arial"/>
          <w:color w:val="333333"/>
          <w:sz w:val="22"/>
          <w:szCs w:val="22"/>
        </w:rPr>
        <w:t xml:space="preserve">Unlike third-party rankings that are infrequent and opaque, the IRS is calculated in near-real time from live platform data. It is not a marketing tool — it is an operational performance indicator that helps institutes understand what is working, what needs improvement, and how they compare to peer institutions.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9E6" w:sz="1"/>
              <w:left w:val="single" w:color="D1D9E6" w:sz="1"/>
              <w:bottom w:val="single" w:color="D1D9E6" w:sz="1"/>
              <w:right w:val="single" w:color="D1D9E6" w:sz="1"/>
            </w:tcBorders>
            <w:shd w:fill="F5F7FA" w:val="clear"/>
            <w:tcMar>
              <w:top w:type="dxa" w:w="80"/>
              <w:left w:type="dxa" w:w="150"/>
              <w:bottom w:type="dxa" w:w="80"/>
              <w:right w:type="dxa" w:w="150"/>
            </w:tcMar>
          </w:tcPr>
          <w:p>
            <w:r>
              <w:rPr>
                <w:rFonts w:ascii="Arial" w:cs="Arial" w:eastAsia="Arial" w:hAnsi="Arial"/>
                <w:b/>
                <w:bCs/>
                <w:color w:val="1A56B0"/>
                <w:sz w:val="21"/>
                <w:szCs w:val="21"/>
              </w:rPr>
              <w:t xml:space="preserve">Target Users</w:t>
            </w:r>
          </w:p>
        </w:tc>
        <w:tc>
          <w:tcPr>
            <w:tcW w:type="dxa" w:w="6560"/>
            <w:tcBorders>
              <w:top w:val="single" w:color="D1D9E6" w:sz="1"/>
              <w:left w:val="single" w:color="D1D9E6" w:sz="1"/>
              <w:bottom w:val="single" w:color="D1D9E6" w:sz="1"/>
              <w:right w:val="single" w:color="D1D9E6" w:sz="1"/>
            </w:tcBorders>
            <w:tcMar>
              <w:top w:type="dxa" w:w="80"/>
              <w:left w:type="dxa" w:w="150"/>
              <w:bottom w:type="dxa" w:w="80"/>
              <w:right w:type="dxa" w:w="150"/>
            </w:tcMar>
          </w:tcPr>
          <w:p>
            <w:r>
              <w:rPr>
                <w:rFonts w:ascii="Arial" w:cs="Arial" w:eastAsia="Arial" w:hAnsi="Arial"/>
                <w:color w:val="333333"/>
                <w:sz w:val="21"/>
                <w:szCs w:val="21"/>
              </w:rPr>
              <w:t xml:space="preserve">Institute Leadership, Placement Officers, Marketing Teams, Prospective Students</w:t>
            </w:r>
          </w:p>
        </w:tc>
      </w:tr>
      <w:tr>
        <w:tc>
          <w:tcPr>
            <w:tcW w:type="dxa" w:w="2800"/>
            <w:tcBorders>
              <w:top w:val="single" w:color="D1D9E6" w:sz="1"/>
              <w:left w:val="single" w:color="D1D9E6" w:sz="1"/>
              <w:bottom w:val="single" w:color="D1D9E6" w:sz="1"/>
              <w:right w:val="single" w:color="D1D9E6" w:sz="1"/>
            </w:tcBorders>
            <w:shd w:fill="F5F7FA" w:val="clear"/>
            <w:tcMar>
              <w:top w:type="dxa" w:w="80"/>
              <w:left w:type="dxa" w:w="150"/>
              <w:bottom w:type="dxa" w:w="80"/>
              <w:right w:type="dxa" w:w="150"/>
            </w:tcMar>
          </w:tcPr>
          <w:p>
            <w:r>
              <w:rPr>
                <w:rFonts w:ascii="Arial" w:cs="Arial" w:eastAsia="Arial" w:hAnsi="Arial"/>
                <w:b/>
                <w:bCs/>
                <w:color w:val="1A56B0"/>
                <w:sz w:val="21"/>
                <w:szCs w:val="21"/>
              </w:rPr>
              <w:t xml:space="preserve">Score Range</w:t>
            </w:r>
          </w:p>
        </w:tc>
        <w:tc>
          <w:tcPr>
            <w:tcW w:type="dxa" w:w="6560"/>
            <w:tcBorders>
              <w:top w:val="single" w:color="D1D9E6" w:sz="1"/>
              <w:left w:val="single" w:color="D1D9E6" w:sz="1"/>
              <w:bottom w:val="single" w:color="D1D9E6" w:sz="1"/>
              <w:right w:val="single" w:color="D1D9E6" w:sz="1"/>
            </w:tcBorders>
            <w:tcMar>
              <w:top w:type="dxa" w:w="80"/>
              <w:left w:type="dxa" w:w="150"/>
              <w:bottom w:type="dxa" w:w="80"/>
              <w:right w:type="dxa" w:w="150"/>
            </w:tcMar>
          </w:tcPr>
          <w:p>
            <w:r>
              <w:rPr>
                <w:rFonts w:ascii="Arial" w:cs="Arial" w:eastAsia="Arial" w:hAnsi="Arial"/>
                <w:color w:val="333333"/>
                <w:sz w:val="21"/>
                <w:szCs w:val="21"/>
              </w:rPr>
              <w:t xml:space="preserve">0–1000 IRS, displayed as percentile rank among platform institutions</w:t>
            </w:r>
          </w:p>
        </w:tc>
      </w:tr>
      <w:tr>
        <w:tc>
          <w:tcPr>
            <w:tcW w:type="dxa" w:w="2800"/>
            <w:tcBorders>
              <w:top w:val="single" w:color="D1D9E6" w:sz="1"/>
              <w:left w:val="single" w:color="D1D9E6" w:sz="1"/>
              <w:bottom w:val="single" w:color="D1D9E6" w:sz="1"/>
              <w:right w:val="single" w:color="D1D9E6" w:sz="1"/>
            </w:tcBorders>
            <w:shd w:fill="F5F7FA" w:val="clear"/>
            <w:tcMar>
              <w:top w:type="dxa" w:w="80"/>
              <w:left w:type="dxa" w:w="150"/>
              <w:bottom w:type="dxa" w:w="80"/>
              <w:right w:type="dxa" w:w="150"/>
            </w:tcMar>
          </w:tcPr>
          <w:p>
            <w:r>
              <w:rPr>
                <w:rFonts w:ascii="Arial" w:cs="Arial" w:eastAsia="Arial" w:hAnsi="Arial"/>
                <w:b/>
                <w:bCs/>
                <w:color w:val="1A56B0"/>
                <w:sz w:val="21"/>
                <w:szCs w:val="21"/>
              </w:rPr>
              <w:t xml:space="preserve">Calculation Frequency</w:t>
            </w:r>
          </w:p>
        </w:tc>
        <w:tc>
          <w:tcPr>
            <w:tcW w:type="dxa" w:w="6560"/>
            <w:tcBorders>
              <w:top w:val="single" w:color="D1D9E6" w:sz="1"/>
              <w:left w:val="single" w:color="D1D9E6" w:sz="1"/>
              <w:bottom w:val="single" w:color="D1D9E6" w:sz="1"/>
              <w:right w:val="single" w:color="D1D9E6" w:sz="1"/>
            </w:tcBorders>
            <w:tcMar>
              <w:top w:type="dxa" w:w="80"/>
              <w:left w:type="dxa" w:w="150"/>
              <w:bottom w:type="dxa" w:w="80"/>
              <w:right w:type="dxa" w:w="150"/>
            </w:tcMar>
          </w:tcPr>
          <w:p>
            <w:r>
              <w:rPr>
                <w:rFonts w:ascii="Arial" w:cs="Arial" w:eastAsia="Arial" w:hAnsi="Arial"/>
                <w:color w:val="333333"/>
                <w:sz w:val="21"/>
                <w:szCs w:val="21"/>
              </w:rPr>
              <w:t xml:space="preserve">Recalculated monthly; quarterly formal snapshot for reporting</w:t>
            </w:r>
          </w:p>
        </w:tc>
      </w:tr>
      <w:tr>
        <w:tc>
          <w:tcPr>
            <w:tcW w:type="dxa" w:w="2800"/>
            <w:tcBorders>
              <w:top w:val="single" w:color="D1D9E6" w:sz="1"/>
              <w:left w:val="single" w:color="D1D9E6" w:sz="1"/>
              <w:bottom w:val="single" w:color="D1D9E6" w:sz="1"/>
              <w:right w:val="single" w:color="D1D9E6" w:sz="1"/>
            </w:tcBorders>
            <w:shd w:fill="F5F7FA" w:val="clear"/>
            <w:tcMar>
              <w:top w:type="dxa" w:w="80"/>
              <w:left w:type="dxa" w:w="150"/>
              <w:bottom w:type="dxa" w:w="80"/>
              <w:right w:type="dxa" w:w="150"/>
            </w:tcMar>
          </w:tcPr>
          <w:p>
            <w:r>
              <w:rPr>
                <w:rFonts w:ascii="Arial" w:cs="Arial" w:eastAsia="Arial" w:hAnsi="Arial"/>
                <w:b/>
                <w:bCs/>
                <w:color w:val="1A56B0"/>
                <w:sz w:val="21"/>
                <w:szCs w:val="21"/>
              </w:rPr>
              <w:t xml:space="preserve">Visibility</w:t>
            </w:r>
          </w:p>
        </w:tc>
        <w:tc>
          <w:tcPr>
            <w:tcW w:type="dxa" w:w="6560"/>
            <w:tcBorders>
              <w:top w:val="single" w:color="D1D9E6" w:sz="1"/>
              <w:left w:val="single" w:color="D1D9E6" w:sz="1"/>
              <w:bottom w:val="single" w:color="D1D9E6" w:sz="1"/>
              <w:right w:val="single" w:color="D1D9E6" w:sz="1"/>
            </w:tcBorders>
            <w:tcMar>
              <w:top w:type="dxa" w:w="80"/>
              <w:left w:type="dxa" w:w="150"/>
              <w:bottom w:type="dxa" w:w="80"/>
              <w:right w:type="dxa" w:w="150"/>
            </w:tcMar>
          </w:tcPr>
          <w:p>
            <w:r>
              <w:rPr>
                <w:rFonts w:ascii="Arial" w:cs="Arial" w:eastAsia="Arial" w:hAnsi="Arial"/>
                <w:color w:val="333333"/>
                <w:sz w:val="21"/>
                <w:szCs w:val="21"/>
              </w:rPr>
              <w:t xml:space="preserve">Summary visible to employers and students; full breakdown visible to institute only</w:t>
            </w:r>
          </w:p>
        </w:tc>
      </w:tr>
      <w:tr>
        <w:tc>
          <w:tcPr>
            <w:tcW w:type="dxa" w:w="2800"/>
            <w:tcBorders>
              <w:top w:val="single" w:color="D1D9E6" w:sz="1"/>
              <w:left w:val="single" w:color="D1D9E6" w:sz="1"/>
              <w:bottom w:val="single" w:color="D1D9E6" w:sz="1"/>
              <w:right w:val="single" w:color="D1D9E6" w:sz="1"/>
            </w:tcBorders>
            <w:shd w:fill="F5F7FA" w:val="clear"/>
            <w:tcMar>
              <w:top w:type="dxa" w:w="80"/>
              <w:left w:type="dxa" w:w="150"/>
              <w:bottom w:type="dxa" w:w="80"/>
              <w:right w:type="dxa" w:w="150"/>
            </w:tcMar>
          </w:tcPr>
          <w:p>
            <w:r>
              <w:rPr>
                <w:rFonts w:ascii="Arial" w:cs="Arial" w:eastAsia="Arial" w:hAnsi="Arial"/>
                <w:b/>
                <w:bCs/>
                <w:color w:val="1A56B0"/>
                <w:sz w:val="21"/>
                <w:szCs w:val="21"/>
              </w:rPr>
              <w:t xml:space="preserve">Benchmark Data</w:t>
            </w:r>
          </w:p>
        </w:tc>
        <w:tc>
          <w:tcPr>
            <w:tcW w:type="dxa" w:w="6560"/>
            <w:tcBorders>
              <w:top w:val="single" w:color="D1D9E6" w:sz="1"/>
              <w:left w:val="single" w:color="D1D9E6" w:sz="1"/>
              <w:bottom w:val="single" w:color="D1D9E6" w:sz="1"/>
              <w:right w:val="single" w:color="D1D9E6" w:sz="1"/>
            </w:tcBorders>
            <w:tcMar>
              <w:top w:type="dxa" w:w="80"/>
              <w:left w:type="dxa" w:w="150"/>
              <w:bottom w:type="dxa" w:w="80"/>
              <w:right w:type="dxa" w:w="150"/>
            </w:tcMar>
          </w:tcPr>
          <w:p>
            <w:r>
              <w:rPr>
                <w:rFonts w:ascii="Arial" w:cs="Arial" w:eastAsia="Arial" w:hAnsi="Arial"/>
                <w:color w:val="333333"/>
                <w:sz w:val="21"/>
                <w:szCs w:val="21"/>
              </w:rPr>
              <w:t xml:space="preserve">Compared against peer institutions of similar size, tier, and domain focus</w:t>
            </w:r>
          </w:p>
        </w:tc>
      </w:tr>
    </w:tbl>
    <w:p>
      <w:pPr>
        <w:spacing w:before="160" w:after="160"/>
      </w:pPr>
    </w:p>
    <w:p>
      <w:pPr>
        <w:spacing w:before="240" w:after="100"/>
      </w:pPr>
      <w:r>
        <w:rPr>
          <w:rFonts w:ascii="Arial" w:cs="Arial" w:eastAsia="Arial" w:hAnsi="Arial"/>
          <w:b/>
          <w:bCs/>
          <w:color w:val="1A56B0"/>
          <w:sz w:val="26"/>
          <w:szCs w:val="26"/>
        </w:rPr>
        <w:t xml:space="preserve">Purpose &amp; Business Need</w:t>
      </w:r>
    </w:p>
    <w:p>
      <w:pPr>
        <w:spacing w:before="60" w:after="80"/>
        <w:jc w:val="both"/>
      </w:pPr>
      <w:r>
        <w:rPr>
          <w:rFonts w:ascii="Arial" w:cs="Arial" w:eastAsia="Arial" w:hAnsi="Arial"/>
          <w:color w:val="333333"/>
          <w:sz w:val="22"/>
          <w:szCs w:val="22"/>
        </w:rPr>
        <w:t xml:space="preserve">Institutes compete for students, employers, and funding — but have no credible, standardized way to demonstrate their quality to the outside world. Self-reported rankings are distrusted. The IRS solves this by creating a third-party-style objective score grounded entirely in verified platform activity. Students choosing an institute can see its track record. Employers deciding where to recruit can see historical performance. Institutes themselves can see exactly which levers to pull to improve.</w:t>
      </w:r>
    </w:p>
    <w:p>
      <w:pPr>
        <w:spacing w:before="80" w:after="80"/>
      </w:pPr>
    </w:p>
    <w:p>
      <w:pPr>
        <w:spacing w:before="240" w:after="100"/>
      </w:pPr>
      <w:r>
        <w:rPr>
          <w:rFonts w:ascii="Arial" w:cs="Arial" w:eastAsia="Arial" w:hAnsi="Arial"/>
          <w:b/>
          <w:bCs/>
          <w:color w:val="1A56B0"/>
          <w:sz w:val="26"/>
          <w:szCs w:val="26"/>
        </w:rPr>
        <w:t xml:space="preserve">Core Sub-Features</w:t>
      </w:r>
    </w:p>
    <w:p>
      <w:pPr>
        <w:spacing w:before="240" w:after="100"/>
      </w:pPr>
      <w:r>
        <w:rPr>
          <w:rFonts w:ascii="Arial" w:cs="Arial" w:eastAsia="Arial" w:hAnsi="Arial"/>
          <w:b/>
          <w:bCs/>
          <w:color w:val="0D9488"/>
          <w:sz w:val="26"/>
          <w:szCs w:val="26"/>
        </w:rPr>
        <w:t xml:space="preserve">5.1  IRS Calculation Engine (5-Pillar Model)</w:t>
      </w:r>
    </w:p>
    <w:p>
      <w:pPr>
        <w:spacing w:before="60" w:after="80"/>
        <w:jc w:val="both"/>
      </w:pPr>
      <w:r>
        <w:rPr>
          <w:rFonts w:ascii="Arial" w:cs="Arial" w:eastAsia="Arial" w:hAnsi="Arial"/>
          <w:color w:val="333333"/>
          <w:sz w:val="22"/>
          <w:szCs w:val="22"/>
        </w:rPr>
        <w:t xml:space="preserve">The IRS is calculated from five equally weighted pillars, each drawing from distinct data sources within the platform.</w:t>
      </w:r>
    </w:p>
    <w:p>
      <w:pPr>
        <w:pStyle w:val="ListParagraph"/>
        <w:numPr>
          <w:ilvl w:val="0"/>
          <w:numId w:val="2"/>
        </w:numPr>
        <w:spacing w:before="50" w:after="50"/>
      </w:pPr>
      <w:r>
        <w:rPr>
          <w:rFonts w:ascii="Arial" w:cs="Arial" w:eastAsia="Arial" w:hAnsi="Arial"/>
          <w:color w:val="333333"/>
          <w:sz w:val="22"/>
          <w:szCs w:val="22"/>
        </w:rPr>
        <w:t xml:space="preserve">Placement Outcomes Pillar (25%): Placement rate, average CTC, employer diversity, offer fulfillment rate</w:t>
      </w:r>
    </w:p>
    <w:p>
      <w:pPr>
        <w:pStyle w:val="ListParagraph"/>
        <w:numPr>
          <w:ilvl w:val="0"/>
          <w:numId w:val="2"/>
        </w:numPr>
        <w:spacing w:before="50" w:after="50"/>
      </w:pPr>
      <w:r>
        <w:rPr>
          <w:rFonts w:ascii="Arial" w:cs="Arial" w:eastAsia="Arial" w:hAnsi="Arial"/>
          <w:color w:val="333333"/>
          <w:sz w:val="22"/>
          <w:szCs w:val="22"/>
        </w:rPr>
        <w:t xml:space="preserve">Skill Development Pillar (20%): Average student employability score, skill coverage breadth, assessment pass rates</w:t>
      </w:r>
    </w:p>
    <w:p>
      <w:pPr>
        <w:pStyle w:val="ListParagraph"/>
        <w:numPr>
          <w:ilvl w:val="0"/>
          <w:numId w:val="2"/>
        </w:numPr>
        <w:spacing w:before="50" w:after="50"/>
      </w:pPr>
      <w:r>
        <w:rPr>
          <w:rFonts w:ascii="Arial" w:cs="Arial" w:eastAsia="Arial" w:hAnsi="Arial"/>
          <w:color w:val="333333"/>
          <w:sz w:val="22"/>
          <w:szCs w:val="22"/>
        </w:rPr>
        <w:t xml:space="preserve">Employer Satisfaction Pillar (20%): Post-hiring recruiter feedback scores, re-visit rate, JD-candidate match quality</w:t>
      </w:r>
    </w:p>
    <w:p>
      <w:pPr>
        <w:pStyle w:val="ListParagraph"/>
        <w:numPr>
          <w:ilvl w:val="0"/>
          <w:numId w:val="2"/>
        </w:numPr>
        <w:spacing w:before="50" w:after="50"/>
      </w:pPr>
      <w:r>
        <w:rPr>
          <w:rFonts w:ascii="Arial" w:cs="Arial" w:eastAsia="Arial" w:hAnsi="Arial"/>
          <w:color w:val="333333"/>
          <w:sz w:val="22"/>
          <w:szCs w:val="22"/>
        </w:rPr>
        <w:t xml:space="preserve">Student Experience Pillar (20%): Student satisfaction ratings, dropout rates, post-joining retention at 90 days</w:t>
      </w:r>
    </w:p>
    <w:p>
      <w:pPr>
        <w:pStyle w:val="ListParagraph"/>
        <w:numPr>
          <w:ilvl w:val="0"/>
          <w:numId w:val="2"/>
        </w:numPr>
        <w:spacing w:before="50" w:after="50"/>
      </w:pPr>
      <w:r>
        <w:rPr>
          <w:rFonts w:ascii="Arial" w:cs="Arial" w:eastAsia="Arial" w:hAnsi="Arial"/>
          <w:color w:val="333333"/>
          <w:sz w:val="22"/>
          <w:szCs w:val="22"/>
        </w:rPr>
        <w:t xml:space="preserve">Platform Activity Pillar (15%): Engagement with platform tools, mock interview participation, GD completion rates</w:t>
      </w:r>
    </w:p>
    <w:p>
      <w:pPr>
        <w:spacing w:before="80" w:after="80"/>
      </w:pPr>
    </w:p>
    <w:p>
      <w:pPr>
        <w:spacing w:before="240" w:after="100"/>
      </w:pPr>
      <w:r>
        <w:rPr>
          <w:rFonts w:ascii="Arial" w:cs="Arial" w:eastAsia="Arial" w:hAnsi="Arial"/>
          <w:b/>
          <w:bCs/>
          <w:color w:val="0D9488"/>
          <w:sz w:val="26"/>
          <w:szCs w:val="26"/>
        </w:rPr>
        <w:t xml:space="preserve">5.2  Institute Reputation Dashboard</w:t>
      </w:r>
    </w:p>
    <w:p>
      <w:pPr>
        <w:spacing w:before="60" w:after="80"/>
        <w:jc w:val="both"/>
      </w:pPr>
      <w:r>
        <w:rPr>
          <w:rFonts w:ascii="Arial" w:cs="Arial" w:eastAsia="Arial" w:hAnsi="Arial"/>
          <w:color w:val="333333"/>
          <w:sz w:val="22"/>
          <w:szCs w:val="22"/>
        </w:rPr>
        <w:t xml:space="preserve">A comprehensive internal dashboard showing the full IRS breakdown, historical trend, pillar-level performance, and actionable insights for improvement.</w:t>
      </w:r>
    </w:p>
    <w:p>
      <w:pPr>
        <w:pStyle w:val="ListParagraph"/>
        <w:numPr>
          <w:ilvl w:val="0"/>
          <w:numId w:val="2"/>
        </w:numPr>
        <w:spacing w:before="50" w:after="50"/>
      </w:pPr>
      <w:r>
        <w:rPr>
          <w:rFonts w:ascii="Arial" w:cs="Arial" w:eastAsia="Arial" w:hAnsi="Arial"/>
          <w:color w:val="333333"/>
          <w:sz w:val="22"/>
          <w:szCs w:val="22"/>
        </w:rPr>
        <w:t xml:space="preserve">Overall IRS with month-over-month change indicator</w:t>
      </w:r>
    </w:p>
    <w:p>
      <w:pPr>
        <w:pStyle w:val="ListParagraph"/>
        <w:numPr>
          <w:ilvl w:val="0"/>
          <w:numId w:val="2"/>
        </w:numPr>
        <w:spacing w:before="50" w:after="50"/>
      </w:pPr>
      <w:r>
        <w:rPr>
          <w:rFonts w:ascii="Arial" w:cs="Arial" w:eastAsia="Arial" w:hAnsi="Arial"/>
          <w:color w:val="333333"/>
          <w:sz w:val="22"/>
          <w:szCs w:val="22"/>
        </w:rPr>
        <w:t xml:space="preserve">Pillar-level spider chart: see relative strength and weakness across all five pillars</w:t>
      </w:r>
    </w:p>
    <w:p>
      <w:pPr>
        <w:pStyle w:val="ListParagraph"/>
        <w:numPr>
          <w:ilvl w:val="0"/>
          <w:numId w:val="2"/>
        </w:numPr>
        <w:spacing w:before="50" w:after="50"/>
      </w:pPr>
      <w:r>
        <w:rPr>
          <w:rFonts w:ascii="Arial" w:cs="Arial" w:eastAsia="Arial" w:hAnsi="Arial"/>
          <w:color w:val="333333"/>
          <w:sz w:val="22"/>
          <w:szCs w:val="22"/>
        </w:rPr>
        <w:t xml:space="preserve">Peer benchmark: compare IRS and sub-scores against similar institutions</w:t>
      </w:r>
    </w:p>
    <w:p>
      <w:pPr>
        <w:pStyle w:val="ListParagraph"/>
        <w:numPr>
          <w:ilvl w:val="0"/>
          <w:numId w:val="2"/>
        </w:numPr>
        <w:spacing w:before="50" w:after="50"/>
      </w:pPr>
      <w:r>
        <w:rPr>
          <w:rFonts w:ascii="Arial" w:cs="Arial" w:eastAsia="Arial" w:hAnsi="Arial"/>
          <w:color w:val="333333"/>
          <w:sz w:val="22"/>
          <w:szCs w:val="22"/>
        </w:rPr>
        <w:t xml:space="preserve">Top 3 improvement opportunities: which actions would most improve the score</w:t>
      </w:r>
    </w:p>
    <w:p>
      <w:pPr>
        <w:pStyle w:val="ListParagraph"/>
        <w:numPr>
          <w:ilvl w:val="0"/>
          <w:numId w:val="2"/>
        </w:numPr>
        <w:spacing w:before="50" w:after="50"/>
      </w:pPr>
      <w:r>
        <w:rPr>
          <w:rFonts w:ascii="Arial" w:cs="Arial" w:eastAsia="Arial" w:hAnsi="Arial"/>
          <w:color w:val="333333"/>
          <w:sz w:val="22"/>
          <w:szCs w:val="22"/>
        </w:rPr>
        <w:t xml:space="preserve">Historical IRS chart: 12-month trend with annotations for major events</w:t>
      </w:r>
    </w:p>
    <w:p>
      <w:pPr>
        <w:spacing w:before="80" w:after="80"/>
      </w:pPr>
    </w:p>
    <w:p>
      <w:pPr>
        <w:spacing w:before="240" w:after="100"/>
      </w:pPr>
      <w:r>
        <w:rPr>
          <w:rFonts w:ascii="Arial" w:cs="Arial" w:eastAsia="Arial" w:hAnsi="Arial"/>
          <w:b/>
          <w:bCs/>
          <w:color w:val="0D9488"/>
          <w:sz w:val="26"/>
          <w:szCs w:val="26"/>
        </w:rPr>
        <w:t xml:space="preserve">5.3  Employer-Facing Institute Report Card</w:t>
      </w:r>
    </w:p>
    <w:p>
      <w:pPr>
        <w:spacing w:before="60" w:after="80"/>
        <w:jc w:val="both"/>
      </w:pPr>
      <w:r>
        <w:rPr>
          <w:rFonts w:ascii="Arial" w:cs="Arial" w:eastAsia="Arial" w:hAnsi="Arial"/>
          <w:color w:val="333333"/>
          <w:sz w:val="22"/>
          <w:szCs w:val="22"/>
        </w:rPr>
        <w:t xml:space="preserve">A curated, verified summary of the institute's performance shared with employers before or during campus recruitment. Gives companies the data they need to decide whether to visit, without relying on institute-provided brochures.</w:t>
      </w:r>
    </w:p>
    <w:p>
      <w:pPr>
        <w:pStyle w:val="ListParagraph"/>
        <w:numPr>
          <w:ilvl w:val="0"/>
          <w:numId w:val="2"/>
        </w:numPr>
        <w:spacing w:before="50" w:after="50"/>
      </w:pPr>
      <w:r>
        <w:rPr>
          <w:rFonts w:ascii="Arial" w:cs="Arial" w:eastAsia="Arial" w:hAnsi="Arial"/>
          <w:color w:val="333333"/>
          <w:sz w:val="22"/>
          <w:szCs w:val="22"/>
        </w:rPr>
        <w:t xml:space="preserve">IRS summary with percentile rank among platform institutions</w:t>
      </w:r>
    </w:p>
    <w:p>
      <w:pPr>
        <w:pStyle w:val="ListParagraph"/>
        <w:numPr>
          <w:ilvl w:val="0"/>
          <w:numId w:val="2"/>
        </w:numPr>
        <w:spacing w:before="50" w:after="50"/>
      </w:pPr>
      <w:r>
        <w:rPr>
          <w:rFonts w:ascii="Arial" w:cs="Arial" w:eastAsia="Arial" w:hAnsi="Arial"/>
          <w:color w:val="333333"/>
          <w:sz w:val="22"/>
          <w:szCs w:val="22"/>
        </w:rPr>
        <w:t xml:space="preserve">Placement outcome statistics: 3-year historical placement rate and CTC range</w:t>
      </w:r>
    </w:p>
    <w:p>
      <w:pPr>
        <w:pStyle w:val="ListParagraph"/>
        <w:numPr>
          <w:ilvl w:val="0"/>
          <w:numId w:val="2"/>
        </w:numPr>
        <w:spacing w:before="50" w:after="50"/>
      </w:pPr>
      <w:r>
        <w:rPr>
          <w:rFonts w:ascii="Arial" w:cs="Arial" w:eastAsia="Arial" w:hAnsi="Arial"/>
          <w:color w:val="333333"/>
          <w:sz w:val="22"/>
          <w:szCs w:val="22"/>
        </w:rPr>
        <w:t xml:space="preserve">Skill profile of typical graduate from this institution</w:t>
      </w:r>
    </w:p>
    <w:p>
      <w:pPr>
        <w:pStyle w:val="ListParagraph"/>
        <w:numPr>
          <w:ilvl w:val="0"/>
          <w:numId w:val="2"/>
        </w:numPr>
        <w:spacing w:before="50" w:after="50"/>
      </w:pPr>
      <w:r>
        <w:rPr>
          <w:rFonts w:ascii="Arial" w:cs="Arial" w:eastAsia="Arial" w:hAnsi="Arial"/>
          <w:color w:val="333333"/>
          <w:sz w:val="22"/>
          <w:szCs w:val="22"/>
        </w:rPr>
        <w:t xml:space="preserve">Verified employer testimonials: structured feedback from companies that have hired</w:t>
      </w:r>
    </w:p>
    <w:p>
      <w:pPr>
        <w:pStyle w:val="ListParagraph"/>
        <w:numPr>
          <w:ilvl w:val="0"/>
          <w:numId w:val="2"/>
        </w:numPr>
        <w:spacing w:before="50" w:after="50"/>
      </w:pPr>
      <w:r>
        <w:rPr>
          <w:rFonts w:ascii="Arial" w:cs="Arial" w:eastAsia="Arial" w:hAnsi="Arial"/>
          <w:color w:val="333333"/>
          <w:sz w:val="22"/>
          <w:szCs w:val="22"/>
        </w:rPr>
        <w:t xml:space="preserve">Response time and communication reliability score for placement team</w:t>
      </w:r>
    </w:p>
    <w:p>
      <w:pPr>
        <w:spacing w:before="80" w:after="80"/>
      </w:pPr>
    </w:p>
    <w:p>
      <w:pPr>
        <w:spacing w:before="240" w:after="100"/>
      </w:pPr>
      <w:r>
        <w:rPr>
          <w:rFonts w:ascii="Arial" w:cs="Arial" w:eastAsia="Arial" w:hAnsi="Arial"/>
          <w:b/>
          <w:bCs/>
          <w:color w:val="0D9488"/>
          <w:sz w:val="26"/>
          <w:szCs w:val="26"/>
        </w:rPr>
        <w:t xml:space="preserve">5.4  Student-Facing Transparency Report</w:t>
      </w:r>
    </w:p>
    <w:p>
      <w:pPr>
        <w:spacing w:before="60" w:after="80"/>
        <w:jc w:val="both"/>
      </w:pPr>
      <w:r>
        <w:rPr>
          <w:rFonts w:ascii="Arial" w:cs="Arial" w:eastAsia="Arial" w:hAnsi="Arial"/>
          <w:color w:val="333333"/>
          <w:sz w:val="22"/>
          <w:szCs w:val="22"/>
        </w:rPr>
        <w:t xml:space="preserve">A public-facing summary visible to prospective and current students, giving them visibility into the institute's track record without exposing confidential commercial data.</w:t>
      </w:r>
    </w:p>
    <w:p>
      <w:pPr>
        <w:pStyle w:val="ListParagraph"/>
        <w:numPr>
          <w:ilvl w:val="0"/>
          <w:numId w:val="2"/>
        </w:numPr>
        <w:spacing w:before="50" w:after="50"/>
      </w:pPr>
      <w:r>
        <w:rPr>
          <w:rFonts w:ascii="Arial" w:cs="Arial" w:eastAsia="Arial" w:hAnsi="Arial"/>
          <w:color w:val="333333"/>
          <w:sz w:val="22"/>
          <w:szCs w:val="22"/>
        </w:rPr>
        <w:t xml:space="preserve">IRS summary and tier classification (Bronze / Silver / Gold / Platinum)</w:t>
      </w:r>
    </w:p>
    <w:p>
      <w:pPr>
        <w:pStyle w:val="ListParagraph"/>
        <w:numPr>
          <w:ilvl w:val="0"/>
          <w:numId w:val="2"/>
        </w:numPr>
        <w:spacing w:before="50" w:after="50"/>
      </w:pPr>
      <w:r>
        <w:rPr>
          <w:rFonts w:ascii="Arial" w:cs="Arial" w:eastAsia="Arial" w:hAnsi="Arial"/>
          <w:color w:val="333333"/>
          <w:sz w:val="22"/>
          <w:szCs w:val="22"/>
        </w:rPr>
        <w:t xml:space="preserve">Historical placement statistics by department and year</w:t>
      </w:r>
    </w:p>
    <w:p>
      <w:pPr>
        <w:pStyle w:val="ListParagraph"/>
        <w:numPr>
          <w:ilvl w:val="0"/>
          <w:numId w:val="2"/>
        </w:numPr>
        <w:spacing w:before="50" w:after="50"/>
      </w:pPr>
      <w:r>
        <w:rPr>
          <w:rFonts w:ascii="Arial" w:cs="Arial" w:eastAsia="Arial" w:hAnsi="Arial"/>
          <w:color w:val="333333"/>
          <w:sz w:val="22"/>
          <w:szCs w:val="22"/>
        </w:rPr>
        <w:t xml:space="preserve">Top hiring companies over the past 3 years</w:t>
      </w:r>
    </w:p>
    <w:p>
      <w:pPr>
        <w:pStyle w:val="ListParagraph"/>
        <w:numPr>
          <w:ilvl w:val="0"/>
          <w:numId w:val="2"/>
        </w:numPr>
        <w:spacing w:before="50" w:after="50"/>
      </w:pPr>
      <w:r>
        <w:rPr>
          <w:rFonts w:ascii="Arial" w:cs="Arial" w:eastAsia="Arial" w:hAnsi="Arial"/>
          <w:color w:val="333333"/>
          <w:sz w:val="22"/>
          <w:szCs w:val="22"/>
        </w:rPr>
        <w:t xml:space="preserve">Student satisfaction index — anonymized aggregate of student experience ratings</w:t>
      </w:r>
    </w:p>
    <w:p>
      <w:pPr>
        <w:pStyle w:val="ListParagraph"/>
        <w:numPr>
          <w:ilvl w:val="0"/>
          <w:numId w:val="2"/>
        </w:numPr>
        <w:spacing w:before="50" w:after="50"/>
      </w:pPr>
      <w:r>
        <w:rPr>
          <w:rFonts w:ascii="Arial" w:cs="Arial" w:eastAsia="Arial" w:hAnsi="Arial"/>
          <w:color w:val="333333"/>
          <w:sz w:val="22"/>
          <w:szCs w:val="22"/>
        </w:rPr>
        <w:t xml:space="preserve">Skill development track record: average graduate skill profile</w:t>
      </w:r>
    </w:p>
    <w:p>
      <w:pPr>
        <w:spacing w:before="80" w:after="80"/>
      </w:pPr>
    </w:p>
    <w:p>
      <w:pPr>
        <w:spacing w:before="240" w:after="100"/>
      </w:pPr>
      <w:r>
        <w:rPr>
          <w:rFonts w:ascii="Arial" w:cs="Arial" w:eastAsia="Arial" w:hAnsi="Arial"/>
          <w:b/>
          <w:bCs/>
          <w:color w:val="0D9488"/>
          <w:sz w:val="26"/>
          <w:szCs w:val="26"/>
        </w:rPr>
        <w:t xml:space="preserve">5.5  IRS Improvement Recommendation Engine</w:t>
      </w:r>
    </w:p>
    <w:p>
      <w:pPr>
        <w:spacing w:before="60" w:after="80"/>
        <w:jc w:val="both"/>
      </w:pPr>
      <w:r>
        <w:rPr>
          <w:rFonts w:ascii="Arial" w:cs="Arial" w:eastAsia="Arial" w:hAnsi="Arial"/>
          <w:color w:val="333333"/>
          <w:sz w:val="22"/>
          <w:szCs w:val="22"/>
        </w:rPr>
        <w:t xml:space="preserve">An intelligent advisory layer that analyzes IRS pillar gaps and generates a prioritized improvement roadmap for institute leadership.</w:t>
      </w:r>
    </w:p>
    <w:p>
      <w:pPr>
        <w:pStyle w:val="ListParagraph"/>
        <w:numPr>
          <w:ilvl w:val="0"/>
          <w:numId w:val="2"/>
        </w:numPr>
        <w:spacing w:before="50" w:after="50"/>
      </w:pPr>
      <w:r>
        <w:rPr>
          <w:rFonts w:ascii="Arial" w:cs="Arial" w:eastAsia="Arial" w:hAnsi="Arial"/>
          <w:color w:val="333333"/>
          <w:sz w:val="22"/>
          <w:szCs w:val="22"/>
        </w:rPr>
        <w:t xml:space="preserve">Gap analysis: which pillar is most significantly below peer benchmark</w:t>
      </w:r>
    </w:p>
    <w:p>
      <w:pPr>
        <w:pStyle w:val="ListParagraph"/>
        <w:numPr>
          <w:ilvl w:val="0"/>
          <w:numId w:val="2"/>
        </w:numPr>
        <w:spacing w:before="50" w:after="50"/>
      </w:pPr>
      <w:r>
        <w:rPr>
          <w:rFonts w:ascii="Arial" w:cs="Arial" w:eastAsia="Arial" w:hAnsi="Arial"/>
          <w:color w:val="333333"/>
          <w:sz w:val="22"/>
          <w:szCs w:val="22"/>
        </w:rPr>
        <w:t xml:space="preserve">Effort-impact matrix: high-impact improvements that require relatively low effort</w:t>
      </w:r>
    </w:p>
    <w:p>
      <w:pPr>
        <w:pStyle w:val="ListParagraph"/>
        <w:numPr>
          <w:ilvl w:val="0"/>
          <w:numId w:val="2"/>
        </w:numPr>
        <w:spacing w:before="50" w:after="50"/>
      </w:pPr>
      <w:r>
        <w:rPr>
          <w:rFonts w:ascii="Arial" w:cs="Arial" w:eastAsia="Arial" w:hAnsi="Arial"/>
          <w:color w:val="333333"/>
          <w:sz w:val="22"/>
          <w:szCs w:val="22"/>
        </w:rPr>
        <w:t xml:space="preserve">Action templates: specific, executable steps for each improvement recommendation</w:t>
      </w:r>
    </w:p>
    <w:p>
      <w:pPr>
        <w:pStyle w:val="ListParagraph"/>
        <w:numPr>
          <w:ilvl w:val="0"/>
          <w:numId w:val="2"/>
        </w:numPr>
        <w:spacing w:before="50" w:after="50"/>
      </w:pPr>
      <w:r>
        <w:rPr>
          <w:rFonts w:ascii="Arial" w:cs="Arial" w:eastAsia="Arial" w:hAnsi="Arial"/>
          <w:color w:val="333333"/>
          <w:sz w:val="22"/>
          <w:szCs w:val="22"/>
        </w:rPr>
        <w:t xml:space="preserve">Progress tracking: monitor improvement actions and measure impact on pillar scores</w:t>
      </w:r>
    </w:p>
    <w:p>
      <w:pPr>
        <w:pStyle w:val="ListParagraph"/>
        <w:numPr>
          <w:ilvl w:val="0"/>
          <w:numId w:val="2"/>
        </w:numPr>
        <w:spacing w:before="50" w:after="50"/>
      </w:pPr>
      <w:r>
        <w:rPr>
          <w:rFonts w:ascii="Arial" w:cs="Arial" w:eastAsia="Arial" w:hAnsi="Arial"/>
          <w:color w:val="333333"/>
          <w:sz w:val="22"/>
          <w:szCs w:val="22"/>
        </w:rPr>
        <w:t xml:space="preserve">Quarterly IRS improvement report: formatted for presentation to governing boards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640"/>
      </w:tblGrid>
      <w:tr>
        <w:tc>
          <w:tcPr>
            <w:tcW w:type="dxa" w:w="4640"/>
            <w:tcBorders>
              <w:top w:val="single" w:color="D1D9E6" w:sz="1"/>
              <w:left w:val="single" w:color="D1D9E6" w:sz="1"/>
              <w:bottom w:val="single" w:color="D1D9E6" w:sz="1"/>
              <w:right w:val="single" w:color="D1D9E6" w:sz="1"/>
            </w:tcBorders>
            <w:shd w:fill="F0FDFA" w:val="clear"/>
            <w:tcMar>
              <w:top w:type="dxa" w:w="120"/>
              <w:left w:type="dxa" w:w="160"/>
              <w:bottom w:type="dxa" w:w="120"/>
              <w:right w:type="dxa" w:w="160"/>
            </w:tcMar>
          </w:tcPr>
          <w:p>
            <w:pPr>
              <w:spacing w:before="40" w:after="80"/>
            </w:pPr>
            <w:r>
              <w:rPr>
                <w:rFonts w:ascii="Arial" w:cs="Arial" w:eastAsia="Arial" w:hAnsi="Arial"/>
                <w:b/>
                <w:bCs/>
                <w:color w:val="0D9488"/>
                <w:sz w:val="22"/>
                <w:szCs w:val="22"/>
              </w:rPr>
              <w:t xml:space="preserve">What This Feature Solves</w:t>
            </w:r>
          </w:p>
          <w:p>
            <w:pPr>
              <w:spacing w:before="40" w:after="40"/>
            </w:pPr>
            <w:r>
              <w:rPr>
                <w:rFonts w:ascii="Arial" w:cs="Arial" w:eastAsia="Arial" w:hAnsi="Arial"/>
                <w:b/>
                <w:bCs/>
                <w:color w:val="0D9488"/>
                <w:sz w:val="21"/>
                <w:szCs w:val="21"/>
              </w:rPr>
              <w:t xml:space="preserve">• </w:t>
            </w:r>
            <w:r>
              <w:rPr>
                <w:rFonts w:ascii="Arial" w:cs="Arial" w:eastAsia="Arial" w:hAnsi="Arial"/>
                <w:color w:val="333333"/>
                <w:sz w:val="21"/>
                <w:szCs w:val="21"/>
              </w:rPr>
              <w:t xml:space="preserve">No credible, standardized way to demonstrate institute quality</w:t>
            </w:r>
          </w:p>
          <w:p>
            <w:pPr>
              <w:spacing w:before="40" w:after="40"/>
            </w:pPr>
            <w:r>
              <w:rPr>
                <w:rFonts w:ascii="Arial" w:cs="Arial" w:eastAsia="Arial" w:hAnsi="Arial"/>
                <w:b/>
                <w:bCs/>
                <w:color w:val="0D9488"/>
                <w:sz w:val="21"/>
                <w:szCs w:val="21"/>
              </w:rPr>
              <w:t xml:space="preserve">• </w:t>
            </w:r>
            <w:r>
              <w:rPr>
                <w:rFonts w:ascii="Arial" w:cs="Arial" w:eastAsia="Arial" w:hAnsi="Arial"/>
                <w:color w:val="333333"/>
                <w:sz w:val="21"/>
                <w:szCs w:val="21"/>
              </w:rPr>
              <w:t xml:space="preserve">Employers lack data to decide which institutes to recruit from</w:t>
            </w:r>
          </w:p>
          <w:p>
            <w:pPr>
              <w:spacing w:before="40" w:after="40"/>
            </w:pPr>
            <w:r>
              <w:rPr>
                <w:rFonts w:ascii="Arial" w:cs="Arial" w:eastAsia="Arial" w:hAnsi="Arial"/>
                <w:b/>
                <w:bCs/>
                <w:color w:val="0D9488"/>
                <w:sz w:val="21"/>
                <w:szCs w:val="21"/>
              </w:rPr>
              <w:t xml:space="preserve">• </w:t>
            </w:r>
            <w:r>
              <w:rPr>
                <w:rFonts w:ascii="Arial" w:cs="Arial" w:eastAsia="Arial" w:hAnsi="Arial"/>
                <w:color w:val="333333"/>
                <w:sz w:val="21"/>
                <w:szCs w:val="21"/>
              </w:rPr>
              <w:t xml:space="preserve">Students choose institutes without reliable outcome data</w:t>
            </w:r>
          </w:p>
          <w:p>
            <w:pPr>
              <w:spacing w:before="40" w:after="40"/>
            </w:pPr>
            <w:r>
              <w:rPr>
                <w:rFonts w:ascii="Arial" w:cs="Arial" w:eastAsia="Arial" w:hAnsi="Arial"/>
                <w:b/>
                <w:bCs/>
                <w:color w:val="0D9488"/>
                <w:sz w:val="21"/>
                <w:szCs w:val="21"/>
              </w:rPr>
              <w:t xml:space="preserve">• </w:t>
            </w:r>
            <w:r>
              <w:rPr>
                <w:rFonts w:ascii="Arial" w:cs="Arial" w:eastAsia="Arial" w:hAnsi="Arial"/>
                <w:color w:val="333333"/>
                <w:sz w:val="21"/>
                <w:szCs w:val="21"/>
              </w:rPr>
              <w:t xml:space="preserve">Leadership has no system to identify and prioritize improvements</w:t>
            </w:r>
          </w:p>
        </w:tc>
        <w:tc>
          <w:tcPr>
            <w:tcW w:type="dxa" w:w="4640"/>
            <w:tcBorders>
              <w:top w:val="single" w:color="D1D9E6" w:sz="1"/>
              <w:left w:val="single" w:color="D1D9E6" w:sz="1"/>
              <w:bottom w:val="single" w:color="D1D9E6" w:sz="1"/>
              <w:right w:val="single" w:color="D1D9E6" w:sz="1"/>
            </w:tcBorders>
            <w:shd w:fill="F0FDFA" w:val="clear"/>
            <w:tcMar>
              <w:top w:type="dxa" w:w="120"/>
              <w:left w:type="dxa" w:w="160"/>
              <w:bottom w:type="dxa" w:w="120"/>
              <w:right w:type="dxa" w:w="160"/>
            </w:tcMar>
          </w:tcPr>
          <w:p>
            <w:pPr>
              <w:spacing w:before="40" w:after="80"/>
            </w:pPr>
            <w:r>
              <w:rPr>
                <w:rFonts w:ascii="Arial" w:cs="Arial" w:eastAsia="Arial" w:hAnsi="Arial"/>
                <w:b/>
                <w:bCs/>
                <w:color w:val="0D9488"/>
                <w:sz w:val="22"/>
                <w:szCs w:val="22"/>
              </w:rPr>
              <w:t xml:space="preserve">Business Impact</w:t>
            </w:r>
          </w:p>
          <w:p>
            <w:pPr>
              <w:spacing w:before="40" w:after="40"/>
            </w:pPr>
            <w:r>
              <w:rPr>
                <w:rFonts w:ascii="Arial" w:cs="Arial" w:eastAsia="Arial" w:hAnsi="Arial"/>
                <w:b/>
                <w:bCs/>
                <w:color w:val="0D9488"/>
                <w:sz w:val="21"/>
                <w:szCs w:val="21"/>
              </w:rPr>
              <w:t xml:space="preserve">• </w:t>
            </w:r>
            <w:r>
              <w:rPr>
                <w:rFonts w:ascii="Arial" w:cs="Arial" w:eastAsia="Arial" w:hAnsi="Arial"/>
                <w:color w:val="333333"/>
                <w:sz w:val="21"/>
                <w:szCs w:val="21"/>
              </w:rPr>
              <w:t xml:space="preserve">Attracts more and better employers based on verified track record</w:t>
            </w:r>
          </w:p>
          <w:p>
            <w:pPr>
              <w:spacing w:before="40" w:after="40"/>
            </w:pPr>
            <w:r>
              <w:rPr>
                <w:rFonts w:ascii="Arial" w:cs="Arial" w:eastAsia="Arial" w:hAnsi="Arial"/>
                <w:b/>
                <w:bCs/>
                <w:color w:val="0D9488"/>
                <w:sz w:val="21"/>
                <w:szCs w:val="21"/>
              </w:rPr>
              <w:t xml:space="preserve">• </w:t>
            </w:r>
            <w:r>
              <w:rPr>
                <w:rFonts w:ascii="Arial" w:cs="Arial" w:eastAsia="Arial" w:hAnsi="Arial"/>
                <w:color w:val="333333"/>
                <w:sz w:val="21"/>
                <w:szCs w:val="21"/>
              </w:rPr>
              <w:t xml:space="preserve">Student applications from better-informed, aligned candidates</w:t>
            </w:r>
          </w:p>
          <w:p>
            <w:pPr>
              <w:spacing w:before="40" w:after="40"/>
            </w:pPr>
            <w:r>
              <w:rPr>
                <w:rFonts w:ascii="Arial" w:cs="Arial" w:eastAsia="Arial" w:hAnsi="Arial"/>
                <w:b/>
                <w:bCs/>
                <w:color w:val="0D9488"/>
                <w:sz w:val="21"/>
                <w:szCs w:val="21"/>
              </w:rPr>
              <w:t xml:space="preserve">• </w:t>
            </w:r>
            <w:r>
              <w:rPr>
                <w:rFonts w:ascii="Arial" w:cs="Arial" w:eastAsia="Arial" w:hAnsi="Arial"/>
                <w:color w:val="333333"/>
                <w:sz w:val="21"/>
                <w:szCs w:val="21"/>
              </w:rPr>
              <w:t xml:space="preserve">Leadership has a clear, data-driven improvement roadmap</w:t>
            </w:r>
          </w:p>
          <w:p>
            <w:pPr>
              <w:spacing w:before="40" w:after="40"/>
            </w:pPr>
            <w:r>
              <w:rPr>
                <w:rFonts w:ascii="Arial" w:cs="Arial" w:eastAsia="Arial" w:hAnsi="Arial"/>
                <w:b/>
                <w:bCs/>
                <w:color w:val="0D9488"/>
                <w:sz w:val="21"/>
                <w:szCs w:val="21"/>
              </w:rPr>
              <w:t xml:space="preserve">• </w:t>
            </w:r>
            <w:r>
              <w:rPr>
                <w:rFonts w:ascii="Arial" w:cs="Arial" w:eastAsia="Arial" w:hAnsi="Arial"/>
                <w:color w:val="333333"/>
                <w:sz w:val="21"/>
                <w:szCs w:val="21"/>
              </w:rPr>
              <w:t xml:space="preserve">Platform creates a healthy competitive improvement dynamic across institutes</w:t>
            </w:r>
          </w:p>
        </w:tc>
      </w:tr>
    </w:tbl>
    <w:p>
      <w:pPr>
        <w:spacing w:before="80" w:after="80"/>
      </w:pPr>
    </w:p>
    <w:p>
      <w:r>
        <w:br w:type="page"/>
      </w:r>
    </w:p>
    <w:p>
      <w:pPr>
        <w:spacing w:before="200" w:after="120"/>
      </w:pPr>
      <w:r>
        <w:rPr>
          <w:rFonts w:ascii="Arial" w:cs="Arial" w:eastAsia="Arial" w:hAnsi="Arial"/>
          <w:b/>
          <w:bCs/>
          <w:color w:val="1A1A2E"/>
          <w:sz w:val="40"/>
          <w:szCs w:val="40"/>
        </w:rPr>
        <w:t xml:space="preserve">Module Summary</w:t>
      </w:r>
    </w:p>
    <w:p>
      <w:pPr>
        <w:pBdr>
          <w:bottom w:val="single" w:color="1A56B0" w:sz="8" w:space="1"/>
        </w:pBdr>
        <w:spacing w:before="80" w:after="200"/>
      </w:pPr>
    </w:p>
    <w:p>
      <w:pPr>
        <w:spacing w:before="60" w:after="80"/>
        <w:jc w:val="both"/>
      </w:pPr>
      <w:r>
        <w:rPr>
          <w:rFonts w:ascii="Arial" w:cs="Arial" w:eastAsia="Arial" w:hAnsi="Arial"/>
          <w:color w:val="333333"/>
          <w:sz w:val="22"/>
          <w:szCs w:val="22"/>
        </w:rPr>
        <w:t xml:space="preserve">The School Analytics &amp; Reporting module provides five interconnected features that together give institutions complete visibility and control over their skill development and placement outcomes. The table below summarizes each feature's core purpose and primary stakeholders.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400"/>
        <w:gridCol w:w="3360"/>
      </w:tblGrid>
      <w:tr>
        <w:tc>
          <w:tcPr>
            <w:tcW w:type="dxa" w:w="400"/>
            <w:tcBorders>
              <w:top w:val="single" w:color="D1D9E6" w:sz="1"/>
              <w:left w:val="single" w:color="D1D9E6" w:sz="1"/>
              <w:bottom w:val="single" w:color="D1D9E6" w:sz="1"/>
              <w:right w:val="single" w:color="D1D9E6" w:sz="1"/>
            </w:tcBorders>
            <w:shd w:fill="1A56B0" w:val="clear"/>
            <w:tcMar>
              <w:top w:type="dxa" w:w="100"/>
              <w:left w:type="dxa" w:w="100"/>
              <w:bottom w:type="dxa" w:w="100"/>
              <w:right w:type="dxa" w:w="100"/>
            </w:tcMar>
          </w:tcPr>
          <w:p>
            <w:pPr>
              <w:jc w:val="center"/>
            </w:pPr>
            <w:r>
              <w:rPr>
                <w:rFonts w:ascii="Arial" w:cs="Arial" w:eastAsia="Arial" w:hAnsi="Arial"/>
                <w:b/>
                <w:bCs/>
                <w:color w:val="FFFFFF"/>
                <w:sz w:val="21"/>
                <w:szCs w:val="21"/>
              </w:rPr>
              <w:t xml:space="preserve">#</w:t>
            </w:r>
          </w:p>
        </w:tc>
        <w:tc>
          <w:tcPr>
            <w:tcW w:type="dxa" w:w="2200"/>
            <w:tcBorders>
              <w:top w:val="single" w:color="D1D9E6" w:sz="1"/>
              <w:left w:val="single" w:color="D1D9E6" w:sz="1"/>
              <w:bottom w:val="single" w:color="D1D9E6" w:sz="1"/>
              <w:right w:val="single" w:color="D1D9E6" w:sz="1"/>
            </w:tcBorders>
            <w:shd w:fill="1A56B0" w:val="clear"/>
            <w:tcMar>
              <w:top w:type="dxa" w:w="100"/>
              <w:left w:type="dxa" w:w="120"/>
              <w:bottom w:type="dxa" w:w="100"/>
              <w:right w:type="dxa" w:w="120"/>
            </w:tcMar>
          </w:tcPr>
          <w:p>
            <w:r>
              <w:rPr>
                <w:rFonts w:ascii="Arial" w:cs="Arial" w:eastAsia="Arial" w:hAnsi="Arial"/>
                <w:b/>
                <w:bCs/>
                <w:color w:val="FFFFFF"/>
                <w:sz w:val="21"/>
                <w:szCs w:val="21"/>
              </w:rPr>
              <w:t xml:space="preserve">Feature</w:t>
            </w:r>
          </w:p>
        </w:tc>
        <w:tc>
          <w:tcPr>
            <w:tcW w:type="dxa" w:w="3400"/>
            <w:tcBorders>
              <w:top w:val="single" w:color="D1D9E6" w:sz="1"/>
              <w:left w:val="single" w:color="D1D9E6" w:sz="1"/>
              <w:bottom w:val="single" w:color="D1D9E6" w:sz="1"/>
              <w:right w:val="single" w:color="D1D9E6" w:sz="1"/>
            </w:tcBorders>
            <w:shd w:fill="1A56B0" w:val="clear"/>
            <w:tcMar>
              <w:top w:type="dxa" w:w="100"/>
              <w:left w:type="dxa" w:w="120"/>
              <w:bottom w:type="dxa" w:w="100"/>
              <w:right w:type="dxa" w:w="120"/>
            </w:tcMar>
          </w:tcPr>
          <w:p>
            <w:r>
              <w:rPr>
                <w:rFonts w:ascii="Arial" w:cs="Arial" w:eastAsia="Arial" w:hAnsi="Arial"/>
                <w:b/>
                <w:bCs/>
                <w:color w:val="FFFFFF"/>
                <w:sz w:val="21"/>
                <w:szCs w:val="21"/>
              </w:rPr>
              <w:t xml:space="preserve">Core Purpose</w:t>
            </w:r>
          </w:p>
        </w:tc>
        <w:tc>
          <w:tcPr>
            <w:tcW w:type="dxa" w:w="3360"/>
            <w:tcBorders>
              <w:top w:val="single" w:color="D1D9E6" w:sz="1"/>
              <w:left w:val="single" w:color="D1D9E6" w:sz="1"/>
              <w:bottom w:val="single" w:color="D1D9E6" w:sz="1"/>
              <w:right w:val="single" w:color="D1D9E6" w:sz="1"/>
            </w:tcBorders>
            <w:shd w:fill="1A56B0" w:val="clear"/>
            <w:tcMar>
              <w:top w:type="dxa" w:w="100"/>
              <w:left w:type="dxa" w:w="120"/>
              <w:bottom w:type="dxa" w:w="100"/>
              <w:right w:type="dxa" w:w="120"/>
            </w:tcMar>
          </w:tcPr>
          <w:p>
            <w:r>
              <w:rPr>
                <w:rFonts w:ascii="Arial" w:cs="Arial" w:eastAsia="Arial" w:hAnsi="Arial"/>
                <w:b/>
                <w:bCs/>
                <w:color w:val="FFFFFF"/>
                <w:sz w:val="21"/>
                <w:szCs w:val="21"/>
              </w:rPr>
              <w:t xml:space="preserve">Primary Stakeholders</w:t>
            </w:r>
          </w:p>
        </w:tc>
      </w:tr>
      <w:tr>
        <w:tc>
          <w:tcPr>
            <w:tcW w:type="dxa" w:w="400"/>
            <w:tcBorders>
              <w:top w:val="single" w:color="D1D9E6" w:sz="1"/>
              <w:left w:val="single" w:color="D1D9E6" w:sz="1"/>
              <w:bottom w:val="single" w:color="D1D9E6" w:sz="1"/>
              <w:right w:val="single" w:color="D1D9E6" w:sz="1"/>
            </w:tcBorders>
            <w:shd w:fill="F5F7FA" w:val="clear"/>
            <w:tcMar>
              <w:top w:type="dxa" w:w="90"/>
              <w:left w:type="dxa" w:w="100"/>
              <w:bottom w:type="dxa" w:w="90"/>
              <w:right w:type="dxa" w:w="100"/>
            </w:tcMar>
          </w:tcPr>
          <w:p>
            <w:pPr>
              <w:jc w:val="center"/>
            </w:pPr>
            <w:r>
              <w:rPr>
                <w:rFonts w:ascii="Arial" w:cs="Arial" w:eastAsia="Arial" w:hAnsi="Arial"/>
                <w:b/>
                <w:bCs/>
                <w:color w:val="1A56B0"/>
                <w:sz w:val="21"/>
                <w:szCs w:val="21"/>
              </w:rPr>
              <w:t xml:space="preserve">01</w:t>
            </w:r>
          </w:p>
        </w:tc>
        <w:tc>
          <w:tcPr>
            <w:tcW w:type="dxa" w:w="2200"/>
            <w:tcBorders>
              <w:top w:val="single" w:color="D1D9E6" w:sz="1"/>
              <w:left w:val="single" w:color="D1D9E6" w:sz="1"/>
              <w:bottom w:val="single" w:color="D1D9E6" w:sz="1"/>
              <w:right w:val="single" w:color="D1D9E6" w:sz="1"/>
            </w:tcBorders>
            <w:shd w:fill="F5F7FA" w:val="clear"/>
            <w:tcMar>
              <w:top w:type="dxa" w:w="90"/>
              <w:left w:type="dxa" w:w="120"/>
              <w:bottom w:type="dxa" w:w="90"/>
              <w:right w:type="dxa" w:w="120"/>
            </w:tcMar>
          </w:tcPr>
          <w:p>
            <w:r>
              <w:rPr>
                <w:rFonts w:ascii="Arial" w:cs="Arial" w:eastAsia="Arial" w:hAnsi="Arial"/>
                <w:b/>
                <w:bCs/>
                <w:color w:val="222222"/>
                <w:sz w:val="20"/>
                <w:szCs w:val="20"/>
              </w:rPr>
              <w:t xml:space="preserve">School Skill Development Reports</w:t>
            </w:r>
          </w:p>
        </w:tc>
        <w:tc>
          <w:tcPr>
            <w:tcW w:type="dxa" w:w="3400"/>
            <w:tcBorders>
              <w:top w:val="single" w:color="D1D9E6" w:sz="1"/>
              <w:left w:val="single" w:color="D1D9E6" w:sz="1"/>
              <w:bottom w:val="single" w:color="D1D9E6" w:sz="1"/>
              <w:right w:val="single" w:color="D1D9E6" w:sz="1"/>
            </w:tcBorders>
            <w:shd w:fill="F5F7FA" w:val="clear"/>
            <w:tcMar>
              <w:top w:type="dxa" w:w="90"/>
              <w:left w:type="dxa" w:w="120"/>
              <w:bottom w:type="dxa" w:w="90"/>
              <w:right w:type="dxa" w:w="120"/>
            </w:tcMar>
          </w:tcPr>
          <w:p>
            <w:r>
              <w:rPr>
                <w:rFonts w:ascii="Arial" w:cs="Arial" w:eastAsia="Arial" w:hAnsi="Arial"/>
                <w:color w:val="444444"/>
                <w:sz w:val="20"/>
                <w:szCs w:val="20"/>
              </w:rPr>
              <w:t xml:space="preserve">Track skill coverage and progression across departments and batches</w:t>
            </w:r>
          </w:p>
        </w:tc>
        <w:tc>
          <w:tcPr>
            <w:tcW w:type="dxa" w:w="3360"/>
            <w:tcBorders>
              <w:top w:val="single" w:color="D1D9E6" w:sz="1"/>
              <w:left w:val="single" w:color="D1D9E6" w:sz="1"/>
              <w:bottom w:val="single" w:color="D1D9E6" w:sz="1"/>
              <w:right w:val="single" w:color="D1D9E6" w:sz="1"/>
            </w:tcBorders>
            <w:shd w:fill="F5F7FA" w:val="clear"/>
            <w:tcMar>
              <w:top w:type="dxa" w:w="90"/>
              <w:left w:type="dxa" w:w="120"/>
              <w:bottom w:type="dxa" w:w="90"/>
              <w:right w:type="dxa" w:w="120"/>
            </w:tcMar>
          </w:tcPr>
          <w:p>
            <w:r>
              <w:rPr>
                <w:rFonts w:ascii="Arial" w:cs="Arial" w:eastAsia="Arial" w:hAnsi="Arial"/>
                <w:color w:val="444444"/>
                <w:sz w:val="20"/>
                <w:szCs w:val="20"/>
              </w:rPr>
              <w:t xml:space="preserve">Principals, HODs, Placement Officers</w:t>
            </w:r>
          </w:p>
        </w:tc>
      </w:tr>
      <w:tr>
        <w:tc>
          <w:tcPr>
            <w:tcW w:type="dxa" w:w="400"/>
            <w:tcBorders>
              <w:top w:val="single" w:color="D1D9E6" w:sz="1"/>
              <w:left w:val="single" w:color="D1D9E6" w:sz="1"/>
              <w:bottom w:val="single" w:color="D1D9E6" w:sz="1"/>
              <w:right w:val="single" w:color="D1D9E6" w:sz="1"/>
            </w:tcBorders>
            <w:shd w:fill="FFFFFF" w:val="clear"/>
            <w:tcMar>
              <w:top w:type="dxa" w:w="90"/>
              <w:left w:type="dxa" w:w="100"/>
              <w:bottom w:type="dxa" w:w="90"/>
              <w:right w:type="dxa" w:w="100"/>
            </w:tcMar>
          </w:tcPr>
          <w:p>
            <w:pPr>
              <w:jc w:val="center"/>
            </w:pPr>
            <w:r>
              <w:rPr>
                <w:rFonts w:ascii="Arial" w:cs="Arial" w:eastAsia="Arial" w:hAnsi="Arial"/>
                <w:b/>
                <w:bCs/>
                <w:color w:val="1A56B0"/>
                <w:sz w:val="21"/>
                <w:szCs w:val="21"/>
              </w:rPr>
              <w:t xml:space="preserve">02</w:t>
            </w:r>
          </w:p>
        </w:tc>
        <w:tc>
          <w:tcPr>
            <w:tcW w:type="dxa" w:w="2200"/>
            <w:tcBorders>
              <w:top w:val="single" w:color="D1D9E6" w:sz="1"/>
              <w:left w:val="single" w:color="D1D9E6" w:sz="1"/>
              <w:bottom w:val="single" w:color="D1D9E6" w:sz="1"/>
              <w:right w:val="single" w:color="D1D9E6" w:sz="1"/>
            </w:tcBorders>
            <w:shd w:fill="FFFFFF" w:val="clear"/>
            <w:tcMar>
              <w:top w:type="dxa" w:w="90"/>
              <w:left w:type="dxa" w:w="120"/>
              <w:bottom w:type="dxa" w:w="90"/>
              <w:right w:type="dxa" w:w="120"/>
            </w:tcMar>
          </w:tcPr>
          <w:p>
            <w:r>
              <w:rPr>
                <w:rFonts w:ascii="Arial" w:cs="Arial" w:eastAsia="Arial" w:hAnsi="Arial"/>
                <w:b/>
                <w:bCs/>
                <w:color w:val="222222"/>
                <w:sz w:val="20"/>
                <w:szCs w:val="20"/>
              </w:rPr>
              <w:t xml:space="preserve">Student Employability Reports</w:t>
            </w:r>
          </w:p>
        </w:tc>
        <w:tc>
          <w:tcPr>
            <w:tcW w:type="dxa" w:w="3400"/>
            <w:tcBorders>
              <w:top w:val="single" w:color="D1D9E6" w:sz="1"/>
              <w:left w:val="single" w:color="D1D9E6" w:sz="1"/>
              <w:bottom w:val="single" w:color="D1D9E6" w:sz="1"/>
              <w:right w:val="single" w:color="D1D9E6" w:sz="1"/>
            </w:tcBorders>
            <w:shd w:fill="FFFFFF" w:val="clear"/>
            <w:tcMar>
              <w:top w:type="dxa" w:w="90"/>
              <w:left w:type="dxa" w:w="120"/>
              <w:bottom w:type="dxa" w:w="90"/>
              <w:right w:type="dxa" w:w="120"/>
            </w:tcMar>
          </w:tcPr>
          <w:p>
            <w:r>
              <w:rPr>
                <w:rFonts w:ascii="Arial" w:cs="Arial" w:eastAsia="Arial" w:hAnsi="Arial"/>
                <w:color w:val="444444"/>
                <w:sz w:val="20"/>
                <w:szCs w:val="20"/>
              </w:rPr>
              <w:t xml:space="preserve">Quantify individual student readiness with a multi-dimensional score</w:t>
            </w:r>
          </w:p>
        </w:tc>
        <w:tc>
          <w:tcPr>
            <w:tcW w:type="dxa" w:w="3360"/>
            <w:tcBorders>
              <w:top w:val="single" w:color="D1D9E6" w:sz="1"/>
              <w:left w:val="single" w:color="D1D9E6" w:sz="1"/>
              <w:bottom w:val="single" w:color="D1D9E6" w:sz="1"/>
              <w:right w:val="single" w:color="D1D9E6" w:sz="1"/>
            </w:tcBorders>
            <w:shd w:fill="FFFFFF" w:val="clear"/>
            <w:tcMar>
              <w:top w:type="dxa" w:w="90"/>
              <w:left w:type="dxa" w:w="120"/>
              <w:bottom w:type="dxa" w:w="90"/>
              <w:right w:type="dxa" w:w="120"/>
            </w:tcMar>
          </w:tcPr>
          <w:p>
            <w:r>
              <w:rPr>
                <w:rFonts w:ascii="Arial" w:cs="Arial" w:eastAsia="Arial" w:hAnsi="Arial"/>
                <w:color w:val="444444"/>
                <w:sz w:val="20"/>
                <w:szCs w:val="20"/>
              </w:rPr>
              <w:t xml:space="preserve">Students, Placement Officers, Employers</w:t>
            </w:r>
          </w:p>
        </w:tc>
      </w:tr>
      <w:tr>
        <w:tc>
          <w:tcPr>
            <w:tcW w:type="dxa" w:w="400"/>
            <w:tcBorders>
              <w:top w:val="single" w:color="D1D9E6" w:sz="1"/>
              <w:left w:val="single" w:color="D1D9E6" w:sz="1"/>
              <w:bottom w:val="single" w:color="D1D9E6" w:sz="1"/>
              <w:right w:val="single" w:color="D1D9E6" w:sz="1"/>
            </w:tcBorders>
            <w:shd w:fill="F5F7FA" w:val="clear"/>
            <w:tcMar>
              <w:top w:type="dxa" w:w="90"/>
              <w:left w:type="dxa" w:w="100"/>
              <w:bottom w:type="dxa" w:w="90"/>
              <w:right w:type="dxa" w:w="100"/>
            </w:tcMar>
          </w:tcPr>
          <w:p>
            <w:pPr>
              <w:jc w:val="center"/>
            </w:pPr>
            <w:r>
              <w:rPr>
                <w:rFonts w:ascii="Arial" w:cs="Arial" w:eastAsia="Arial" w:hAnsi="Arial"/>
                <w:b/>
                <w:bCs/>
                <w:color w:val="1A56B0"/>
                <w:sz w:val="21"/>
                <w:szCs w:val="21"/>
              </w:rPr>
              <w:t xml:space="preserve">03</w:t>
            </w:r>
          </w:p>
        </w:tc>
        <w:tc>
          <w:tcPr>
            <w:tcW w:type="dxa" w:w="2200"/>
            <w:tcBorders>
              <w:top w:val="single" w:color="D1D9E6" w:sz="1"/>
              <w:left w:val="single" w:color="D1D9E6" w:sz="1"/>
              <w:bottom w:val="single" w:color="D1D9E6" w:sz="1"/>
              <w:right w:val="single" w:color="D1D9E6" w:sz="1"/>
            </w:tcBorders>
            <w:shd w:fill="F5F7FA" w:val="clear"/>
            <w:tcMar>
              <w:top w:type="dxa" w:w="90"/>
              <w:left w:type="dxa" w:w="120"/>
              <w:bottom w:type="dxa" w:w="90"/>
              <w:right w:type="dxa" w:w="120"/>
            </w:tcMar>
          </w:tcPr>
          <w:p>
            <w:r>
              <w:rPr>
                <w:rFonts w:ascii="Arial" w:cs="Arial" w:eastAsia="Arial" w:hAnsi="Arial"/>
                <w:b/>
                <w:bCs/>
                <w:color w:val="222222"/>
                <w:sz w:val="20"/>
                <w:szCs w:val="20"/>
              </w:rPr>
              <w:t xml:space="preserve">Placement Readiness Analytics</w:t>
            </w:r>
          </w:p>
        </w:tc>
        <w:tc>
          <w:tcPr>
            <w:tcW w:type="dxa" w:w="3400"/>
            <w:tcBorders>
              <w:top w:val="single" w:color="D1D9E6" w:sz="1"/>
              <w:left w:val="single" w:color="D1D9E6" w:sz="1"/>
              <w:bottom w:val="single" w:color="D1D9E6" w:sz="1"/>
              <w:right w:val="single" w:color="D1D9E6" w:sz="1"/>
            </w:tcBorders>
            <w:shd w:fill="F5F7FA" w:val="clear"/>
            <w:tcMar>
              <w:top w:type="dxa" w:w="90"/>
              <w:left w:type="dxa" w:w="120"/>
              <w:bottom w:type="dxa" w:w="90"/>
              <w:right w:type="dxa" w:w="120"/>
            </w:tcMar>
          </w:tcPr>
          <w:p>
            <w:r>
              <w:rPr>
                <w:rFonts w:ascii="Arial" w:cs="Arial" w:eastAsia="Arial" w:hAnsi="Arial"/>
                <w:color w:val="444444"/>
                <w:sz w:val="20"/>
                <w:szCs w:val="20"/>
              </w:rPr>
              <w:t xml:space="preserve">Predict and improve batch readiness before drives begin</w:t>
            </w:r>
          </w:p>
        </w:tc>
        <w:tc>
          <w:tcPr>
            <w:tcW w:type="dxa" w:w="3360"/>
            <w:tcBorders>
              <w:top w:val="single" w:color="D1D9E6" w:sz="1"/>
              <w:left w:val="single" w:color="D1D9E6" w:sz="1"/>
              <w:bottom w:val="single" w:color="D1D9E6" w:sz="1"/>
              <w:right w:val="single" w:color="D1D9E6" w:sz="1"/>
            </w:tcBorders>
            <w:shd w:fill="F5F7FA" w:val="clear"/>
            <w:tcMar>
              <w:top w:type="dxa" w:w="90"/>
              <w:left w:type="dxa" w:w="120"/>
              <w:bottom w:type="dxa" w:w="90"/>
              <w:right w:type="dxa" w:w="120"/>
            </w:tcMar>
          </w:tcPr>
          <w:p>
            <w:r>
              <w:rPr>
                <w:rFonts w:ascii="Arial" w:cs="Arial" w:eastAsia="Arial" w:hAnsi="Arial"/>
                <w:color w:val="444444"/>
                <w:sz w:val="20"/>
                <w:szCs w:val="20"/>
              </w:rPr>
              <w:t xml:space="preserve">Placement Officers, Career Counselors</w:t>
            </w:r>
          </w:p>
        </w:tc>
      </w:tr>
      <w:tr>
        <w:tc>
          <w:tcPr>
            <w:tcW w:type="dxa" w:w="400"/>
            <w:tcBorders>
              <w:top w:val="single" w:color="D1D9E6" w:sz="1"/>
              <w:left w:val="single" w:color="D1D9E6" w:sz="1"/>
              <w:bottom w:val="single" w:color="D1D9E6" w:sz="1"/>
              <w:right w:val="single" w:color="D1D9E6" w:sz="1"/>
            </w:tcBorders>
            <w:shd w:fill="FFFFFF" w:val="clear"/>
            <w:tcMar>
              <w:top w:type="dxa" w:w="90"/>
              <w:left w:type="dxa" w:w="100"/>
              <w:bottom w:type="dxa" w:w="90"/>
              <w:right w:type="dxa" w:w="100"/>
            </w:tcMar>
          </w:tcPr>
          <w:p>
            <w:pPr>
              <w:jc w:val="center"/>
            </w:pPr>
            <w:r>
              <w:rPr>
                <w:rFonts w:ascii="Arial" w:cs="Arial" w:eastAsia="Arial" w:hAnsi="Arial"/>
                <w:b/>
                <w:bCs/>
                <w:color w:val="1A56B0"/>
                <w:sz w:val="21"/>
                <w:szCs w:val="21"/>
              </w:rPr>
              <w:t xml:space="preserve">04</w:t>
            </w:r>
          </w:p>
        </w:tc>
        <w:tc>
          <w:tcPr>
            <w:tcW w:type="dxa" w:w="2200"/>
            <w:tcBorders>
              <w:top w:val="single" w:color="D1D9E6" w:sz="1"/>
              <w:left w:val="single" w:color="D1D9E6" w:sz="1"/>
              <w:bottom w:val="single" w:color="D1D9E6" w:sz="1"/>
              <w:right w:val="single" w:color="D1D9E6" w:sz="1"/>
            </w:tcBorders>
            <w:shd w:fill="FFFFFF" w:val="clear"/>
            <w:tcMar>
              <w:top w:type="dxa" w:w="90"/>
              <w:left w:type="dxa" w:w="120"/>
              <w:bottom w:type="dxa" w:w="90"/>
              <w:right w:type="dxa" w:w="120"/>
            </w:tcMar>
          </w:tcPr>
          <w:p>
            <w:r>
              <w:rPr>
                <w:rFonts w:ascii="Arial" w:cs="Arial" w:eastAsia="Arial" w:hAnsi="Arial"/>
                <w:b/>
                <w:bCs/>
                <w:color w:val="222222"/>
                <w:sz w:val="20"/>
                <w:szCs w:val="20"/>
              </w:rPr>
              <w:t xml:space="preserve">Teacher Performance Analytics</w:t>
            </w:r>
          </w:p>
        </w:tc>
        <w:tc>
          <w:tcPr>
            <w:tcW w:type="dxa" w:w="3400"/>
            <w:tcBorders>
              <w:top w:val="single" w:color="D1D9E6" w:sz="1"/>
              <w:left w:val="single" w:color="D1D9E6" w:sz="1"/>
              <w:bottom w:val="single" w:color="D1D9E6" w:sz="1"/>
              <w:right w:val="single" w:color="D1D9E6" w:sz="1"/>
            </w:tcBorders>
            <w:shd w:fill="FFFFFF" w:val="clear"/>
            <w:tcMar>
              <w:top w:type="dxa" w:w="90"/>
              <w:left w:type="dxa" w:w="120"/>
              <w:bottom w:type="dxa" w:w="90"/>
              <w:right w:type="dxa" w:w="120"/>
            </w:tcMar>
          </w:tcPr>
          <w:p>
            <w:r>
              <w:rPr>
                <w:rFonts w:ascii="Arial" w:cs="Arial" w:eastAsia="Arial" w:hAnsi="Arial"/>
                <w:color w:val="444444"/>
                <w:sz w:val="20"/>
                <w:szCs w:val="20"/>
              </w:rPr>
              <w:t xml:space="preserve">Link teaching quality to student outcome data</w:t>
            </w:r>
          </w:p>
        </w:tc>
        <w:tc>
          <w:tcPr>
            <w:tcW w:type="dxa" w:w="3360"/>
            <w:tcBorders>
              <w:top w:val="single" w:color="D1D9E6" w:sz="1"/>
              <w:left w:val="single" w:color="D1D9E6" w:sz="1"/>
              <w:bottom w:val="single" w:color="D1D9E6" w:sz="1"/>
              <w:right w:val="single" w:color="D1D9E6" w:sz="1"/>
            </w:tcBorders>
            <w:shd w:fill="FFFFFF" w:val="clear"/>
            <w:tcMar>
              <w:top w:type="dxa" w:w="90"/>
              <w:left w:type="dxa" w:w="120"/>
              <w:bottom w:type="dxa" w:w="90"/>
              <w:right w:type="dxa" w:w="120"/>
            </w:tcMar>
          </w:tcPr>
          <w:p>
            <w:r>
              <w:rPr>
                <w:rFonts w:ascii="Arial" w:cs="Arial" w:eastAsia="Arial" w:hAnsi="Arial"/>
                <w:color w:val="444444"/>
                <w:sz w:val="20"/>
                <w:szCs w:val="20"/>
              </w:rPr>
              <w:t xml:space="preserve">Faculty, HODs, Academic Directors</w:t>
            </w:r>
          </w:p>
        </w:tc>
      </w:tr>
      <w:tr>
        <w:tc>
          <w:tcPr>
            <w:tcW w:type="dxa" w:w="400"/>
            <w:tcBorders>
              <w:top w:val="single" w:color="D1D9E6" w:sz="1"/>
              <w:left w:val="single" w:color="D1D9E6" w:sz="1"/>
              <w:bottom w:val="single" w:color="D1D9E6" w:sz="1"/>
              <w:right w:val="single" w:color="D1D9E6" w:sz="1"/>
            </w:tcBorders>
            <w:shd w:fill="F5F7FA" w:val="clear"/>
            <w:tcMar>
              <w:top w:type="dxa" w:w="90"/>
              <w:left w:type="dxa" w:w="100"/>
              <w:bottom w:type="dxa" w:w="90"/>
              <w:right w:type="dxa" w:w="100"/>
            </w:tcMar>
          </w:tcPr>
          <w:p>
            <w:pPr>
              <w:jc w:val="center"/>
            </w:pPr>
            <w:r>
              <w:rPr>
                <w:rFonts w:ascii="Arial" w:cs="Arial" w:eastAsia="Arial" w:hAnsi="Arial"/>
                <w:b/>
                <w:bCs/>
                <w:color w:val="1A56B0"/>
                <w:sz w:val="21"/>
                <w:szCs w:val="21"/>
              </w:rPr>
              <w:t xml:space="preserve">05</w:t>
            </w:r>
          </w:p>
        </w:tc>
        <w:tc>
          <w:tcPr>
            <w:tcW w:type="dxa" w:w="2200"/>
            <w:tcBorders>
              <w:top w:val="single" w:color="D1D9E6" w:sz="1"/>
              <w:left w:val="single" w:color="D1D9E6" w:sz="1"/>
              <w:bottom w:val="single" w:color="D1D9E6" w:sz="1"/>
              <w:right w:val="single" w:color="D1D9E6" w:sz="1"/>
            </w:tcBorders>
            <w:shd w:fill="F5F7FA" w:val="clear"/>
            <w:tcMar>
              <w:top w:type="dxa" w:w="90"/>
              <w:left w:type="dxa" w:w="120"/>
              <w:bottom w:type="dxa" w:w="90"/>
              <w:right w:type="dxa" w:w="120"/>
            </w:tcMar>
          </w:tcPr>
          <w:p>
            <w:r>
              <w:rPr>
                <w:rFonts w:ascii="Arial" w:cs="Arial" w:eastAsia="Arial" w:hAnsi="Arial"/>
                <w:b/>
                <w:bCs/>
                <w:color w:val="222222"/>
                <w:sz w:val="20"/>
                <w:szCs w:val="20"/>
              </w:rPr>
              <w:t xml:space="preserve">Institute Reputation Score</w:t>
            </w:r>
          </w:p>
        </w:tc>
        <w:tc>
          <w:tcPr>
            <w:tcW w:type="dxa" w:w="3400"/>
            <w:tcBorders>
              <w:top w:val="single" w:color="D1D9E6" w:sz="1"/>
              <w:left w:val="single" w:color="D1D9E6" w:sz="1"/>
              <w:bottom w:val="single" w:color="D1D9E6" w:sz="1"/>
              <w:right w:val="single" w:color="D1D9E6" w:sz="1"/>
            </w:tcBorders>
            <w:shd w:fill="F5F7FA" w:val="clear"/>
            <w:tcMar>
              <w:top w:type="dxa" w:w="90"/>
              <w:left w:type="dxa" w:w="120"/>
              <w:bottom w:type="dxa" w:w="90"/>
              <w:right w:type="dxa" w:w="120"/>
            </w:tcMar>
          </w:tcPr>
          <w:p>
            <w:r>
              <w:rPr>
                <w:rFonts w:ascii="Arial" w:cs="Arial" w:eastAsia="Arial" w:hAnsi="Arial"/>
                <w:color w:val="444444"/>
                <w:sz w:val="20"/>
                <w:szCs w:val="20"/>
              </w:rPr>
              <w:t xml:space="preserve">Provide a verified, dynamic reputation index for all stakeholders</w:t>
            </w:r>
          </w:p>
        </w:tc>
        <w:tc>
          <w:tcPr>
            <w:tcW w:type="dxa" w:w="3360"/>
            <w:tcBorders>
              <w:top w:val="single" w:color="D1D9E6" w:sz="1"/>
              <w:left w:val="single" w:color="D1D9E6" w:sz="1"/>
              <w:bottom w:val="single" w:color="D1D9E6" w:sz="1"/>
              <w:right w:val="single" w:color="D1D9E6" w:sz="1"/>
            </w:tcBorders>
            <w:shd w:fill="F5F7FA" w:val="clear"/>
            <w:tcMar>
              <w:top w:type="dxa" w:w="90"/>
              <w:left w:type="dxa" w:w="120"/>
              <w:bottom w:type="dxa" w:w="90"/>
              <w:right w:type="dxa" w:w="120"/>
            </w:tcMar>
          </w:tcPr>
          <w:p>
            <w:r>
              <w:rPr>
                <w:rFonts w:ascii="Arial" w:cs="Arial" w:eastAsia="Arial" w:hAnsi="Arial"/>
                <w:color w:val="444444"/>
                <w:sz w:val="20"/>
                <w:szCs w:val="20"/>
              </w:rPr>
              <w:t xml:space="preserve">Leadership, Employers, Prospective Students</w:t>
            </w:r>
          </w:p>
        </w:tc>
      </w:tr>
    </w:tbl>
    <w:p>
      <w:pP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6" w:sz="1"/>
              <w:left w:val="single" w:color="D1D9E6" w:sz="1"/>
              <w:bottom w:val="single" w:color="D1D9E6" w:sz="1"/>
              <w:right w:val="single" w:color="D1D9E6" w:sz="1"/>
            </w:tcBorders>
            <w:shd w:fill="EBF3FB" w:val="clear"/>
            <w:tcMar>
              <w:top w:type="dxa" w:w="140"/>
              <w:left w:type="dxa" w:w="200"/>
              <w:bottom w:type="dxa" w:w="140"/>
              <w:right w:type="dxa" w:w="200"/>
            </w:tcMar>
          </w:tcPr>
          <w:p>
            <w:pPr>
              <w:spacing w:before="60" w:after="80"/>
            </w:pPr>
            <w:r>
              <w:rPr>
                <w:rFonts w:ascii="Arial" w:cs="Arial" w:eastAsia="Arial" w:hAnsi="Arial"/>
                <w:b/>
                <w:bCs/>
                <w:color w:val="1A56B0"/>
                <w:sz w:val="22"/>
                <w:szCs w:val="22"/>
              </w:rPr>
              <w:t xml:space="preserve">Design Principle: All Five Features Are Interconnected</w:t>
            </w:r>
          </w:p>
          <w:p>
            <w:pPr>
              <w:spacing w:before="40" w:after="40"/>
            </w:pPr>
            <w:r>
              <w:rPr>
                <w:rFonts w:ascii="Arial" w:cs="Arial" w:eastAsia="Arial" w:hAnsi="Arial"/>
                <w:b/>
                <w:bCs/>
                <w:color w:val="1A56B0"/>
                <w:sz w:val="21"/>
                <w:szCs w:val="21"/>
              </w:rPr>
              <w:t xml:space="preserve">✔  </w:t>
            </w:r>
            <w:r>
              <w:rPr>
                <w:rFonts w:ascii="Arial" w:cs="Arial" w:eastAsia="Arial" w:hAnsi="Arial"/>
                <w:color w:val="333333"/>
                <w:sz w:val="21"/>
                <w:szCs w:val="21"/>
              </w:rPr>
              <w:t xml:space="preserve">Skill Development Reports feed into Employability Reports — skill data populates individual scores</w:t>
            </w:r>
          </w:p>
          <w:p>
            <w:pPr>
              <w:spacing w:before="40" w:after="40"/>
            </w:pPr>
            <w:r>
              <w:rPr>
                <w:rFonts w:ascii="Arial" w:cs="Arial" w:eastAsia="Arial" w:hAnsi="Arial"/>
                <w:b/>
                <w:bCs/>
                <w:color w:val="1A56B0"/>
                <w:sz w:val="21"/>
                <w:szCs w:val="21"/>
              </w:rPr>
              <w:t xml:space="preserve">✔  </w:t>
            </w:r>
            <w:r>
              <w:rPr>
                <w:rFonts w:ascii="Arial" w:cs="Arial" w:eastAsia="Arial" w:hAnsi="Arial"/>
                <w:color w:val="333333"/>
                <w:sz w:val="21"/>
                <w:szCs w:val="21"/>
              </w:rPr>
              <w:t xml:space="preserve">Employability Reports feed into Placement Readiness Analytics — ES is a key PRS input</w:t>
            </w:r>
          </w:p>
          <w:p>
            <w:pPr>
              <w:spacing w:before="40" w:after="40"/>
            </w:pPr>
            <w:r>
              <w:rPr>
                <w:rFonts w:ascii="Arial" w:cs="Arial" w:eastAsia="Arial" w:hAnsi="Arial"/>
                <w:b/>
                <w:bCs/>
                <w:color w:val="1A56B0"/>
                <w:sz w:val="21"/>
                <w:szCs w:val="21"/>
              </w:rPr>
              <w:t xml:space="preserve">✔  </w:t>
            </w:r>
            <w:r>
              <w:rPr>
                <w:rFonts w:ascii="Arial" w:cs="Arial" w:eastAsia="Arial" w:hAnsi="Arial"/>
                <w:color w:val="333333"/>
                <w:sz w:val="21"/>
                <w:szCs w:val="21"/>
              </w:rPr>
              <w:t xml:space="preserve">Teacher Performance Analytics links to Skill Reports — teacher effectiveness measured through student skill outcomes</w:t>
            </w:r>
          </w:p>
          <w:p>
            <w:pPr>
              <w:spacing w:before="40" w:after="40"/>
            </w:pPr>
            <w:r>
              <w:rPr>
                <w:rFonts w:ascii="Arial" w:cs="Arial" w:eastAsia="Arial" w:hAnsi="Arial"/>
                <w:b/>
                <w:bCs/>
                <w:color w:val="1A56B0"/>
                <w:sz w:val="21"/>
                <w:szCs w:val="21"/>
              </w:rPr>
              <w:t xml:space="preserve">✔  </w:t>
            </w:r>
            <w:r>
              <w:rPr>
                <w:rFonts w:ascii="Arial" w:cs="Arial" w:eastAsia="Arial" w:hAnsi="Arial"/>
                <w:color w:val="333333"/>
                <w:sz w:val="21"/>
                <w:szCs w:val="21"/>
              </w:rPr>
              <w:t xml:space="preserve">All four operational features contribute to the Institute Reputation Score — IRS is the aggregate signal</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B0" w:sz="4" w:space="1"/>
      </w:pBdr>
      <w:spacing w:before="120"/>
    </w:pPr>
    <w:r>
      <w:rPr>
        <w:rFonts w:ascii="Arial" w:cs="Arial" w:eastAsia="Arial" w:hAnsi="Arial"/>
        <w:color w:val="888888"/>
        <w:sz w:val="18"/>
        <w:szCs w:val="18"/>
      </w:rPr>
      <w:t xml:space="preserve">EcoSkiller Platform  |  Confidential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B0" w:sz="4" w:space="1"/>
      </w:pBdr>
      <w:spacing w:after="120"/>
    </w:pPr>
    <w:r>
      <w:rPr>
        <w:rFonts w:ascii="Arial" w:cs="Arial" w:eastAsia="Arial" w:hAnsi="Arial"/>
        <w:color w:val="888888"/>
        <w:sz w:val="18"/>
        <w:szCs w:val="18"/>
      </w:rPr>
      <w:t xml:space="preserve">EcoSkiller  |  School Analytics &amp; Reporting  |  Feature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A56B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2026-03-09T09:44:32.163Z</dcterms:created>
  <dcterms:modified xsi:type="dcterms:W3CDTF">2026-03-09T09:44:32.164Z</dcterms:modified>
</cp:coreProperties>
</file>

<file path=docProps/custom.xml><?xml version="1.0" encoding="utf-8"?>
<Properties xmlns="http://schemas.openxmlformats.org/officeDocument/2006/custom-properties" xmlns:vt="http://schemas.openxmlformats.org/officeDocument/2006/docPropsVTypes"/>
</file>