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aps/>
          <w:color w:val="1A7FC1"/>
          <w:sz w:val="26"/>
          <w:szCs w:val="26"/>
        </w:rPr>
        <w:t xml:space="preserve">SCHOOL MANAGEMENT PLATFORM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C2B3A"/>
          <w:sz w:val="56"/>
          <w:szCs w:val="56"/>
        </w:rPr>
        <w:t xml:space="preserve">Product Feature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86C1"/>
          <w:sz w:val="34"/>
          <w:szCs w:val="34"/>
        </w:rPr>
        <w:t xml:space="preserve">Module B: School Dashboard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F4C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0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F4C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0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F4C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0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B — School Dashboard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F4C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Features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0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F4C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0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2B3A"/>
                <w:sz w:val="21"/>
                <w:szCs w:val="21"/>
              </w:rPr>
              <w:t xml:space="preserve">Final Draft</w:t>
            </w:r>
          </w:p>
        </w:tc>
      </w:tr>
    </w:tbl>
    <w:p>
      <w:r>
        <w:br w:type="page"/>
      </w:r>
    </w:p>
    <w:p>
      <w:pPr>
        <w:pBdr>
          <w:bottom w:val="single" w:color="0F4C81" w:sz="10" w:space="6"/>
        </w:pBdr>
        <w:spacing w:before="480" w:after="220"/>
      </w:pPr>
      <w:r>
        <w:rPr>
          <w:rFonts w:ascii="Arial" w:cs="Arial" w:eastAsia="Arial" w:hAnsi="Arial"/>
          <w:b/>
          <w:bCs/>
          <w:color w:val="1C2B3A"/>
          <w:sz w:val="38"/>
          <w:szCs w:val="38"/>
        </w:rPr>
        <w:t xml:space="preserve">B. School Dashboard — Feature Details</w:t>
      </w:r>
    </w:p>
    <w:p>
      <w:pPr>
        <w:spacing w:before="80" w:after="36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The School Dashboard is the nerve centre of the platform for school administrators, academic coordinators, and leadership teams. It consolidates real-time data across student populations, attendance, academic performance, skill development, employability readiness, and institutional health into a single intelligent workspace. The eight features below are each described in full functional depth — covering metrics, workflows, analytics logic, and stakeholder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F4C8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Total Students Dashboard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0E8F7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A high-level command centre that gives school administrators an instant, real-time view of the school's entire student population — broken down by enrolment status, demographics, grade distribution, and growth trends over time.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A7FC1"/>
                <w:sz w:val="21"/>
                <w:szCs w:val="21"/>
              </w:rPr>
              <w:t xml:space="preserve">Enrolment Overview Metrics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Live total student count displayed as a prominent KPI card, auto-refreshed every time an admission or transfer is processed, ensuring the number is always current and accurate.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Breakdown by enrolment status: Active, Transferred Out, Detained, Withdrawn, Graduated, and Provisionally Admitted — each category clickable for a detailed sub-list.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Year-over-year enrolment growth chart (line/bar toggle) showing monthly intake trends across the current and previous two academic years for capacity planning.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New admissions vs. attrition counter for the current academic year — updated in real time as students are admitted or exit, with a net growth/decline indicator.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RTE (Right to Education) quota tracker: displays the number of RTE-reserved seats, currently filled seats, and vacancies, ensuring compliance with the mandatory 25% reservation.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A7FC1"/>
                <w:sz w:val="21"/>
                <w:szCs w:val="21"/>
              </w:rPr>
              <w:t xml:space="preserve">Demographic &amp; Segmentation Breakdowns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Gender distribution donut chart (Male / Female / Other / Not Disclosed) with percentage labels and absolute counts, enabling gender-parity monitoring at a glance.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Age distribution histogram showing student counts per age bracket, helping identify grade-age mismatches and over-age or under-age enrolment patterns.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Religion and caste category breakdown (General / OBC / SC / ST / EWS) presented as a stacked bar chart, supporting scholarship and government reporting requirements.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Differently-abled student count and category (visual, hearing, locomotor, cognitive) with integration to special needs resource allocation workflows.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Day-scholars vs. boarders (hostel residents) split for schools with residential facilities, with dormitory capacity utilisation percentage.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A7FC1"/>
                <w:sz w:val="21"/>
                <w:szCs w:val="21"/>
              </w:rPr>
              <w:t xml:space="preserve">Geographic &amp; Source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Student origin heatmap overlaid on a district/city map showing density of students by residential locality — useful for school bus route planning and outreach campaigns.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Feeder school analysis: tracks which primary schools or institutions most students are arriving from, helping identify partnership opportunities.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Sibling network tracker: flags families with multiple children enrolled, enabling consolidated parent communication and sibling fee discount automation.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First-generation learner indicator: counts students who are the first in their family to attend formal schooling, supporting targeted scholarship and welfare programmes.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4C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 functionality for the entire student dataset as Excel/CSV with custom column selectors, supporting offline analysis and regulatory submissions.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844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Class-Wise Student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5F0E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Provides granular, drill-down visibility into student composition, performance distribution, and health indicators at the class and section level — empowering class teachers and academic coordinators with actionable data.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Class &amp; Section Overview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Interactive grade-section grid (e.g., 6A, 6B, 7A) with individual tile cards showing: total students, class teacher name, average attendance %, and latest exam average score.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Section strength vs. sanctioned strength indicator — highlights overcrowded sections (above capacity) and under-utilised sections in red/amber/green status.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Student-to-teacher ratio displayed per class, benchmarked against NEP 2020 recommended ratios, with alert flags when ratios breach thresholds.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Newly promoted vs. detained vs. re-admitted count per class, allowing academic coordinators to track grade transition health.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Class-level special needs count to ensure inclusive education support resources (shadow teachers, assistive devices) are appropriately allocated per section.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Intra-Class Performance Distribution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Bell curve / histogram of student marks distribution per class for each subject — instantly reveals whether a class is skewed towards high, average, or low performance.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Top 10 and bottom 10 student lists per class based on cumulative academic performance, with trend arrows showing if their standing is improving or declining.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Subject-wise class average heatmap — a colour-coded grid of classes (rows) vs. subjects (columns) making it immediately visible which class struggles in which subject.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 rank board updated after every assessment cycle, with a privacy-mode toggle to restrict visibility to teachers only versus publishing to students.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Learning gap analysis per class — identifies concepts where more than 40% of students scored below passing in assessments, triggering remedial class recommendations.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Engagement &amp; Behavioural Indicators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Class-level library book borrowing frequency and reading habit index — classes with low library engagement are flagged for literacy promotion interventions.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Co-curricular participation rate per class: percentage of students enrolled in at least one club, sport, or activity — correlated against academic performance data.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Disciplinary incident rate per class (late arrivals, homework defaults, conduct issues) presented as a trend chart to identify classes needing pastoral support.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Parent engagement index per class: percentage of parents who have logged into the portal, attended PTMs, or responded to school communications in the last 30 days.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 cohesion score derived from peer interaction data within platform collaboration tools — low scores prompt teacher facilitation activities.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17A6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Attendance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0EDE8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A comprehensive attendance intelligence engine that goes beyond simple present/absent counts to deliver pattern recognition, predictive absenteeism alerts, regulatory compliance reporting, and teacher accountability insights.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Daily &amp; Real-Time Attendance Tracking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Live school-wide attendance dashboard updated as teachers mark attendance each period — showing current-day school attendance percentage with period-wise drill-down.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Class-wise attendance summary table for the current day: each row shows class, teacher, total students, present, absent, late, and on-leave counts with colour-coded status.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Absent student list with one-click parent notification trigger (SMS/email/push notification) directly from the dashboard, reducing administrative steps.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Biometric / RFID / facial recognition attendance data integration for schools using hardware-based entry systems — all feeds consolidated into a single analytics view.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Period-wise attendance variance detection: flags classes where a significant number of students absent in one period were present in others, flagging potential bunking.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Pattern Recognition &amp; Predictive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Chronic absenteeism alerts: students missing more than 10% of school days in a rolling 30-day window are automatically flagged for counsellor or parent intervention.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Day-of-week absenteeism heatmap — reveals if a school systematically has lower attendance on Mondays or Fridays, enabling targeted scheduling or engagement adjustments.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Weather and event correlation engine: overlays attendance data against local weather, examination days, and school event calendar to contextualise dips.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Predictive model that estimates which students are at risk of falling below the 75% minimum attendance threshold (CBSE requirement) before end of term, enabling proactive intervention.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Absenteeism clustering — identifies if absences are concentrated in specific neighbourhoods or demographics, surfacing socio-economic factors that may need school welfare support.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Compliance &amp; Reporting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generation of CBSE / state board attendance registers in the prescribed format, ready for inspection, eliminating manual register maintenance.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Attendance shortage notice generation: system automatically drafts and sends formal letters to parents of students below the mandatory attendance threshold.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Monthly and term-end attendance reports per class submitted automatically to the principal's dashboard for review and sign-off.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Teacher attendance tracking module: school admin can monitor staff punctuality, leave patterns, and substitution frequency — correlated with student performance impact.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17A65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Academic year attendance summary exportable as PDF or Excel for submission to UDISE+, board inspections, or internal audits.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6C348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Skill Development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AD6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Tracks and visualises the acquisition of 21st-century competencies — including critical thinking, communication, creativity, collaboration, digital literacy, and emotional intelligence — across individual students and cohorts.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1"/>
                <w:szCs w:val="21"/>
              </w:rPr>
              <w:t xml:space="preserve">Skill Framework &amp; Mapping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Competency framework built on NEP 2020 and global standards (World Economic Forum Future of Jobs, OECD Learning Compass 2030) mapping 40+ micro-skills across 8 core domains.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Each academic activity, assignment, project, and extra-curricular participation is tagged with relevant skill codes — automatically contributing to a student's skill profile over time.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Skill radar chart per student showing current proficiency levels across all domains on a 5-point scale — updated after each assessment cycle.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 and grade-level aggregate skill heatmap: a colour-coded grid of skill domains vs. classes, immediately revealing which skills are being effectively developed and which are lagging across the school.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Skill-to-career pathway overlay: for senior students, each skill profile is mapped to compatible career clusters and higher-education pathways, making skill development tangibly relevant.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1"/>
                <w:szCs w:val="21"/>
              </w:rPr>
              <w:t xml:space="preserve">Progress Tracking &amp; Gap Analysis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Longitudinal skill growth timeline per student: plots skill proficiency scores from Grade 1 (or enrolment) to the current date, visualising the learning journey over years.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Skill velocity metric: measures the rate of skill improvement per student over the last term, identifying fast learners and students needing accelerated support.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Skill gap leaderboard per class: shows which skills the greatest number of students are underperforming in, helping teachers prioritise project-based and activity learning themes.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Comparative benchmarking against anonymised national-level skill averages from the platform's database — schools can see how their students measure up regionally and nationally.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Teacher-assigned skill badges and endorsements for observable competencies (e.g., 'demonstrated leadership in group project') that count as evidence in the skill profile.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1"/>
                <w:szCs w:val="21"/>
              </w:rPr>
              <w:t xml:space="preserve">Reporting &amp; Stakeholder Views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Student-facing skill passport: a gamified, visual record of skills earned that students can build over their school journey — shareable as a digital credential for college applications.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Parent dashboard view showing their child's skill development progress with plain-language explanations of each skill and suggested home activities to reinforce growth.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Teacher analytics: shows each teacher's effectiveness in developing specific skills based on before-and-after assessment data from their classes.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Curriculum alignment report: audits whether the school's current curriculum activities adequately cover all 40+ mapped skills or if there are systematic coverage gaps.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Annual skill development report generated per student for inclusion in the cumulative academic record, complementing conventional mark sheets.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BA4A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Dojo Participation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AE5D3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The Dojo module represents structured challenge-based, competitive, or collaborative learning arenas. This analytics layer tracks student participation depth, performance outcomes, and engagement quality across all Dojo activities.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Participation Metrics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Total Dojo sessions conducted, total student participations, and unique participants count — displayed as KPI cards on the dashboard with month-on-month change indicators.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Participation rate by class and grade: percentage of students in each class who have engaged in at least one Dojo session in the current term, with target threshold indicators.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Dojo category breakdown: proportion of participation across activity types — Academic Quiz Dojos, Coding Challenges, Debate Arenas, Science Experiment Challenges, Creative Arts Dojos, etc.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Session frequency heatmap: calendar view showing which days of the week and times of day see the highest Dojo activity, informing scheduling optimisation.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Voluntary vs. mandatory participation ratio: distinguishes between school-assigned Dojo sessions and student-initiated voluntary engagement — a high voluntary rate indicates strong intrinsic motivation.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Performance &amp; Outcome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Win/loss/draw record per student across competitive Dojos with percentile ranking within the school and optionally against platform-wide participants.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Skill points earned per student from Dojo activities, contributing to the overall skill development profile with transparent point-to-skill-badge mapping.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Most attempted and highest-scoring Dojo challenges per grade — surfacing which challenge types drive the most engagement and learning outcomes.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Challenge completion rate: percentage of students who start a Dojo challenge and complete it versus drop off midway — low completion rates flag poorly calibrated difficulty or engagement issues.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Re-attempt analytics: tracks how many students voluntarily re-attempt failed or low-scoring challenges, a key indicator of growth mindset and academic resilience.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Leaderboard &amp; Recognition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Live school-wide Dojo leaderboard updated in real time — ranked by cumulative skill points, with separate leaderboards for each grade and subject domain to ensure age-appropriate competition.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Weekly, monthly, and all-time Hall of Fame for top Dojo performers — displayed on digital school notice boards and communicated to parents via notifications.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Team challenge analytics for group Dojos: team composition, collaboration patterns, contribution equity (ensuring no one student dominates the team's output), and outcome scores.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Streak tracking: students who participate in Dojo activities for consecutive days earn streak badges — streak data visualised on the admin dashboard to monitor consistent engagement.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BA4A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Dojo influence on academic marks: correlation analysis between Dojo participation intensity and quarterly exam performance, surfacing evidence of the programme's academic impact.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527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Academic Performance Analytics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AF8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The most data-dense module — provides a multi-dimensional view of student academic outcomes across subjects, assessment types, and time periods. Designed to help teachers, coordinators, and principals identify trends, close learning gaps, and celebrate growth.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21"/>
                <w:szCs w:val="21"/>
              </w:rPr>
              <w:t xml:space="preserve">Assessment &amp; Marks Intelligence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Consolidated marks ledger per student: all formative (class tests, assignments, projects) and summative (term exams, board practicals) scores in a single timeline view.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Subject-wise performance breakdown with average, highest, lowest, and median scores per class — presented as an interactive box-and-whisker plot for statistical clarity.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Grade distribution pyramid: visualises how many students fall in each grade band (A1, A2, B1, B2, C, D, E) across all subjects — updated after every exam cycle.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Pass/fail rate per subject per class with trend comparison against previous terms — subjects with consistently high failure rates are flagged for academic intervention.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 vs. external assessment performance comparison: identifies students who perform well in internal tests but underperform in board or competitive exams, indicating test anxiety or exam strategy issues.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21"/>
                <w:szCs w:val="21"/>
              </w:rPr>
              <w:t xml:space="preserve">Trend &amp; Growth Analysis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Individual student performance trajectory chart: plots term-over-term and year-over-year marks for each subject, making improvement or decline immediately visible.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Value-added analysis: measures academic growth relative to the student's own starting point rather than against peers — a fairer measure of teacher and school effectiveness.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Cohort analysis: tracks how a particular batch of students (e.g., Class of 2028) performs collectively from their entry grade through to their current grade.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Subject correlation matrix: analyses whether performance in one subject (e.g., Mathematics) is statistically correlated with performance in another (e.g., Physics), informing integrated teaching strategies.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Remedial intervention tracking: records which students were placed in remedial programmes and measures their subsequent performance improvement to evaluate programme effectiveness.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21"/>
                <w:szCs w:val="21"/>
              </w:rPr>
              <w:t xml:space="preserve">Teacher &amp; Curriculum Effectiveness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Teacher performance impact dashboard: compares pre- and post-teacher-assignment performance data for classes, controlling for prior performance to isolate teacher contribution.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Question-level analysis for internal exams: shows which specific questions were most frequently answered incorrectly across the class, pinpointing exact curriculum delivery gaps.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Curriculum coverage audit: cross-references the syllabus with topics assessed in class tests and exams — highlights topics that are under-assessed or over-assessed relative to their weightage.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Homework completion vs. exam performance correlation study: quantifies the relationship between homework regularity and exam outcomes, providing data to enforce or revise homework policies.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Board exam result analysis: after board results are published, imports official scores and compares against predicted scores from internal assessments to evaluate prediction accuracy.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45A3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Employability Readiness Dashboard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5F5E3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Specifically designed for senior secondary students (Classes 9–12), this dashboard measures and tracks the development of employability competencies — career awareness, professional skills, industry exposure, and higher education readiness.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D8348"/>
                <w:sz w:val="21"/>
                <w:szCs w:val="21"/>
              </w:rPr>
              <w:t xml:space="preserve">Readiness Index &amp; Components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Overall Employability Readiness Score (ERS) per student on a 0–100 scale — a composite index calculated from five weighted pillars: Academic Performance (25%), Skill Competencies (20%), Career Exposure (20%), Co-curricular Engagement (20%), and Soft Skills (15%).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Pillar-wise breakdown radar chart showing which components of employability a student excels in and which require focused development — updated each term.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Cohort ERS distribution histogram: shows how the student body is spread across readiness bands (Highly Ready, Developing, Needs Attention) — benchmarked against the platform's national average.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ERS growth trajectory per student: tracks improvement from Class 9 to Class 12, creating a compelling four-year employability development narrative for college admissions.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ERS comparison by stream (Arts/Commerce/Science): analyses whether certain academic streams correlate with higher or lower employability readiness, informing counselling strategies.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D8348"/>
                <w:sz w:val="21"/>
                <w:szCs w:val="21"/>
              </w:rPr>
              <w:t xml:space="preserve">Career Exposure &amp; Counselling Tracking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Industry visit participation log: records which students attended industry visits, guest lectures, job shadow programmes, and internship orientations — counts as career exposure credits.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Career assessment completion tracker: monitors completion rates of aptitude tests, personality assessments, and interest inventories available on the platform's career counselling module.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Counselling session log: tracks the number and nature of career counselling sessions each student has attended, with counsellor notes accessible to school coordinators.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Career aspiration tracking: records stated career interests from annual student surveys and monitors whether aspirations shift year over year, enabling targeted guidance.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Higher education readiness checklist: tracks application-readiness milestones — entrance exam registrations, statement of purpose drafts, recommendation letter requests, and portfolio submissions.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1D8348"/>
                <w:sz w:val="21"/>
                <w:szCs w:val="21"/>
              </w:rPr>
              <w:t xml:space="preserve">Employer &amp; Alumni Integration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Employer engagement dashboard: tracks how many companies or organisations have participated in school-level career fairs, mock interview sessions, or mentorship programmes.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Alumni mentorship network metrics: number of alumni registered as mentors, mentor-mentee pairing rate, session completion rates, and student satisfaction scores from mentorship interactions.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Industry certification and online course completion tracker: records external credentials (e.g., Google Certifications, NPTEL, Coursera) earned by students, contributing to ERS.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Mock interview performance scores tracked per student across multiple attempts — improvement trends surfaced as evidence of professional communication development.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Placement and college admission outcome tracking for Class 12 graduates — feeds back into the school's annual performance report and public profile statistics.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4A235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School Performance Score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EEF8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Overview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The School Performance Score (SPS) is the platform's flagship institutional health metric — a single, composite, data-driven score that aggregates performance across all operational and academic dimensions to give leadership a holistic view of the school's standing.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1"/>
                <w:szCs w:val="21"/>
              </w:rPr>
              <w:t xml:space="preserve">Score Composition &amp; Methodology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SPS is a weighted composite of eight key performance dimensions: Academic Excellence (20%), Attendance Health (15%), Skill Development Depth (15%), Student Wellbeing (10%), Teacher Effectiveness (15%), Infrastructure Utilisation (10%), Parent &amp; Community Engagement (10%), and Compliance &amp; Governance (5%).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Each dimension is scored 0–100 based on measurable sub-indicators drawn from platform data — no self-reported inputs, ensuring objectivity and resistance to manipulation.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Dynamic weighting model: schools can view scores under alternate weighting scenarios (e.g., 'NEP 2020 Priority Weightings' vs. 'CBSE Inspection Weightings') for contextually relevant assessments.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SPS is recalculated weekly (not real time) to prevent gaming and to smooth out short-term fluctuations, reflecting genuine sustained performance trends.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Confidence band displayed alongside the SPS: a range (e.g., 74–78) based on data completeness — schools with sparse data receive wider confidence bands until more data is available.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1"/>
                <w:szCs w:val="21"/>
              </w:rPr>
              <w:t xml:space="preserve">Benchmarking &amp; Comparative Insights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National, state, district, and peer-group percentile ranks: a school with SPS 76 can see it sits at the 68th percentile nationally and the 82nd percentile within its district.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Peer comparison engine: schools can opt in to anonymised comparison with up to 5 similar schools (matched by board, stream, student count, and location type) for competitive benchmarking.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Year-over-year SPS change tracker with a waterfall chart decomposing which dimensions improved, declined, or stayed stable — making root causes of score changes transparent.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Dimension-level gap analysis: ranks the 8 dimensions from lowest to highest contributor to the SPS gap vs. the top-quartile benchmark, creating a prioritised improvement roadmap.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SPS historical archive: complete score history from school's onboarding date, enabling long-term institutional improvement narratives for accreditation, inspection, and marketing.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90"/>
              <w:left w:type="dxa" w:w="220"/>
              <w:bottom w:type="dxa" w:w="10"/>
              <w:right w:type="dxa" w:w="220"/>
            </w:tcMar>
          </w:tcPr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1"/>
                <w:szCs w:val="21"/>
              </w:rPr>
              <w:t xml:space="preserve">Action Intelligence &amp; Governance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AI-generated improvement recommendations: for each under-performing dimension, the system suggests specific, actionable initiatives (e.g., 'Increase Dojo participation by 20% to lift Skill Development score by approximately 4 points').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SPS-linked goal setting: school principals can set quarterly SPS improvement targets — the platform tracks progress and alerts leadership if the trajectory is off-track.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Board/trustee reporting dashboard: an executive-level simplified SPS view with trend charts and risk flags designed for non-technical stakeholders — shareable as a one-page PDF report.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Regulatory inspection readiness score derived from the Compliance &amp; Governance dimension — pre-populates evidence documents and checklists for NAAC, ISO, or board inspections.</w:t>
            </w:r>
          </w:p>
        </w:tc>
      </w:tr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60"/>
              <w:left w:type="dxa" w:w="380"/>
              <w:bottom w:type="dxa" w:w="6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SPS transparency settings: schools can choose to display their SPS publicly on their profile (building trust with parents) or keep it internal — both settings configurable by the school admin.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top w:val="single" w:color="0F4C81" w:sz="6" w:space="6"/>
        </w:pBdr>
        <w:spacing w:before="240" w:after="120"/>
        <w:jc w:val="center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CONFIDENTIAL — For Internal Use Only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This document describes planned product features and is subject to change without notice. © 2026 School Management Platform.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0F4C8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School Management Platform  |  Module B: School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2026-03-09T07:44:16.087Z</dcterms:created>
  <dcterms:modified xsi:type="dcterms:W3CDTF">2026-03-09T07:44:16.088Z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