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00" w:after="2100"/>
      </w:pPr>
    </w:p>
    <w:p>
      <w:pPr>
        <w:spacing w:before="0" w:after="80"/>
        <w:jc w:val="center"/>
      </w:pPr>
      <w:r>
        <w:rPr>
          <w:rFonts w:ascii="Arial" w:cs="Arial" w:eastAsia="Arial" w:hAnsi="Arial"/>
          <w:b/>
          <w:bCs/>
          <w:color w:val="0B2B4E"/>
          <w:sz w:val="52"/>
          <w:szCs w:val="52"/>
        </w:rPr>
        <w:t xml:space="preserve">EcoSkiller Institute Management System</w:t>
      </w:r>
    </w:p>
    <w:p>
      <w:pPr>
        <w:spacing w:before="0" w:after="80"/>
        <w:jc w:val="center"/>
      </w:pPr>
      <w:r>
        <w:rPr>
          <w:rFonts w:ascii="Arial" w:cs="Arial" w:eastAsia="Arial" w:hAnsi="Arial"/>
          <w:color w:val="1157A8"/>
          <w:sz w:val="38"/>
          <w:szCs w:val="38"/>
        </w:rPr>
        <w:t xml:space="preserve">Feature Specification Document</w:t>
      </w:r>
    </w:p>
    <w:p>
      <w:pPr>
        <w:spacing w:before="40" w:after="40"/>
        <w:jc w:val="center"/>
      </w:pPr>
      <w:r>
        <w:rPr>
          <w:rFonts w:ascii="Arial" w:cs="Arial" w:eastAsia="Arial" w:hAnsi="Arial"/>
          <w:b/>
          <w:bCs/>
          <w:color w:val="0B5E35"/>
          <w:sz w:val="30"/>
          <w:szCs w:val="30"/>
        </w:rPr>
        <w:t xml:space="preserve">Module C: Student Lifecycle Management</w:t>
      </w:r>
    </w:p>
    <w:p>
      <w:pPr>
        <w:spacing w:before="220" w:after="80"/>
        <w:jc w:val="center"/>
      </w:pPr>
      <w:r>
        <w:rPr>
          <w:rFonts w:ascii="Arial" w:cs="Arial" w:eastAsia="Arial" w:hAnsi="Arial"/>
          <w:color w:val="5E7080"/>
          <w:sz w:val="22"/>
          <w:szCs w:val="22"/>
        </w:rPr>
        <w:t xml:space="preserve">Version 1.0  |  9 March 2026</w:t>
      </w:r>
    </w:p>
    <w:p>
      <w:pPr>
        <w:pageBreakBefore/>
      </w:pPr>
    </w:p>
    <w:p>
      <w:pPr>
        <w:pStyle w:val="Heading1"/>
        <w:spacing w:before="480" w:after="150"/>
      </w:pPr>
      <w:r>
        <w:rPr>
          <w:rFonts w:ascii="Arial" w:cs="Arial" w:eastAsia="Arial" w:hAnsi="Arial"/>
          <w:b/>
          <w:bCs/>
          <w:color w:val="0B2B4E"/>
          <w:sz w:val="36"/>
          <w:szCs w:val="36"/>
        </w:rPr>
        <w:t xml:space="preserve">Table of Contents</w:t>
      </w:r>
    </w:p>
    <w:p>
      <w:pPr>
        <w:spacing w:before="60" w:after="60"/>
      </w:pPr>
      <w:r>
        <w:rPr>
          <w:rFonts w:ascii="Arial" w:cs="Arial" w:eastAsia="Arial" w:hAnsi="Arial"/>
          <w:color w:val="1157A8"/>
          <w:sz w:val="22"/>
          <w:szCs w:val="22"/>
        </w:rPr>
        <w:t xml:space="preserve">Feature C.1: Student Registration Approval</w:t>
      </w:r>
    </w:p>
    <w:p>
      <w:pPr>
        <w:spacing w:before="60" w:after="60"/>
      </w:pPr>
      <w:r>
        <w:rPr>
          <w:rFonts w:ascii="Arial" w:cs="Arial" w:eastAsia="Arial" w:hAnsi="Arial"/>
          <w:color w:val="1157A8"/>
          <w:sz w:val="22"/>
          <w:szCs w:val="22"/>
        </w:rPr>
        <w:t xml:space="preserve">Feature C.2: Student Admission Workflow</w:t>
      </w:r>
    </w:p>
    <w:p>
      <w:pPr>
        <w:spacing w:before="60" w:after="60"/>
      </w:pPr>
      <w:r>
        <w:rPr>
          <w:rFonts w:ascii="Arial" w:cs="Arial" w:eastAsia="Arial" w:hAnsi="Arial"/>
          <w:color w:val="1157A8"/>
          <w:sz w:val="22"/>
          <w:szCs w:val="22"/>
        </w:rPr>
        <w:t xml:space="preserve">Feature C.3: Student Enrollment Management</w:t>
      </w:r>
    </w:p>
    <w:p>
      <w:pPr>
        <w:spacing w:before="60" w:after="60"/>
      </w:pPr>
      <w:r>
        <w:rPr>
          <w:rFonts w:ascii="Arial" w:cs="Arial" w:eastAsia="Arial" w:hAnsi="Arial"/>
          <w:color w:val="1157A8"/>
          <w:sz w:val="22"/>
          <w:szCs w:val="22"/>
        </w:rPr>
        <w:t xml:space="preserve">Feature C.4: Bulk Student Import</w:t>
      </w:r>
    </w:p>
    <w:p>
      <w:pPr>
        <w:spacing w:before="60" w:after="60"/>
      </w:pPr>
      <w:r>
        <w:rPr>
          <w:rFonts w:ascii="Arial" w:cs="Arial" w:eastAsia="Arial" w:hAnsi="Arial"/>
          <w:color w:val="1157A8"/>
          <w:sz w:val="22"/>
          <w:szCs w:val="22"/>
        </w:rPr>
        <w:t xml:space="preserve">Feature C.5: Student Class Assignment</w:t>
      </w:r>
    </w:p>
    <w:p>
      <w:pPr>
        <w:spacing w:before="60" w:after="60"/>
      </w:pPr>
      <w:r>
        <w:rPr>
          <w:rFonts w:ascii="Arial" w:cs="Arial" w:eastAsia="Arial" w:hAnsi="Arial"/>
          <w:color w:val="1157A8"/>
          <w:sz w:val="22"/>
          <w:szCs w:val="22"/>
        </w:rPr>
        <w:t xml:space="preserve">Feature C.6: Section Management</w:t>
      </w:r>
    </w:p>
    <w:p>
      <w:pPr>
        <w:pageBreakBefore/>
      </w:pPr>
    </w:p>
    <w:p>
      <w:pPr>
        <w:pStyle w:val="Heading1"/>
        <w:spacing w:before="480" w:after="150"/>
      </w:pPr>
      <w:r>
        <w:rPr>
          <w:rFonts w:ascii="Arial" w:cs="Arial" w:eastAsia="Arial" w:hAnsi="Arial"/>
          <w:b/>
          <w:bCs/>
          <w:color w:val="0B2B4E"/>
          <w:sz w:val="36"/>
          <w:szCs w:val="36"/>
        </w:rPr>
        <w:t xml:space="preserve">Feature C.1: Student Registration Approval</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Registration Approval is the first formal administrative gate in the student lifecycle on the EcoSkiller Institute Management System. It is the process by which a student's initial self-registration — submitted through the student-facing portal — is reviewed, validated, and formally approved (or rejected) by the institute's administrative staff before the student is granted access to academic resources. This module ensures that every student in the system has been deliberately admitted with verified credentials, preventing unauthorised access, duplicate records, and data integrity issues that would compound throughout the student's lifecycle. The approval workflow is configurable — institutes can choose fully automated approval (for cases where all submitted data passes automated validation), semi-automated (auto-approve with specific conditions), or fully manual (every registration reviewed by a staff member).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C.1</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Administrative Approval Workflow — Student Onboarding Gate</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Admissions Officer, Department Coordinator, System Administrator</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Workflow Modes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Fully Automated / Semi-Automated / Fully Manual (configurable per institute)</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Critical — First Step in Student Lifecycle; Data Quality Gate</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When a prospective student submits a self-registration request through the EcoSkiller student portal, that request enters a pending queue visible to institute administrators. The registration approval module presents each pending registration as a structured review task — displaying all submitted information, running automated validation checks, flagging anomalies, and providing the administrator with a set of approval actions. The module maintains a complete audit trail of every decision made, the staff member who made it, and the timestamp — ensuring accountability and supporting appeals or disputes.</w:t>
      </w:r>
    </w:p>
    <w:p>
      <w:pPr>
        <w:pStyle w:val="Heading2"/>
        <w:spacing w:before="280" w:after="90"/>
      </w:pPr>
      <w:r>
        <w:rPr>
          <w:rFonts w:ascii="Arial" w:cs="Arial" w:eastAsia="Arial" w:hAnsi="Arial"/>
          <w:b/>
          <w:bCs/>
          <w:color w:val="1157A8"/>
          <w:sz w:val="27"/>
          <w:szCs w:val="27"/>
        </w:rPr>
        <w:t xml:space="preserve">Registration Intake &amp; Pending Queue</w:t>
      </w:r>
    </w:p>
    <w:p>
      <w:pPr>
        <w:pStyle w:val="ListParagraph"/>
        <w:numPr>
          <w:ilvl w:val="0"/>
          <w:numId w:val="2"/>
        </w:numPr>
        <w:spacing w:before="46" w:after="46"/>
      </w:pPr>
      <w:r>
        <w:rPr>
          <w:rFonts w:ascii="Arial" w:cs="Arial" w:eastAsia="Arial" w:hAnsi="Arial"/>
          <w:color w:val="0F1B2D"/>
          <w:sz w:val="22"/>
          <w:szCs w:val="22"/>
        </w:rPr>
        <w:t xml:space="preserve">Centralised Pending Queue: All new self-registrations arrive in a single pending queue accessible to authorised admissions staff. The queue displays: student name, registration timestamp, programme applied for, document submission status (Complete / Incomplete), automated validation score, and days in queue.</w:t>
      </w:r>
    </w:p>
    <w:p>
      <w:pPr>
        <w:pStyle w:val="ListParagraph"/>
        <w:numPr>
          <w:ilvl w:val="0"/>
          <w:numId w:val="2"/>
        </w:numPr>
        <w:spacing w:before="46" w:after="46"/>
      </w:pPr>
      <w:r>
        <w:rPr>
          <w:rFonts w:ascii="Arial" w:cs="Arial" w:eastAsia="Arial" w:hAnsi="Arial"/>
          <w:color w:val="0F1B2D"/>
          <w:sz w:val="22"/>
          <w:szCs w:val="22"/>
        </w:rPr>
        <w:t xml:space="preserve">Priority sorting: Registrations are sorted by urgency — students whose registration deadline is imminent are floated to the top. Configurable secondary sort by programme, batch, or registration timestamp.</w:t>
      </w:r>
    </w:p>
    <w:p>
      <w:pPr>
        <w:pStyle w:val="ListParagraph"/>
        <w:numPr>
          <w:ilvl w:val="0"/>
          <w:numId w:val="2"/>
        </w:numPr>
        <w:spacing w:before="46" w:after="46"/>
      </w:pPr>
      <w:r>
        <w:rPr>
          <w:rFonts w:ascii="Arial" w:cs="Arial" w:eastAsia="Arial" w:hAnsi="Arial"/>
          <w:color w:val="0F1B2D"/>
          <w:sz w:val="22"/>
          <w:szCs w:val="22"/>
        </w:rPr>
        <w:t xml:space="preserve">Batch view: Admissions staff can filter the queue by academic year, programme, department, or registration period — enabling focused batch processing of similar registrations.</w:t>
      </w:r>
    </w:p>
    <w:p>
      <w:pPr>
        <w:pStyle w:val="ListParagraph"/>
        <w:numPr>
          <w:ilvl w:val="0"/>
          <w:numId w:val="2"/>
        </w:numPr>
        <w:spacing w:before="46" w:after="46"/>
      </w:pPr>
      <w:r>
        <w:rPr>
          <w:rFonts w:ascii="Arial" w:cs="Arial" w:eastAsia="Arial" w:hAnsi="Arial"/>
          <w:color w:val="0F1B2D"/>
          <w:sz w:val="22"/>
          <w:szCs w:val="22"/>
        </w:rPr>
        <w:t xml:space="preserve">Registration source tracking: The system records how the student initiated their registration — web portal self-registration, institute-generated invite link, bulk import, or counsellor-assisted registration — tagging each record with its source for analytics.</w:t>
      </w:r>
    </w:p>
    <w:p>
      <w:pPr>
        <w:pStyle w:val="ListParagraph"/>
        <w:numPr>
          <w:ilvl w:val="0"/>
          <w:numId w:val="2"/>
        </w:numPr>
        <w:spacing w:before="46" w:after="46"/>
      </w:pPr>
      <w:r>
        <w:rPr>
          <w:rFonts w:ascii="Arial" w:cs="Arial" w:eastAsia="Arial" w:hAnsi="Arial"/>
          <w:color w:val="0F1B2D"/>
          <w:sz w:val="22"/>
          <w:szCs w:val="22"/>
        </w:rPr>
        <w:t xml:space="preserve">SLA monitoring: Each registration has a configured Service Level Agreement (SLA) — the target time to approve or reject from submission (default 3 working days). Registrations approaching or breaching their SLA are highlighted in red and trigger a notification to the admissions supervisor.</w:t>
      </w:r>
    </w:p>
    <w:p>
      <w:pPr>
        <w:pStyle w:val="Heading2"/>
        <w:spacing w:before="280" w:after="90"/>
      </w:pPr>
      <w:r>
        <w:rPr>
          <w:rFonts w:ascii="Arial" w:cs="Arial" w:eastAsia="Arial" w:hAnsi="Arial"/>
          <w:b/>
          <w:bCs/>
          <w:color w:val="1157A8"/>
          <w:sz w:val="27"/>
          <w:szCs w:val="27"/>
        </w:rPr>
        <w:t xml:space="preserve">Automated Validation Checks</w:t>
      </w:r>
    </w:p>
    <w:p>
      <w:pPr>
        <w:pStyle w:val="ListParagraph"/>
        <w:numPr>
          <w:ilvl w:val="0"/>
          <w:numId w:val="2"/>
        </w:numPr>
        <w:spacing w:before="46" w:after="46"/>
      </w:pPr>
      <w:r>
        <w:rPr>
          <w:rFonts w:ascii="Arial" w:cs="Arial" w:eastAsia="Arial" w:hAnsi="Arial"/>
          <w:color w:val="0F1B2D"/>
          <w:sz w:val="22"/>
          <w:szCs w:val="22"/>
        </w:rPr>
        <w:t xml:space="preserve">Duplicate detection: The system checks new registrations against all existing student records for exact and fuzzy matches on: full name + date of birth, mobile number, email address, and any unique identifier (Aadhar number, student ID from prior institute). Potential duplicates are flagged for manual review before approval.</w:t>
      </w:r>
    </w:p>
    <w:p>
      <w:pPr>
        <w:pStyle w:val="ListParagraph"/>
        <w:numPr>
          <w:ilvl w:val="0"/>
          <w:numId w:val="2"/>
        </w:numPr>
        <w:spacing w:before="46" w:after="46"/>
      </w:pPr>
      <w:r>
        <w:rPr>
          <w:rFonts w:ascii="Arial" w:cs="Arial" w:eastAsia="Arial" w:hAnsi="Arial"/>
          <w:color w:val="0F1B2D"/>
          <w:sz w:val="22"/>
          <w:szCs w:val="22"/>
        </w:rPr>
        <w:t xml:space="preserve">Document completeness check: Validates that all mandatory documents have been uploaded (document requirements are configured per programme). Missing documents trigger an automatic 'Documents Pending' status and an email to the student requesting the missing items.</w:t>
      </w:r>
    </w:p>
    <w:p>
      <w:pPr>
        <w:pStyle w:val="ListParagraph"/>
        <w:numPr>
          <w:ilvl w:val="0"/>
          <w:numId w:val="2"/>
        </w:numPr>
        <w:spacing w:before="46" w:after="46"/>
      </w:pPr>
      <w:r>
        <w:rPr>
          <w:rFonts w:ascii="Arial" w:cs="Arial" w:eastAsia="Arial" w:hAnsi="Arial"/>
          <w:color w:val="0F1B2D"/>
          <w:sz w:val="22"/>
          <w:szCs w:val="22"/>
        </w:rPr>
        <w:t xml:space="preserve">Document format validation: Uploaded documents are checked for file type (PDF, JPG, PNG accepted), file size (max 10 MB per document), and readability (a basic OCR scan confirms the document contains readable text — blank or corrupt uploads are rejected).</w:t>
      </w:r>
    </w:p>
    <w:p>
      <w:pPr>
        <w:pStyle w:val="ListParagraph"/>
        <w:numPr>
          <w:ilvl w:val="0"/>
          <w:numId w:val="2"/>
        </w:numPr>
        <w:spacing w:before="46" w:after="46"/>
      </w:pPr>
      <w:r>
        <w:rPr>
          <w:rFonts w:ascii="Arial" w:cs="Arial" w:eastAsia="Arial" w:hAnsi="Arial"/>
          <w:color w:val="0F1B2D"/>
          <w:sz w:val="22"/>
          <w:szCs w:val="22"/>
        </w:rPr>
        <w:t xml:space="preserve">Eligibility pre-check: Validates submitted academic credentials (board marks, entrance score) against the programme's minimum eligibility criteria. Applicants who clearly do not meet the minimum criteria are auto-flagged as 'Eligibility Concern' — requiring explicit manual override to approve.</w:t>
      </w:r>
    </w:p>
    <w:p>
      <w:pPr>
        <w:pStyle w:val="ListParagraph"/>
        <w:numPr>
          <w:ilvl w:val="0"/>
          <w:numId w:val="2"/>
        </w:numPr>
        <w:spacing w:before="46" w:after="46"/>
      </w:pPr>
      <w:r>
        <w:rPr>
          <w:rFonts w:ascii="Arial" w:cs="Arial" w:eastAsia="Arial" w:hAnsi="Arial"/>
          <w:color w:val="0F1B2D"/>
          <w:sz w:val="22"/>
          <w:szCs w:val="22"/>
        </w:rPr>
        <w:t xml:space="preserve">Data format validation: Phone number format, email address format, PIN code validity, date of birth plausibility (age must be between 15 and 35), and name character validation (letters and spaces only, no special characters).</w:t>
      </w:r>
    </w:p>
    <w:p>
      <w:pPr>
        <w:pStyle w:val="ListParagraph"/>
        <w:numPr>
          <w:ilvl w:val="0"/>
          <w:numId w:val="2"/>
        </w:numPr>
        <w:spacing w:before="46" w:after="46"/>
      </w:pPr>
      <w:r>
        <w:rPr>
          <w:rFonts w:ascii="Arial" w:cs="Arial" w:eastAsia="Arial" w:hAnsi="Arial"/>
          <w:color w:val="0F1B2D"/>
          <w:sz w:val="22"/>
          <w:szCs w:val="22"/>
        </w:rPr>
        <w:t xml:space="preserve">Validation score: Each registration receives an overall automated validation score (0–100). Score thresholds for workflow routing: 85–100 = eligible for auto-approval (if institute has enabled auto-approval mode); 60–84 = route to manual review; below 60 = route to senior review with flags.</w:t>
      </w:r>
    </w:p>
    <w:p>
      <w:pPr>
        <w:pStyle w:val="Heading2"/>
        <w:spacing w:before="280" w:after="90"/>
      </w:pPr>
      <w:r>
        <w:rPr>
          <w:rFonts w:ascii="Arial" w:cs="Arial" w:eastAsia="Arial" w:hAnsi="Arial"/>
          <w:b/>
          <w:bCs/>
          <w:color w:val="1157A8"/>
          <w:sz w:val="27"/>
          <w:szCs w:val="27"/>
        </w:rPr>
        <w:t xml:space="preserve">Manual Review Interface</w:t>
      </w:r>
    </w:p>
    <w:p>
      <w:pPr>
        <w:pStyle w:val="ListParagraph"/>
        <w:numPr>
          <w:ilvl w:val="0"/>
          <w:numId w:val="2"/>
        </w:numPr>
        <w:spacing w:before="46" w:after="46"/>
      </w:pPr>
      <w:r>
        <w:rPr>
          <w:rFonts w:ascii="Arial" w:cs="Arial" w:eastAsia="Arial" w:hAnsi="Arial"/>
          <w:color w:val="0F1B2D"/>
          <w:sz w:val="22"/>
          <w:szCs w:val="22"/>
        </w:rPr>
        <w:t xml:space="preserve">Student profile preview: The review interface presents all submitted registration data in a structured, tabbed layout: Personal Information, Academic Credentials, Documents, Contact Details, and Programme Preference.</w:t>
      </w:r>
    </w:p>
    <w:p>
      <w:pPr>
        <w:pStyle w:val="ListParagraph"/>
        <w:numPr>
          <w:ilvl w:val="0"/>
          <w:numId w:val="2"/>
        </w:numPr>
        <w:spacing w:before="46" w:after="46"/>
      </w:pPr>
      <w:r>
        <w:rPr>
          <w:rFonts w:ascii="Arial" w:cs="Arial" w:eastAsia="Arial" w:hAnsi="Arial"/>
          <w:color w:val="0F1B2D"/>
          <w:sz w:val="22"/>
          <w:szCs w:val="22"/>
        </w:rPr>
        <w:t xml:space="preserve">Document viewer: Uploaded documents are displayed in an inline viewer — reviewers do not need to download files to review them. Documents can be zoomed and annotated with review notes.</w:t>
      </w:r>
    </w:p>
    <w:p>
      <w:pPr>
        <w:pStyle w:val="ListParagraph"/>
        <w:numPr>
          <w:ilvl w:val="0"/>
          <w:numId w:val="2"/>
        </w:numPr>
        <w:spacing w:before="46" w:after="46"/>
      </w:pPr>
      <w:r>
        <w:rPr>
          <w:rFonts w:ascii="Arial" w:cs="Arial" w:eastAsia="Arial" w:hAnsi="Arial"/>
          <w:color w:val="0F1B2D"/>
          <w:sz w:val="22"/>
          <w:szCs w:val="22"/>
        </w:rPr>
        <w:t xml:space="preserve">Automated flag display: All automated validation flags are prominently shown — each flag includes the flag type, the specific data that triggered it, and a recommended action.</w:t>
      </w:r>
    </w:p>
    <w:p>
      <w:pPr>
        <w:pStyle w:val="ListParagraph"/>
        <w:numPr>
          <w:ilvl w:val="0"/>
          <w:numId w:val="2"/>
        </w:numPr>
        <w:spacing w:before="46" w:after="46"/>
      </w:pPr>
      <w:r>
        <w:rPr>
          <w:rFonts w:ascii="Arial" w:cs="Arial" w:eastAsia="Arial" w:hAnsi="Arial"/>
          <w:color w:val="0F1B2D"/>
          <w:sz w:val="22"/>
          <w:szCs w:val="22"/>
        </w:rPr>
        <w:t xml:space="preserve">Cross-reference lookup: Reviewers can search the existing student database directly from the review interface — enabling quick manual duplicate checks beyond the automated search.</w:t>
      </w:r>
    </w:p>
    <w:p>
      <w:pPr>
        <w:pStyle w:val="ListParagraph"/>
        <w:numPr>
          <w:ilvl w:val="0"/>
          <w:numId w:val="2"/>
        </w:numPr>
        <w:spacing w:before="46" w:after="46"/>
      </w:pPr>
      <w:r>
        <w:rPr>
          <w:rFonts w:ascii="Arial" w:cs="Arial" w:eastAsia="Arial" w:hAnsi="Arial"/>
          <w:color w:val="0F1B2D"/>
          <w:sz w:val="22"/>
          <w:szCs w:val="22"/>
        </w:rPr>
        <w:t xml:space="preserve">Review notes: Reviewers can add structured internal notes to any registration — notes are visible to other reviewers and the admissions supervisor but never to the student.</w:t>
      </w:r>
    </w:p>
    <w:p>
      <w:pPr>
        <w:pStyle w:val="ListParagraph"/>
        <w:numPr>
          <w:ilvl w:val="0"/>
          <w:numId w:val="2"/>
        </w:numPr>
        <w:spacing w:before="46" w:after="46"/>
      </w:pPr>
      <w:r>
        <w:rPr>
          <w:rFonts w:ascii="Arial" w:cs="Arial" w:eastAsia="Arial" w:hAnsi="Arial"/>
          <w:color w:val="0F1B2D"/>
          <w:sz w:val="22"/>
          <w:szCs w:val="22"/>
        </w:rPr>
        <w:t xml:space="preserve">Approval decision panel: A clearly labelled panel with three primary actions: Approve (with optional comment), Reject (requires selecting a rejection reason from a configured list and writing a student-facing explanation), and Request Additional Information (sends a structured information request email to the student and pauses the SLA clock).</w:t>
      </w:r>
    </w:p>
    <w:p>
      <w:pPr>
        <w:pStyle w:val="Heading2"/>
        <w:spacing w:before="280" w:after="90"/>
      </w:pPr>
      <w:r>
        <w:rPr>
          <w:rFonts w:ascii="Arial" w:cs="Arial" w:eastAsia="Arial" w:hAnsi="Arial"/>
          <w:b/>
          <w:bCs/>
          <w:color w:val="1157A8"/>
          <w:sz w:val="27"/>
          <w:szCs w:val="27"/>
        </w:rPr>
        <w:t xml:space="preserve">Approval Workflow Modes</w:t>
      </w:r>
    </w:p>
    <w:p>
      <w:pPr>
        <w:pStyle w:val="ListParagraph"/>
        <w:numPr>
          <w:ilvl w:val="0"/>
          <w:numId w:val="2"/>
        </w:numPr>
        <w:spacing w:before="46" w:after="46"/>
      </w:pPr>
      <w:r>
        <w:rPr>
          <w:rFonts w:ascii="Arial" w:cs="Arial" w:eastAsia="Arial" w:hAnsi="Arial"/>
          <w:color w:val="0F1B2D"/>
          <w:sz w:val="22"/>
          <w:szCs w:val="22"/>
        </w:rPr>
        <w:t xml:space="preserve">Fully Automated Mode: Registrations with a validation score of 85+ and no flags are automatically approved without human review. An approval notification is sent to the student immediately. All auto-approved records are batched and sent to the admissions supervisor as a daily summary for spot-check auditing.</w:t>
      </w:r>
    </w:p>
    <w:p>
      <w:pPr>
        <w:pStyle w:val="ListParagraph"/>
        <w:numPr>
          <w:ilvl w:val="0"/>
          <w:numId w:val="2"/>
        </w:numPr>
        <w:spacing w:before="46" w:after="46"/>
      </w:pPr>
      <w:r>
        <w:rPr>
          <w:rFonts w:ascii="Arial" w:cs="Arial" w:eastAsia="Arial" w:hAnsi="Arial"/>
          <w:color w:val="0F1B2D"/>
          <w:sz w:val="22"/>
          <w:szCs w:val="22"/>
        </w:rPr>
        <w:t xml:space="preserve">Semi-Automated Mode: Registrations with a validation score of 85+ are auto-approved for non-flagged fields, but any registration with one or more flags is routed to a human reviewer. This mode balances efficiency with quality control.</w:t>
      </w:r>
    </w:p>
    <w:p>
      <w:pPr>
        <w:pStyle w:val="ListParagraph"/>
        <w:numPr>
          <w:ilvl w:val="0"/>
          <w:numId w:val="2"/>
        </w:numPr>
        <w:spacing w:before="46" w:after="46"/>
      </w:pPr>
      <w:r>
        <w:rPr>
          <w:rFonts w:ascii="Arial" w:cs="Arial" w:eastAsia="Arial" w:hAnsi="Arial"/>
          <w:color w:val="0F1B2D"/>
          <w:sz w:val="22"/>
          <w:szCs w:val="22"/>
        </w:rPr>
        <w:t xml:space="preserve">Fully Manual Mode: Every registration, regardless of validation score, is routed to a human reviewer. Appropriate for high-security environments or institutes with strict admissions controls. SLA enforcement ensures manual review does not create bottlenecks.</w:t>
      </w:r>
    </w:p>
    <w:p>
      <w:pPr>
        <w:pStyle w:val="ListParagraph"/>
        <w:numPr>
          <w:ilvl w:val="0"/>
          <w:numId w:val="2"/>
        </w:numPr>
        <w:spacing w:before="46" w:after="46"/>
      </w:pPr>
      <w:r>
        <w:rPr>
          <w:rFonts w:ascii="Arial" w:cs="Arial" w:eastAsia="Arial" w:hAnsi="Arial"/>
          <w:color w:val="0F1B2D"/>
          <w:sz w:val="22"/>
          <w:szCs w:val="22"/>
        </w:rPr>
        <w:t xml:space="preserve">Conditional Auto-Approval: A hybrid rule engine allows institutes to configure specific conditions for auto-approval — e.g., 'Auto-approve all BTech Computer Science registrations with validation score ≥ 80 and all mandatory documents submitted' while routing MBA registrations to manual review regardless of score.</w:t>
      </w:r>
    </w:p>
    <w:p>
      <w:pPr>
        <w:pStyle w:val="Heading2"/>
        <w:spacing w:before="280" w:after="90"/>
      </w:pPr>
      <w:r>
        <w:rPr>
          <w:rFonts w:ascii="Arial" w:cs="Arial" w:eastAsia="Arial" w:hAnsi="Arial"/>
          <w:b/>
          <w:bCs/>
          <w:color w:val="1157A8"/>
          <w:sz w:val="27"/>
          <w:szCs w:val="27"/>
        </w:rPr>
        <w:t xml:space="preserve">Post-Approval Actions</w:t>
      </w:r>
    </w:p>
    <w:p>
      <w:pPr>
        <w:pStyle w:val="ListParagraph"/>
        <w:numPr>
          <w:ilvl w:val="0"/>
          <w:numId w:val="2"/>
        </w:numPr>
        <w:spacing w:before="46" w:after="46"/>
      </w:pPr>
      <w:r>
        <w:rPr>
          <w:rFonts w:ascii="Arial" w:cs="Arial" w:eastAsia="Arial" w:hAnsi="Arial"/>
          <w:color w:val="0F1B2D"/>
          <w:sz w:val="22"/>
          <w:szCs w:val="22"/>
        </w:rPr>
        <w:t xml:space="preserve">System record creation: Upon approval, a formal student record is created in the database — the pending registration data is promoted to a live student profile with a system-generated Student ID.</w:t>
      </w:r>
    </w:p>
    <w:p>
      <w:pPr>
        <w:pStyle w:val="ListParagraph"/>
        <w:numPr>
          <w:ilvl w:val="0"/>
          <w:numId w:val="2"/>
        </w:numPr>
        <w:spacing w:before="46" w:after="46"/>
      </w:pPr>
      <w:r>
        <w:rPr>
          <w:rFonts w:ascii="Arial" w:cs="Arial" w:eastAsia="Arial" w:hAnsi="Arial"/>
          <w:color w:val="0F1B2D"/>
          <w:sz w:val="22"/>
          <w:szCs w:val="22"/>
        </w:rPr>
        <w:t xml:space="preserve">Approval notification: An automated welcome email is sent to the student containing their Student ID, temporary login credentials, next steps (admission form completion, fee payment link), and important dates.</w:t>
      </w:r>
    </w:p>
    <w:p>
      <w:pPr>
        <w:pStyle w:val="ListParagraph"/>
        <w:numPr>
          <w:ilvl w:val="0"/>
          <w:numId w:val="2"/>
        </w:numPr>
        <w:spacing w:before="46" w:after="46"/>
      </w:pPr>
      <w:r>
        <w:rPr>
          <w:rFonts w:ascii="Arial" w:cs="Arial" w:eastAsia="Arial" w:hAnsi="Arial"/>
          <w:color w:val="0F1B2D"/>
          <w:sz w:val="22"/>
          <w:szCs w:val="22"/>
        </w:rPr>
        <w:t xml:space="preserve">Rejection notification: Rejected students receive a formal rejection email with the stated reason and, where applicable, an option to appeal or resubmit with corrected information within a defined window.</w:t>
      </w:r>
    </w:p>
    <w:p>
      <w:pPr>
        <w:pStyle w:val="ListParagraph"/>
        <w:numPr>
          <w:ilvl w:val="0"/>
          <w:numId w:val="2"/>
        </w:numPr>
        <w:spacing w:before="46" w:after="46"/>
      </w:pPr>
      <w:r>
        <w:rPr>
          <w:rFonts w:ascii="Arial" w:cs="Arial" w:eastAsia="Arial" w:hAnsi="Arial"/>
          <w:color w:val="0F1B2D"/>
          <w:sz w:val="22"/>
          <w:szCs w:val="22"/>
        </w:rPr>
        <w:t xml:space="preserve">Admissions register update: The institute's admissions register is updated in real time — the approved student appears in all relevant administrative views immediately.</w:t>
      </w:r>
    </w:p>
    <w:p>
      <w:pPr>
        <w:pStyle w:val="ListParagraph"/>
        <w:numPr>
          <w:ilvl w:val="0"/>
          <w:numId w:val="2"/>
        </w:numPr>
        <w:spacing w:before="46" w:after="46"/>
      </w:pPr>
      <w:r>
        <w:rPr>
          <w:rFonts w:ascii="Arial" w:cs="Arial" w:eastAsia="Arial" w:hAnsi="Arial"/>
          <w:color w:val="0F1B2D"/>
          <w:sz w:val="22"/>
          <w:szCs w:val="22"/>
        </w:rPr>
        <w:t xml:space="preserve">Audit trail entry: Every approval or rejection is logged with: the acting staff member's name and role, the decision taken, the timestamp, the validation score at time of decision, and any reviewer notes — creating a permanent, tamper-evident record.</w:t>
      </w:r>
    </w:p>
    <w:p>
      <w:pPr>
        <w:pStyle w:val="Heading2"/>
        <w:spacing w:before="280" w:after="90"/>
      </w:pPr>
      <w:r>
        <w:rPr>
          <w:rFonts w:ascii="Arial" w:cs="Arial" w:eastAsia="Arial" w:hAnsi="Arial"/>
          <w:b/>
          <w:bCs/>
          <w:color w:val="1157A8"/>
          <w:sz w:val="27"/>
          <w:szCs w:val="27"/>
        </w:rPr>
        <w:t xml:space="preserve">Appeals &amp; Correction Workflow</w:t>
      </w:r>
    </w:p>
    <w:p>
      <w:pPr>
        <w:pStyle w:val="ListParagraph"/>
        <w:numPr>
          <w:ilvl w:val="0"/>
          <w:numId w:val="2"/>
        </w:numPr>
        <w:spacing w:before="46" w:after="46"/>
      </w:pPr>
      <w:r>
        <w:rPr>
          <w:rFonts w:ascii="Arial" w:cs="Arial" w:eastAsia="Arial" w:hAnsi="Arial"/>
          <w:color w:val="0F1B2D"/>
          <w:sz w:val="22"/>
          <w:szCs w:val="22"/>
        </w:rPr>
        <w:t xml:space="preserve">Rejection appeal: Rejected students can submit an appeal within a configurable window (default 7 days). Appeals arrive in a separate queue for senior admissions staff review. The original reviewer cannot handle their own rejection appeal.</w:t>
      </w:r>
    </w:p>
    <w:p>
      <w:pPr>
        <w:pStyle w:val="ListParagraph"/>
        <w:numPr>
          <w:ilvl w:val="0"/>
          <w:numId w:val="2"/>
        </w:numPr>
        <w:spacing w:before="46" w:after="46"/>
      </w:pPr>
      <w:r>
        <w:rPr>
          <w:rFonts w:ascii="Arial" w:cs="Arial" w:eastAsia="Arial" w:hAnsi="Arial"/>
          <w:color w:val="0F1B2D"/>
          <w:sz w:val="22"/>
          <w:szCs w:val="22"/>
        </w:rPr>
        <w:t xml:space="preserve">Data correction requests: Approved students who find errors in their registered data can submit a correction request — routed to admissions staff for verification and update. Corrections to high-sensitivity fields (name, date of birth, national ID) require supporting documentation.</w:t>
      </w:r>
    </w:p>
    <w:p>
      <w:pPr>
        <w:pStyle w:val="ListParagraph"/>
        <w:numPr>
          <w:ilvl w:val="0"/>
          <w:numId w:val="2"/>
        </w:numPr>
        <w:spacing w:before="46" w:after="46"/>
      </w:pPr>
      <w:r>
        <w:rPr>
          <w:rFonts w:ascii="Arial" w:cs="Arial" w:eastAsia="Arial" w:hAnsi="Arial"/>
          <w:color w:val="0F1B2D"/>
          <w:sz w:val="22"/>
          <w:szCs w:val="22"/>
        </w:rPr>
        <w:t xml:space="preserve">Reversal of approval: In cases of fraud discovered post-approval, administrators can reverse an approval — transitioning the student back to a suspended state pending investigation. This action requires supervisor-level authorisation and creates a priority audit log entry.</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C.2: Student Admission Workflow</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The Student Admission Workflow is the structured, multi-stage process that takes a student from an approved registration through the complete onboarding journey — collecting all required admission documents, processing fee payments, confirming programme allocation, issuing the formal admission letter, and setting up the student's complete academic record. It is the administrative backbone of the intake process and ensures that no student begins their academic programme without all prerequisite administrative and financial steps being completed and verified. The workflow is designed to be configurable for different programme types, modular enough to skip non-applicable steps for certain student categories, and trackable at every stage for both administrative oversight and student transparency.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C.2</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Multi-Stage Admission Onboarding Workflow Engine</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Admissions Officer, Finance Staff, Department Coordinator, Student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Stages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Document Collection → Fee Payment → Programme Confirmation → Admission Letter → Record Creation</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Critical — Establishes the Complete Student Academic Record</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The Admission Workflow is modelled as a configurable pipeline of stages — each stage has a defined set of tasks, responsible parties, required inputs, and output artefacts. When a student is approved (Feature C.1), they automatically enter Stage 1 of the admission workflow. The student sees a personalised Admission Progress Tracker on their portal — a step-by-step checklist showing what has been completed, what is pending, and what actions they need to take. Administrative staff see a corresponding Admission Management Dashboard showing all students at each stage, flagged items, and deadline status.</w:t>
      </w:r>
    </w:p>
    <w:p>
      <w:pPr>
        <w:pStyle w:val="Heading2"/>
        <w:spacing w:before="280" w:after="90"/>
      </w:pPr>
      <w:r>
        <w:rPr>
          <w:rFonts w:ascii="Arial" w:cs="Arial" w:eastAsia="Arial" w:hAnsi="Arial"/>
          <w:b/>
          <w:bCs/>
          <w:color w:val="1157A8"/>
          <w:sz w:val="27"/>
          <w:szCs w:val="27"/>
        </w:rPr>
        <w:t xml:space="preserve">Stage 1 — Admission Form Completion</w:t>
      </w:r>
    </w:p>
    <w:p>
      <w:pPr>
        <w:pStyle w:val="ListParagraph"/>
        <w:numPr>
          <w:ilvl w:val="0"/>
          <w:numId w:val="2"/>
        </w:numPr>
        <w:spacing w:before="46" w:after="46"/>
      </w:pPr>
      <w:r>
        <w:rPr>
          <w:rFonts w:ascii="Arial" w:cs="Arial" w:eastAsia="Arial" w:hAnsi="Arial"/>
          <w:color w:val="0F1B2D"/>
          <w:sz w:val="22"/>
          <w:szCs w:val="22"/>
        </w:rPr>
        <w:t xml:space="preserve">The student logs into the portal using temporary credentials from the approval notification and is immediately directed to the Admission Form.</w:t>
      </w:r>
    </w:p>
    <w:p>
      <w:pPr>
        <w:pStyle w:val="ListParagraph"/>
        <w:numPr>
          <w:ilvl w:val="0"/>
          <w:numId w:val="2"/>
        </w:numPr>
        <w:spacing w:before="46" w:after="46"/>
      </w:pPr>
      <w:r>
        <w:rPr>
          <w:rFonts w:ascii="Arial" w:cs="Arial" w:eastAsia="Arial" w:hAnsi="Arial"/>
          <w:color w:val="0F1B2D"/>
          <w:sz w:val="22"/>
          <w:szCs w:val="22"/>
        </w:rPr>
        <w:t xml:space="preserve">Admission Form sections: Personal details confirmation (pre-filled from registration, editable with change logging), family and guardian information, permanent and correspondence address, emergency contact details, bank account details (for scholarship disbursements and fee refunds), physical and health information (medical conditions relevant to accommodation or support needs), and declaration of disciplinary history at prior institutions.</w:t>
      </w:r>
    </w:p>
    <w:p>
      <w:pPr>
        <w:pStyle w:val="ListParagraph"/>
        <w:numPr>
          <w:ilvl w:val="0"/>
          <w:numId w:val="2"/>
        </w:numPr>
        <w:spacing w:before="46" w:after="46"/>
      </w:pPr>
      <w:r>
        <w:rPr>
          <w:rFonts w:ascii="Arial" w:cs="Arial" w:eastAsia="Arial" w:hAnsi="Arial"/>
          <w:color w:val="0F1B2D"/>
          <w:sz w:val="22"/>
          <w:szCs w:val="22"/>
        </w:rPr>
        <w:t xml:space="preserve">Conditional sections: Certain sections activate only for specific student categories — international students see visa and passport fields; scholarship applicants see additional financial background fields; hostel applicants see accommodation preference fields.</w:t>
      </w:r>
    </w:p>
    <w:p>
      <w:pPr>
        <w:pStyle w:val="ListParagraph"/>
        <w:numPr>
          <w:ilvl w:val="0"/>
          <w:numId w:val="2"/>
        </w:numPr>
        <w:spacing w:before="46" w:after="46"/>
      </w:pPr>
      <w:r>
        <w:rPr>
          <w:rFonts w:ascii="Arial" w:cs="Arial" w:eastAsia="Arial" w:hAnsi="Arial"/>
          <w:color w:val="0F1B2D"/>
          <w:sz w:val="22"/>
          <w:szCs w:val="22"/>
        </w:rPr>
        <w:t xml:space="preserve">Form completion SLA: Students are given a configurable window (default 5 working days) to complete the admission form. Daily reminders are sent if the form remains incomplete. After the deadline, the admission slot may be forfeited depending on institute policy.</w:t>
      </w:r>
    </w:p>
    <w:p>
      <w:pPr>
        <w:pStyle w:val="ListParagraph"/>
        <w:numPr>
          <w:ilvl w:val="0"/>
          <w:numId w:val="2"/>
        </w:numPr>
        <w:spacing w:before="46" w:after="46"/>
      </w:pPr>
      <w:r>
        <w:rPr>
          <w:rFonts w:ascii="Arial" w:cs="Arial" w:eastAsia="Arial" w:hAnsi="Arial"/>
          <w:color w:val="0F1B2D"/>
          <w:sz w:val="22"/>
          <w:szCs w:val="22"/>
        </w:rPr>
        <w:t xml:space="preserve">Auto-save: Form progress is saved automatically every 30 seconds — students can return to complete the form across multiple sessions without losing data.</w:t>
      </w:r>
    </w:p>
    <w:p>
      <w:pPr>
        <w:pStyle w:val="Heading2"/>
        <w:spacing w:before="280" w:after="90"/>
      </w:pPr>
      <w:r>
        <w:rPr>
          <w:rFonts w:ascii="Arial" w:cs="Arial" w:eastAsia="Arial" w:hAnsi="Arial"/>
          <w:b/>
          <w:bCs/>
          <w:color w:val="1157A8"/>
          <w:sz w:val="27"/>
          <w:szCs w:val="27"/>
        </w:rPr>
        <w:t xml:space="preserve">Stage 2 — Document Collection &amp; Verification</w:t>
      </w:r>
    </w:p>
    <w:p>
      <w:pPr>
        <w:pStyle w:val="ListParagraph"/>
        <w:numPr>
          <w:ilvl w:val="0"/>
          <w:numId w:val="2"/>
        </w:numPr>
        <w:spacing w:before="46" w:after="46"/>
      </w:pPr>
      <w:r>
        <w:rPr>
          <w:rFonts w:ascii="Arial" w:cs="Arial" w:eastAsia="Arial" w:hAnsi="Arial"/>
          <w:color w:val="0F1B2D"/>
          <w:sz w:val="22"/>
          <w:szCs w:val="22"/>
        </w:rPr>
        <w:t xml:space="preserve">Document checklist: A programme-specific document checklist is generated for each student — listing mandatory and optional documents with upload instructions, accepted formats, and file size limits.</w:t>
      </w:r>
    </w:p>
    <w:p>
      <w:pPr>
        <w:pStyle w:val="ListParagraph"/>
        <w:numPr>
          <w:ilvl w:val="0"/>
          <w:numId w:val="2"/>
        </w:numPr>
        <w:spacing w:before="46" w:after="46"/>
      </w:pPr>
      <w:r>
        <w:rPr>
          <w:rFonts w:ascii="Arial" w:cs="Arial" w:eastAsia="Arial" w:hAnsi="Arial"/>
          <w:color w:val="0F1B2D"/>
          <w:sz w:val="22"/>
          <w:szCs w:val="22"/>
        </w:rPr>
        <w:t xml:space="preserve">Common documents: Class X and XII mark sheets, graduation certificate (for postgraduate admissions), entrance exam scorecard, migration certificate, caste/category certificate (if applicable), income certificate (for fee concession), disability certificate (if applicable), passport-size photographs, and government-issued ID proof.</w:t>
      </w:r>
    </w:p>
    <w:p>
      <w:pPr>
        <w:pStyle w:val="ListParagraph"/>
        <w:numPr>
          <w:ilvl w:val="0"/>
          <w:numId w:val="2"/>
        </w:numPr>
        <w:spacing w:before="46" w:after="46"/>
      </w:pPr>
      <w:r>
        <w:rPr>
          <w:rFonts w:ascii="Arial" w:cs="Arial" w:eastAsia="Arial" w:hAnsi="Arial"/>
          <w:color w:val="0F1B2D"/>
          <w:sz w:val="22"/>
          <w:szCs w:val="22"/>
        </w:rPr>
        <w:t xml:space="preserve">Document upload portal: A structured upload interface with a dedicated slot for each required document. Each slot shows the document name, requirement status (Mandatory/Optional), and accepted formats. Uploaded documents are immediately scanned for completeness.</w:t>
      </w:r>
    </w:p>
    <w:p>
      <w:pPr>
        <w:pStyle w:val="ListParagraph"/>
        <w:numPr>
          <w:ilvl w:val="0"/>
          <w:numId w:val="2"/>
        </w:numPr>
        <w:spacing w:before="46" w:after="46"/>
      </w:pPr>
      <w:r>
        <w:rPr>
          <w:rFonts w:ascii="Arial" w:cs="Arial" w:eastAsia="Arial" w:hAnsi="Arial"/>
          <w:color w:val="0F1B2D"/>
          <w:sz w:val="22"/>
          <w:szCs w:val="22"/>
        </w:rPr>
        <w:t xml:space="preserve">Document verification workflow: Uploaded documents are routed to a verification queue for administrative staff. Verifiers check authenticity and accuracy — manual verification for critical academic documents, automated format and completeness checks for standard forms.</w:t>
      </w:r>
    </w:p>
    <w:p>
      <w:pPr>
        <w:pStyle w:val="ListParagraph"/>
        <w:numPr>
          <w:ilvl w:val="0"/>
          <w:numId w:val="2"/>
        </w:numPr>
        <w:spacing w:before="46" w:after="46"/>
      </w:pPr>
      <w:r>
        <w:rPr>
          <w:rFonts w:ascii="Arial" w:cs="Arial" w:eastAsia="Arial" w:hAnsi="Arial"/>
          <w:color w:val="0F1B2D"/>
          <w:sz w:val="22"/>
          <w:szCs w:val="22"/>
        </w:rPr>
        <w:t xml:space="preserve">Verification status tracking: Each document has an independent status: Pending Upload, Under Review, Verified, or Rejected (with reason). The student sees the aggregate status of all their documents in real time.</w:t>
      </w:r>
    </w:p>
    <w:p>
      <w:pPr>
        <w:pStyle w:val="ListParagraph"/>
        <w:numPr>
          <w:ilvl w:val="0"/>
          <w:numId w:val="2"/>
        </w:numPr>
        <w:spacing w:before="46" w:after="46"/>
      </w:pPr>
      <w:r>
        <w:rPr>
          <w:rFonts w:ascii="Arial" w:cs="Arial" w:eastAsia="Arial" w:hAnsi="Arial"/>
          <w:color w:val="0F1B2D"/>
          <w:sz w:val="22"/>
          <w:szCs w:val="22"/>
        </w:rPr>
        <w:t xml:space="preserve">Physical document submission flag: For institutes requiring original document submission, a 'Physical Submission Pending' flag can be set — the online workflow continues but the admission is not fully confirmed until the physical submission is recorded.</w:t>
      </w:r>
    </w:p>
    <w:p>
      <w:pPr>
        <w:pStyle w:val="Heading2"/>
        <w:spacing w:before="280" w:after="90"/>
      </w:pPr>
      <w:r>
        <w:rPr>
          <w:rFonts w:ascii="Arial" w:cs="Arial" w:eastAsia="Arial" w:hAnsi="Arial"/>
          <w:b/>
          <w:bCs/>
          <w:color w:val="1157A8"/>
          <w:sz w:val="27"/>
          <w:szCs w:val="27"/>
        </w:rPr>
        <w:t xml:space="preserve">Stage 3 — Fee Payment Processing</w:t>
      </w:r>
    </w:p>
    <w:p>
      <w:pPr>
        <w:pStyle w:val="ListParagraph"/>
        <w:numPr>
          <w:ilvl w:val="0"/>
          <w:numId w:val="2"/>
        </w:numPr>
        <w:spacing w:before="46" w:after="46"/>
      </w:pPr>
      <w:r>
        <w:rPr>
          <w:rFonts w:ascii="Arial" w:cs="Arial" w:eastAsia="Arial" w:hAnsi="Arial"/>
          <w:color w:val="0F1B2D"/>
          <w:sz w:val="22"/>
          <w:szCs w:val="22"/>
        </w:rPr>
        <w:t xml:space="preserve">Fee structure presentation: A detailed, itemised fee structure is displayed to the student — broken down by category: tuition fee, examination fee, library fee, laboratory fee, hostel fee (if applicable), student activity fee, and one-time admission fee.</w:t>
      </w:r>
    </w:p>
    <w:p>
      <w:pPr>
        <w:pStyle w:val="ListParagraph"/>
        <w:numPr>
          <w:ilvl w:val="0"/>
          <w:numId w:val="2"/>
        </w:numPr>
        <w:spacing w:before="46" w:after="46"/>
      </w:pPr>
      <w:r>
        <w:rPr>
          <w:rFonts w:ascii="Arial" w:cs="Arial" w:eastAsia="Arial" w:hAnsi="Arial"/>
          <w:color w:val="0F1B2D"/>
          <w:sz w:val="22"/>
          <w:szCs w:val="22"/>
        </w:rPr>
        <w:t xml:space="preserve">Scholarship and concession application: Students with approved scholarships or fee concessions see their concession amount deducted before payment. Pending concession applications are shown with a provisional amount and a deadline for concession confirmation.</w:t>
      </w:r>
    </w:p>
    <w:p>
      <w:pPr>
        <w:pStyle w:val="ListParagraph"/>
        <w:numPr>
          <w:ilvl w:val="0"/>
          <w:numId w:val="2"/>
        </w:numPr>
        <w:spacing w:before="46" w:after="46"/>
      </w:pPr>
      <w:r>
        <w:rPr>
          <w:rFonts w:ascii="Arial" w:cs="Arial" w:eastAsia="Arial" w:hAnsi="Arial"/>
          <w:color w:val="0F1B2D"/>
          <w:sz w:val="22"/>
          <w:szCs w:val="22"/>
        </w:rPr>
        <w:t xml:space="preserve">Payment gateway: Integration with multiple payment methods — UPI (all major apps), NEFT/RTGS (with bank challan generation for offline payment), credit and debit cards, net banking, and demand draft (with manual acknowledgement process).</w:t>
      </w:r>
    </w:p>
    <w:p>
      <w:pPr>
        <w:pStyle w:val="ListParagraph"/>
        <w:numPr>
          <w:ilvl w:val="0"/>
          <w:numId w:val="2"/>
        </w:numPr>
        <w:spacing w:before="46" w:after="46"/>
      </w:pPr>
      <w:r>
        <w:rPr>
          <w:rFonts w:ascii="Arial" w:cs="Arial" w:eastAsia="Arial" w:hAnsi="Arial"/>
          <w:color w:val="0F1B2D"/>
          <w:sz w:val="22"/>
          <w:szCs w:val="22"/>
        </w:rPr>
        <w:t xml:space="preserve">Instalment plans: Configurable instalment schedules for institutes that permit semester-wise or quarterly fee payment. Each instalment has a due date, late payment penalty rules, and a reminder schedule.</w:t>
      </w:r>
    </w:p>
    <w:p>
      <w:pPr>
        <w:pStyle w:val="ListParagraph"/>
        <w:numPr>
          <w:ilvl w:val="0"/>
          <w:numId w:val="2"/>
        </w:numPr>
        <w:spacing w:before="46" w:after="46"/>
      </w:pPr>
      <w:r>
        <w:rPr>
          <w:rFonts w:ascii="Arial" w:cs="Arial" w:eastAsia="Arial" w:hAnsi="Arial"/>
          <w:color w:val="0F1B2D"/>
          <w:sz w:val="22"/>
          <w:szCs w:val="22"/>
        </w:rPr>
        <w:t xml:space="preserve">Payment confirmation: Successful payments generate an instant digital receipt — a digitally signed PDF with a unique receipt number, payment breakdown, payment mode, transaction ID, and institute's official stamp.</w:t>
      </w:r>
    </w:p>
    <w:p>
      <w:pPr>
        <w:pStyle w:val="ListParagraph"/>
        <w:numPr>
          <w:ilvl w:val="0"/>
          <w:numId w:val="2"/>
        </w:numPr>
        <w:spacing w:before="46" w:after="46"/>
      </w:pPr>
      <w:r>
        <w:rPr>
          <w:rFonts w:ascii="Arial" w:cs="Arial" w:eastAsia="Arial" w:hAnsi="Arial"/>
          <w:color w:val="0F1B2D"/>
          <w:sz w:val="22"/>
          <w:szCs w:val="22"/>
        </w:rPr>
        <w:t xml:space="preserve">Fee defaulter management: Students who miss fee payment deadlines are automatically flagged as Fee Defaulters. Configurable actions triggered at configurable intervals: reminder notifications, hold on academic records, temporary portal access restriction.</w:t>
      </w:r>
    </w:p>
    <w:p>
      <w:pPr>
        <w:pStyle w:val="ListParagraph"/>
        <w:numPr>
          <w:ilvl w:val="0"/>
          <w:numId w:val="2"/>
        </w:numPr>
        <w:spacing w:before="46" w:after="46"/>
      </w:pPr>
      <w:r>
        <w:rPr>
          <w:rFonts w:ascii="Arial" w:cs="Arial" w:eastAsia="Arial" w:hAnsi="Arial"/>
          <w:color w:val="0F1B2D"/>
          <w:sz w:val="22"/>
          <w:szCs w:val="22"/>
        </w:rPr>
        <w:t xml:space="preserve">Finance dashboard integration: All fee transactions are posted in real time to the institute's Finance module — reconciliation between the Admission Workflow and the Finance system is automatic, eliminating manual data entry.</w:t>
      </w:r>
    </w:p>
    <w:p>
      <w:pPr>
        <w:pStyle w:val="Heading2"/>
        <w:spacing w:before="280" w:after="90"/>
      </w:pPr>
      <w:r>
        <w:rPr>
          <w:rFonts w:ascii="Arial" w:cs="Arial" w:eastAsia="Arial" w:hAnsi="Arial"/>
          <w:b/>
          <w:bCs/>
          <w:color w:val="1157A8"/>
          <w:sz w:val="27"/>
          <w:szCs w:val="27"/>
        </w:rPr>
        <w:t xml:space="preserve">Stage 4 — Programme &amp; Section Confirmation</w:t>
      </w:r>
    </w:p>
    <w:p>
      <w:pPr>
        <w:pStyle w:val="ListParagraph"/>
        <w:numPr>
          <w:ilvl w:val="0"/>
          <w:numId w:val="2"/>
        </w:numPr>
        <w:spacing w:before="46" w:after="46"/>
      </w:pPr>
      <w:r>
        <w:rPr>
          <w:rFonts w:ascii="Arial" w:cs="Arial" w:eastAsia="Arial" w:hAnsi="Arial"/>
          <w:color w:val="0F1B2D"/>
          <w:sz w:val="22"/>
          <w:szCs w:val="22"/>
        </w:rPr>
        <w:t xml:space="preserve">Programme allocation: Based on the student's approved registration and admission form, the system confirms their programme, specialisation (if applicable), academic year, and batch.</w:t>
      </w:r>
    </w:p>
    <w:p>
      <w:pPr>
        <w:pStyle w:val="ListParagraph"/>
        <w:numPr>
          <w:ilvl w:val="0"/>
          <w:numId w:val="2"/>
        </w:numPr>
        <w:spacing w:before="46" w:after="46"/>
      </w:pPr>
      <w:r>
        <w:rPr>
          <w:rFonts w:ascii="Arial" w:cs="Arial" w:eastAsia="Arial" w:hAnsi="Arial"/>
          <w:color w:val="0F1B2D"/>
          <w:sz w:val="22"/>
          <w:szCs w:val="22"/>
        </w:rPr>
        <w:t xml:space="preserve">Section assignment: If the Section Management module (Feature C.6) is configured, the student is automatically assigned to a section based on the configured algorithm (alphabetical, merit-based, or random). Manual override by the administrator is supported.</w:t>
      </w:r>
    </w:p>
    <w:p>
      <w:pPr>
        <w:pStyle w:val="ListParagraph"/>
        <w:numPr>
          <w:ilvl w:val="0"/>
          <w:numId w:val="2"/>
        </w:numPr>
        <w:spacing w:before="46" w:after="46"/>
      </w:pPr>
      <w:r>
        <w:rPr>
          <w:rFonts w:ascii="Arial" w:cs="Arial" w:eastAsia="Arial" w:hAnsi="Arial"/>
          <w:color w:val="0F1B2D"/>
          <w:sz w:val="22"/>
          <w:szCs w:val="22"/>
        </w:rPr>
        <w:t xml:space="preserve">Timetable preview: Once section assignment is confirmed, the student can preview their tentative timetable — giving them practical information about their class schedule before the programme begins.</w:t>
      </w:r>
    </w:p>
    <w:p>
      <w:pPr>
        <w:pStyle w:val="ListParagraph"/>
        <w:numPr>
          <w:ilvl w:val="0"/>
          <w:numId w:val="2"/>
        </w:numPr>
        <w:spacing w:before="46" w:after="46"/>
      </w:pPr>
      <w:r>
        <w:rPr>
          <w:rFonts w:ascii="Arial" w:cs="Arial" w:eastAsia="Arial" w:hAnsi="Arial"/>
          <w:color w:val="0F1B2D"/>
          <w:sz w:val="22"/>
          <w:szCs w:val="22"/>
        </w:rPr>
        <w:t xml:space="preserve">Programme change requests: Students who wish to change their allocated programme or specialisation can submit a formal change request — routed to the admissions committee for decision. Changes are subject to seat availability and academic eligibility.</w:t>
      </w:r>
    </w:p>
    <w:p>
      <w:pPr>
        <w:pStyle w:val="Heading2"/>
        <w:spacing w:before="280" w:after="90"/>
      </w:pPr>
      <w:r>
        <w:rPr>
          <w:rFonts w:ascii="Arial" w:cs="Arial" w:eastAsia="Arial" w:hAnsi="Arial"/>
          <w:b/>
          <w:bCs/>
          <w:color w:val="1157A8"/>
          <w:sz w:val="27"/>
          <w:szCs w:val="27"/>
        </w:rPr>
        <w:t xml:space="preserve">Stage 5 — Admission Letter Generation</w:t>
      </w:r>
    </w:p>
    <w:p>
      <w:pPr>
        <w:pStyle w:val="ListParagraph"/>
        <w:numPr>
          <w:ilvl w:val="0"/>
          <w:numId w:val="2"/>
        </w:numPr>
        <w:spacing w:before="46" w:after="46"/>
      </w:pPr>
      <w:r>
        <w:rPr>
          <w:rFonts w:ascii="Arial" w:cs="Arial" w:eastAsia="Arial" w:hAnsi="Arial"/>
          <w:color w:val="0F1B2D"/>
          <w:sz w:val="22"/>
          <w:szCs w:val="22"/>
        </w:rPr>
        <w:t xml:space="preserve">Automated generation: The formal Admission Letter is auto-generated as a digitally signed PDF once all prior stages are completed and verified.</w:t>
      </w:r>
    </w:p>
    <w:p>
      <w:pPr>
        <w:pStyle w:val="ListParagraph"/>
        <w:numPr>
          <w:ilvl w:val="0"/>
          <w:numId w:val="2"/>
        </w:numPr>
        <w:spacing w:before="46" w:after="46"/>
      </w:pPr>
      <w:r>
        <w:rPr>
          <w:rFonts w:ascii="Arial" w:cs="Arial" w:eastAsia="Arial" w:hAnsi="Arial"/>
          <w:color w:val="0F1B2D"/>
          <w:sz w:val="22"/>
          <w:szCs w:val="22"/>
        </w:rPr>
        <w:t xml:space="preserve">Admission Letter content: Student's full name and photograph, Student ID, programme name and duration, academic year of joining, assigned section, fee receipt acknowledgement, reporting date and venue, list of important contacts, and the institute's terms and conditions.</w:t>
      </w:r>
    </w:p>
    <w:p>
      <w:pPr>
        <w:pStyle w:val="ListParagraph"/>
        <w:numPr>
          <w:ilvl w:val="0"/>
          <w:numId w:val="2"/>
        </w:numPr>
        <w:spacing w:before="46" w:after="46"/>
      </w:pPr>
      <w:r>
        <w:rPr>
          <w:rFonts w:ascii="Arial" w:cs="Arial" w:eastAsia="Arial" w:hAnsi="Arial"/>
          <w:color w:val="0F1B2D"/>
          <w:sz w:val="22"/>
          <w:szCs w:val="22"/>
        </w:rPr>
        <w:t xml:space="preserve">Digital signature: The letter is digitally signed by the institute's Principal/Director using the administrator's digital signature certificate — ensuring authenticity.</w:t>
      </w:r>
    </w:p>
    <w:p>
      <w:pPr>
        <w:pStyle w:val="ListParagraph"/>
        <w:numPr>
          <w:ilvl w:val="0"/>
          <w:numId w:val="2"/>
        </w:numPr>
        <w:spacing w:before="46" w:after="46"/>
      </w:pPr>
      <w:r>
        <w:rPr>
          <w:rFonts w:ascii="Arial" w:cs="Arial" w:eastAsia="Arial" w:hAnsi="Arial"/>
          <w:color w:val="0F1B2D"/>
          <w:sz w:val="22"/>
          <w:szCs w:val="22"/>
        </w:rPr>
        <w:t xml:space="preserve">Distribution: The letter is emailed to the student's registered email, accessible for download from the student portal, and archived in the student's permanent document vault.</w:t>
      </w:r>
    </w:p>
    <w:p>
      <w:pPr>
        <w:pStyle w:val="ListParagraph"/>
        <w:numPr>
          <w:ilvl w:val="0"/>
          <w:numId w:val="2"/>
        </w:numPr>
        <w:spacing w:before="46" w:after="46"/>
      </w:pPr>
      <w:r>
        <w:rPr>
          <w:rFonts w:ascii="Arial" w:cs="Arial" w:eastAsia="Arial" w:hAnsi="Arial"/>
          <w:color w:val="0F1B2D"/>
          <w:sz w:val="22"/>
          <w:szCs w:val="22"/>
        </w:rPr>
        <w:t xml:space="preserve">Physical letter option: For institutes that issue physical admission letters, the system generates a print-ready version and adds the student to a physical dispatch queue with tracking.</w:t>
      </w:r>
    </w:p>
    <w:p>
      <w:pPr>
        <w:pStyle w:val="Heading2"/>
        <w:spacing w:before="280" w:after="90"/>
      </w:pPr>
      <w:r>
        <w:rPr>
          <w:rFonts w:ascii="Arial" w:cs="Arial" w:eastAsia="Arial" w:hAnsi="Arial"/>
          <w:b/>
          <w:bCs/>
          <w:color w:val="1157A8"/>
          <w:sz w:val="27"/>
          <w:szCs w:val="27"/>
        </w:rPr>
        <w:t xml:space="preserve">Stage 6 — Academic Record Initialisation</w:t>
      </w:r>
    </w:p>
    <w:p>
      <w:pPr>
        <w:pStyle w:val="ListParagraph"/>
        <w:numPr>
          <w:ilvl w:val="0"/>
          <w:numId w:val="2"/>
        </w:numPr>
        <w:spacing w:before="46" w:after="46"/>
      </w:pPr>
      <w:r>
        <w:rPr>
          <w:rFonts w:ascii="Arial" w:cs="Arial" w:eastAsia="Arial" w:hAnsi="Arial"/>
          <w:color w:val="0F1B2D"/>
          <w:sz w:val="22"/>
          <w:szCs w:val="22"/>
        </w:rPr>
        <w:t xml:space="preserve">Upon completion of all admission stages, the student's full academic record is initialised: course registrations for the current semester are created, an attendance register is set up, grade books are initialised, library access is provisioned, and all relevant module access on the platform is activated.</w:t>
      </w:r>
    </w:p>
    <w:p>
      <w:pPr>
        <w:pStyle w:val="ListParagraph"/>
        <w:numPr>
          <w:ilvl w:val="0"/>
          <w:numId w:val="2"/>
        </w:numPr>
        <w:spacing w:before="46" w:after="46"/>
      </w:pPr>
      <w:r>
        <w:rPr>
          <w:rFonts w:ascii="Arial" w:cs="Arial" w:eastAsia="Arial" w:hAnsi="Arial"/>
          <w:color w:val="0F1B2D"/>
          <w:sz w:val="22"/>
          <w:szCs w:val="22"/>
        </w:rPr>
        <w:t xml:space="preserve">Faculty notification: The assigned class teacher and department coordinator are automatically notified of the new student's admission — with a summary of the student's academic background and any special requirements noted in the admission form.</w:t>
      </w:r>
    </w:p>
    <w:p>
      <w:pPr>
        <w:pStyle w:val="ListParagraph"/>
        <w:numPr>
          <w:ilvl w:val="0"/>
          <w:numId w:val="2"/>
        </w:numPr>
        <w:spacing w:before="46" w:after="46"/>
      </w:pPr>
      <w:r>
        <w:rPr>
          <w:rFonts w:ascii="Arial" w:cs="Arial" w:eastAsia="Arial" w:hAnsi="Arial"/>
          <w:color w:val="0F1B2D"/>
          <w:sz w:val="22"/>
          <w:szCs w:val="22"/>
        </w:rPr>
        <w:t xml:space="preserve">Orientation programme registration: If the institute has configured an orientation programme, the student is automatically registered and receives orientation schedule details.</w:t>
      </w:r>
    </w:p>
    <w:p>
      <w:pPr>
        <w:pStyle w:val="ListParagraph"/>
        <w:numPr>
          <w:ilvl w:val="0"/>
          <w:numId w:val="2"/>
        </w:numPr>
        <w:spacing w:before="46" w:after="46"/>
      </w:pPr>
      <w:r>
        <w:rPr>
          <w:rFonts w:ascii="Arial" w:cs="Arial" w:eastAsia="Arial" w:hAnsi="Arial"/>
          <w:color w:val="0F1B2D"/>
          <w:sz w:val="22"/>
          <w:szCs w:val="22"/>
        </w:rPr>
        <w:t xml:space="preserve">Portal full access: The student's portal transitions from 'Admission In Progress' mode to full student access — all academic and administrative features become available.</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C.3: Student Enrollment Management</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Enrollment Management governs the ongoing academic enrollment status of every student throughout their time at the institute — covering the processes of course registration, semester enrollment, subject selection, enrollment verification, and the management of enrollment status changes (active, on leave, suspended, withdrawn). While Admission (Feature C.2) is a one-time onboarding process, Enrollment Management is a recurring, semester-by-semester administrative cycle that ensures every student's academic participation is formally recorded, their course load is within prescribed limits, and any deviations from standard enrollment are tracked and authorised.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C.3</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Recurring Semester Enrollment Cycle Management System</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Academic Coordinator, Department Head, Examination Office</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Frequency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Each Semester / Academic Year (per institute configuration)</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Critical — Controls Academic Participation &amp; Examination Eligibility</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Enrollment Management operates on a defined academic calendar — each semester has a configured enrollment window during which students must complete their course registration. The module manages the full enrollment lifecycle: pre-enrollment eligibility checks, course selection, fee clearance confirmation, enrollment confirmation, and enrollment record locking. Late enrollment, enrollment modifications, and enrollment cancellations are all handled through structured sub-workflows with appropriate approval gates.</w:t>
      </w:r>
    </w:p>
    <w:p>
      <w:pPr>
        <w:pStyle w:val="Heading2"/>
        <w:spacing w:before="280" w:after="90"/>
      </w:pPr>
      <w:r>
        <w:rPr>
          <w:rFonts w:ascii="Arial" w:cs="Arial" w:eastAsia="Arial" w:hAnsi="Arial"/>
          <w:b/>
          <w:bCs/>
          <w:color w:val="1157A8"/>
          <w:sz w:val="27"/>
          <w:szCs w:val="27"/>
        </w:rPr>
        <w:t xml:space="preserve">Enrollment Eligibility Checks</w:t>
      </w:r>
    </w:p>
    <w:p>
      <w:pPr>
        <w:pStyle w:val="ListParagraph"/>
        <w:numPr>
          <w:ilvl w:val="0"/>
          <w:numId w:val="2"/>
        </w:numPr>
        <w:spacing w:before="46" w:after="46"/>
      </w:pPr>
      <w:r>
        <w:rPr>
          <w:rFonts w:ascii="Arial" w:cs="Arial" w:eastAsia="Arial" w:hAnsi="Arial"/>
          <w:color w:val="0F1B2D"/>
          <w:sz w:val="22"/>
          <w:szCs w:val="22"/>
        </w:rPr>
        <w:t xml:space="preserve">Academic standing check: Students must have passed the minimum required credits/subjects from the previous semester to be eligible for enrollment in the next. Configurable rules per programme — e.g., 'Student must have cleared all Year 1 subjects before enrolling in Year 2'.</w:t>
      </w:r>
    </w:p>
    <w:p>
      <w:pPr>
        <w:pStyle w:val="ListParagraph"/>
        <w:numPr>
          <w:ilvl w:val="0"/>
          <w:numId w:val="2"/>
        </w:numPr>
        <w:spacing w:before="46" w:after="46"/>
      </w:pPr>
      <w:r>
        <w:rPr>
          <w:rFonts w:ascii="Arial" w:cs="Arial" w:eastAsia="Arial" w:hAnsi="Arial"/>
          <w:color w:val="0F1B2D"/>
          <w:sz w:val="22"/>
          <w:szCs w:val="22"/>
        </w:rPr>
        <w:t xml:space="preserve">Fee clearance check: Students with outstanding fee dues beyond a configurable threshold are blocked from enrollment until dues are cleared or a payment plan is formally approved by the finance office.</w:t>
      </w:r>
    </w:p>
    <w:p>
      <w:pPr>
        <w:pStyle w:val="ListParagraph"/>
        <w:numPr>
          <w:ilvl w:val="0"/>
          <w:numId w:val="2"/>
        </w:numPr>
        <w:spacing w:before="46" w:after="46"/>
      </w:pPr>
      <w:r>
        <w:rPr>
          <w:rFonts w:ascii="Arial" w:cs="Arial" w:eastAsia="Arial" w:hAnsi="Arial"/>
          <w:color w:val="0F1B2D"/>
          <w:sz w:val="22"/>
          <w:szCs w:val="22"/>
        </w:rPr>
        <w:t xml:space="preserve">Backlog limit check: Students with more than the configured maximum number of active backlogs (failed subjects pending re-examination) may be blocked from full enrollment or restricted to a reduced course load.</w:t>
      </w:r>
    </w:p>
    <w:p>
      <w:pPr>
        <w:pStyle w:val="ListParagraph"/>
        <w:numPr>
          <w:ilvl w:val="0"/>
          <w:numId w:val="2"/>
        </w:numPr>
        <w:spacing w:before="46" w:after="46"/>
      </w:pPr>
      <w:r>
        <w:rPr>
          <w:rFonts w:ascii="Arial" w:cs="Arial" w:eastAsia="Arial" w:hAnsi="Arial"/>
          <w:color w:val="0F1B2D"/>
          <w:sz w:val="22"/>
          <w:szCs w:val="22"/>
        </w:rPr>
        <w:t xml:space="preserve">Disciplinary hold check: Students with active disciplinary holds (Feature C.12) are flagged before enrollment — enrollment may be conditionally permitted pending disciplinary resolution, depending on the hold type.</w:t>
      </w:r>
    </w:p>
    <w:p>
      <w:pPr>
        <w:pStyle w:val="ListParagraph"/>
        <w:numPr>
          <w:ilvl w:val="0"/>
          <w:numId w:val="2"/>
        </w:numPr>
        <w:spacing w:before="46" w:after="46"/>
      </w:pPr>
      <w:r>
        <w:rPr>
          <w:rFonts w:ascii="Arial" w:cs="Arial" w:eastAsia="Arial" w:hAnsi="Arial"/>
          <w:color w:val="0F1B2D"/>
          <w:sz w:val="22"/>
          <w:szCs w:val="22"/>
        </w:rPr>
        <w:t xml:space="preserve">Document completeness check: Students with pending mandatory document submissions (from admission stage) are reminded and, if documents remain pending beyond the grace period, enrollment may be held.</w:t>
      </w:r>
    </w:p>
    <w:p>
      <w:pPr>
        <w:pStyle w:val="ListParagraph"/>
        <w:numPr>
          <w:ilvl w:val="0"/>
          <w:numId w:val="2"/>
        </w:numPr>
        <w:spacing w:before="46" w:after="46"/>
      </w:pPr>
      <w:r>
        <w:rPr>
          <w:rFonts w:ascii="Arial" w:cs="Arial" w:eastAsia="Arial" w:hAnsi="Arial"/>
          <w:color w:val="0F1B2D"/>
          <w:sz w:val="22"/>
          <w:szCs w:val="22"/>
        </w:rPr>
        <w:t xml:space="preserve">Eligibility report: Each student's enrollment eligibility is summarised in a pre-enrollment eligibility report — visible to both the student and their academic coordinator. Issues are clearly listed with the action required to resolve each.</w:t>
      </w:r>
    </w:p>
    <w:p>
      <w:pPr>
        <w:pStyle w:val="Heading2"/>
        <w:spacing w:before="280" w:after="90"/>
      </w:pPr>
      <w:r>
        <w:rPr>
          <w:rFonts w:ascii="Arial" w:cs="Arial" w:eastAsia="Arial" w:hAnsi="Arial"/>
          <w:b/>
          <w:bCs/>
          <w:color w:val="1157A8"/>
          <w:sz w:val="27"/>
          <w:szCs w:val="27"/>
        </w:rPr>
        <w:t xml:space="preserve">Course Registration Process</w:t>
      </w:r>
    </w:p>
    <w:p>
      <w:pPr>
        <w:pStyle w:val="ListParagraph"/>
        <w:numPr>
          <w:ilvl w:val="0"/>
          <w:numId w:val="2"/>
        </w:numPr>
        <w:spacing w:before="46" w:after="46"/>
      </w:pPr>
      <w:r>
        <w:rPr>
          <w:rFonts w:ascii="Arial" w:cs="Arial" w:eastAsia="Arial" w:hAnsi="Arial"/>
          <w:color w:val="0F1B2D"/>
          <w:sz w:val="22"/>
          <w:szCs w:val="22"/>
        </w:rPr>
        <w:t xml:space="preserve">Course catalogue display: During the enrollment window, eligible students see a personalised course catalogue — mandatory core subjects are pre-loaded, and elective slots show available options with seat counts, faculty names, timetable slots, and prerequisite information.</w:t>
      </w:r>
    </w:p>
    <w:p>
      <w:pPr>
        <w:pStyle w:val="ListParagraph"/>
        <w:numPr>
          <w:ilvl w:val="0"/>
          <w:numId w:val="2"/>
        </w:numPr>
        <w:spacing w:before="46" w:after="46"/>
      </w:pPr>
      <w:r>
        <w:rPr>
          <w:rFonts w:ascii="Arial" w:cs="Arial" w:eastAsia="Arial" w:hAnsi="Arial"/>
          <w:color w:val="0F1B2D"/>
          <w:sz w:val="22"/>
          <w:szCs w:val="22"/>
        </w:rPr>
        <w:t xml:space="preserve">Credit load management: The system enforces minimum and maximum credit load rules — students cannot register for fewer than the minimum credits required for full-time status, nor more than the maximum permitted load. Exceptions require academic coordinator approval.</w:t>
      </w:r>
    </w:p>
    <w:p>
      <w:pPr>
        <w:pStyle w:val="ListParagraph"/>
        <w:numPr>
          <w:ilvl w:val="0"/>
          <w:numId w:val="2"/>
        </w:numPr>
        <w:spacing w:before="46" w:after="46"/>
      </w:pPr>
      <w:r>
        <w:rPr>
          <w:rFonts w:ascii="Arial" w:cs="Arial" w:eastAsia="Arial" w:hAnsi="Arial"/>
          <w:color w:val="0F1B2D"/>
          <w:sz w:val="22"/>
          <w:szCs w:val="22"/>
        </w:rPr>
        <w:t xml:space="preserve">Elective selection: Students choose from available electives within their programme structure. Elective seats are allocated on a first-come-first-served basis within configured priority groups (seniors get first pick, then juniors; high-CGPA students get priority in oversubscribed electives — configurable).</w:t>
      </w:r>
    </w:p>
    <w:p>
      <w:pPr>
        <w:pStyle w:val="ListParagraph"/>
        <w:numPr>
          <w:ilvl w:val="0"/>
          <w:numId w:val="2"/>
        </w:numPr>
        <w:spacing w:before="46" w:after="46"/>
      </w:pPr>
      <w:r>
        <w:rPr>
          <w:rFonts w:ascii="Arial" w:cs="Arial" w:eastAsia="Arial" w:hAnsi="Arial"/>
          <w:color w:val="0F1B2D"/>
          <w:sz w:val="22"/>
          <w:szCs w:val="22"/>
        </w:rPr>
        <w:t xml:space="preserve">Conflict detection: The system automatically detects and blocks course registrations that create timetable conflicts — courses that share a time slot cannot be simultaneously registered.</w:t>
      </w:r>
    </w:p>
    <w:p>
      <w:pPr>
        <w:pStyle w:val="ListParagraph"/>
        <w:numPr>
          <w:ilvl w:val="0"/>
          <w:numId w:val="2"/>
        </w:numPr>
        <w:spacing w:before="46" w:after="46"/>
      </w:pPr>
      <w:r>
        <w:rPr>
          <w:rFonts w:ascii="Arial" w:cs="Arial" w:eastAsia="Arial" w:hAnsi="Arial"/>
          <w:color w:val="0F1B2D"/>
          <w:sz w:val="22"/>
          <w:szCs w:val="22"/>
        </w:rPr>
        <w:t xml:space="preserve">Pre-requisite enforcement: Courses with defined prerequisites check whether the student has passed (or is exempt from) the prerequisite subject before allowing registration.</w:t>
      </w:r>
    </w:p>
    <w:p>
      <w:pPr>
        <w:pStyle w:val="ListParagraph"/>
        <w:numPr>
          <w:ilvl w:val="0"/>
          <w:numId w:val="2"/>
        </w:numPr>
        <w:spacing w:before="46" w:after="46"/>
      </w:pPr>
      <w:r>
        <w:rPr>
          <w:rFonts w:ascii="Arial" w:cs="Arial" w:eastAsia="Arial" w:hAnsi="Arial"/>
          <w:color w:val="0F1B2D"/>
          <w:sz w:val="22"/>
          <w:szCs w:val="22"/>
        </w:rPr>
        <w:t xml:space="preserve">Registration cart: Students build a registration 'cart' — selecting and removing courses before final submission. The cart shows running total credits, timetable visualisation, and any validation warnings.</w:t>
      </w:r>
    </w:p>
    <w:p>
      <w:pPr>
        <w:pStyle w:val="ListParagraph"/>
        <w:numPr>
          <w:ilvl w:val="0"/>
          <w:numId w:val="2"/>
        </w:numPr>
        <w:spacing w:before="46" w:after="46"/>
      </w:pPr>
      <w:r>
        <w:rPr>
          <w:rFonts w:ascii="Arial" w:cs="Arial" w:eastAsia="Arial" w:hAnsi="Arial"/>
          <w:color w:val="0F1B2D"/>
          <w:sz w:val="22"/>
          <w:szCs w:val="22"/>
        </w:rPr>
        <w:t xml:space="preserve">Final submission and lock: Once the student submits their enrollment, the registration is locked. Changes within the add/drop window are permitted; changes after the add/drop deadline require formal approval.</w:t>
      </w:r>
    </w:p>
    <w:p>
      <w:pPr>
        <w:pStyle w:val="Heading2"/>
        <w:spacing w:before="280" w:after="90"/>
      </w:pPr>
      <w:r>
        <w:rPr>
          <w:rFonts w:ascii="Arial" w:cs="Arial" w:eastAsia="Arial" w:hAnsi="Arial"/>
          <w:b/>
          <w:bCs/>
          <w:color w:val="1157A8"/>
          <w:sz w:val="27"/>
          <w:szCs w:val="27"/>
        </w:rPr>
        <w:t xml:space="preserve">Enrollment Confirmation &amp; Communication</w:t>
      </w:r>
    </w:p>
    <w:p>
      <w:pPr>
        <w:pStyle w:val="ListParagraph"/>
        <w:numPr>
          <w:ilvl w:val="0"/>
          <w:numId w:val="2"/>
        </w:numPr>
        <w:spacing w:before="46" w:after="46"/>
      </w:pPr>
      <w:r>
        <w:rPr>
          <w:rFonts w:ascii="Arial" w:cs="Arial" w:eastAsia="Arial" w:hAnsi="Arial"/>
          <w:color w:val="0F1B2D"/>
          <w:sz w:val="22"/>
          <w:szCs w:val="22"/>
        </w:rPr>
        <w:t xml:space="preserve">Enrollment confirmation document: A digitally signed PDF enrollment confirmation is generated upon submission — listing all registered subjects, credits, timetable, faculty names, and the academic year/semester.</w:t>
      </w:r>
    </w:p>
    <w:p>
      <w:pPr>
        <w:pStyle w:val="ListParagraph"/>
        <w:numPr>
          <w:ilvl w:val="0"/>
          <w:numId w:val="2"/>
        </w:numPr>
        <w:spacing w:before="46" w:after="46"/>
      </w:pPr>
      <w:r>
        <w:rPr>
          <w:rFonts w:ascii="Arial" w:cs="Arial" w:eastAsia="Arial" w:hAnsi="Arial"/>
          <w:color w:val="0F1B2D"/>
          <w:sz w:val="22"/>
          <w:szCs w:val="22"/>
        </w:rPr>
        <w:t xml:space="preserve">ID card trigger: The enrollment confirmation triggers an ID card generation request in the Identity Management module — students who have completed enrollment receive their current-year ID card.</w:t>
      </w:r>
    </w:p>
    <w:p>
      <w:pPr>
        <w:pStyle w:val="ListParagraph"/>
        <w:numPr>
          <w:ilvl w:val="0"/>
          <w:numId w:val="2"/>
        </w:numPr>
        <w:spacing w:before="46" w:after="46"/>
      </w:pPr>
      <w:r>
        <w:rPr>
          <w:rFonts w:ascii="Arial" w:cs="Arial" w:eastAsia="Arial" w:hAnsi="Arial"/>
          <w:color w:val="0F1B2D"/>
          <w:sz w:val="22"/>
          <w:szCs w:val="22"/>
        </w:rPr>
        <w:t xml:space="preserve">Faculty notification: Subject faculty receive updated class rosters immediately upon each student's enrollment confirmation.</w:t>
      </w:r>
    </w:p>
    <w:p>
      <w:pPr>
        <w:pStyle w:val="ListParagraph"/>
        <w:numPr>
          <w:ilvl w:val="0"/>
          <w:numId w:val="2"/>
        </w:numPr>
        <w:spacing w:before="46" w:after="46"/>
      </w:pPr>
      <w:r>
        <w:rPr>
          <w:rFonts w:ascii="Arial" w:cs="Arial" w:eastAsia="Arial" w:hAnsi="Arial"/>
          <w:color w:val="0F1B2D"/>
          <w:sz w:val="22"/>
          <w:szCs w:val="22"/>
        </w:rPr>
        <w:t xml:space="preserve">SMS and email notification: Students receive a confirmation SMS and email with their enrollment summary — useful for students who may not have regular portal access.</w:t>
      </w:r>
    </w:p>
    <w:p>
      <w:pPr>
        <w:pStyle w:val="Heading2"/>
        <w:spacing w:before="280" w:after="90"/>
      </w:pPr>
      <w:r>
        <w:rPr>
          <w:rFonts w:ascii="Arial" w:cs="Arial" w:eastAsia="Arial" w:hAnsi="Arial"/>
          <w:b/>
          <w:bCs/>
          <w:color w:val="1157A8"/>
          <w:sz w:val="27"/>
          <w:szCs w:val="27"/>
        </w:rPr>
        <w:t xml:space="preserve">Enrollment Status Management</w:t>
      </w:r>
    </w:p>
    <w:p>
      <w:pPr>
        <w:pStyle w:val="ListParagraph"/>
        <w:numPr>
          <w:ilvl w:val="0"/>
          <w:numId w:val="2"/>
        </w:numPr>
        <w:spacing w:before="46" w:after="46"/>
      </w:pPr>
      <w:r>
        <w:rPr>
          <w:rFonts w:ascii="Arial" w:cs="Arial" w:eastAsia="Arial" w:hAnsi="Arial"/>
          <w:color w:val="0F1B2D"/>
          <w:sz w:val="22"/>
          <w:szCs w:val="22"/>
        </w:rPr>
        <w:t xml:space="preserve">Active: Standard status for a fully enrolled student with no flags or holds.</w:t>
      </w:r>
    </w:p>
    <w:p>
      <w:pPr>
        <w:pStyle w:val="ListParagraph"/>
        <w:numPr>
          <w:ilvl w:val="0"/>
          <w:numId w:val="2"/>
        </w:numPr>
        <w:spacing w:before="46" w:after="46"/>
      </w:pPr>
      <w:r>
        <w:rPr>
          <w:rFonts w:ascii="Arial" w:cs="Arial" w:eastAsia="Arial" w:hAnsi="Arial"/>
          <w:color w:val="0F1B2D"/>
          <w:sz w:val="22"/>
          <w:szCs w:val="22"/>
        </w:rPr>
        <w:t xml:space="preserve">Conditionally Enrolled: Student is enrolled but with a condition — e.g., 'Fee payment due by [date]', 'Backlog paper pending'. Conditionally enrolled students have access to all academic resources but are flagged in administrative views.</w:t>
      </w:r>
    </w:p>
    <w:p>
      <w:pPr>
        <w:pStyle w:val="ListParagraph"/>
        <w:numPr>
          <w:ilvl w:val="0"/>
          <w:numId w:val="2"/>
        </w:numPr>
        <w:spacing w:before="46" w:after="46"/>
      </w:pPr>
      <w:r>
        <w:rPr>
          <w:rFonts w:ascii="Arial" w:cs="Arial" w:eastAsia="Arial" w:hAnsi="Arial"/>
          <w:color w:val="0F1B2D"/>
          <w:sz w:val="22"/>
          <w:szCs w:val="22"/>
        </w:rPr>
        <w:t xml:space="preserve">Enrollment on Hold: Student has been blocked from completing enrollment due to an unresolved issue. They cannot access academic resources for the current semester until the hold is resolved.</w:t>
      </w:r>
    </w:p>
    <w:p>
      <w:pPr>
        <w:pStyle w:val="ListParagraph"/>
        <w:numPr>
          <w:ilvl w:val="0"/>
          <w:numId w:val="2"/>
        </w:numPr>
        <w:spacing w:before="46" w:after="46"/>
      </w:pPr>
      <w:r>
        <w:rPr>
          <w:rFonts w:ascii="Arial" w:cs="Arial" w:eastAsia="Arial" w:hAnsi="Arial"/>
          <w:color w:val="0F1B2D"/>
          <w:sz w:val="22"/>
          <w:szCs w:val="22"/>
        </w:rPr>
        <w:t xml:space="preserve">Withdrawn from Enrollment: Student has voluntarily withdrawn from the current semester (e.g., medical leave, family emergency). Their enrollment record for the semester is cancelled with a formal withdrawal record.</w:t>
      </w:r>
    </w:p>
    <w:p>
      <w:pPr>
        <w:pStyle w:val="ListParagraph"/>
        <w:numPr>
          <w:ilvl w:val="0"/>
          <w:numId w:val="2"/>
        </w:numPr>
        <w:spacing w:before="46" w:after="46"/>
      </w:pPr>
      <w:r>
        <w:rPr>
          <w:rFonts w:ascii="Arial" w:cs="Arial" w:eastAsia="Arial" w:hAnsi="Arial"/>
          <w:color w:val="0F1B2D"/>
          <w:sz w:val="22"/>
          <w:szCs w:val="22"/>
        </w:rPr>
        <w:t xml:space="preserve">Retroactive enrollment: Administrators can retroactively create enrollment records for students whose enrollment was not processed in the system at the time — with a mandatory reason field and supervisor approval.</w:t>
      </w:r>
    </w:p>
    <w:p>
      <w:pPr>
        <w:pStyle w:val="Heading2"/>
        <w:spacing w:before="280" w:after="90"/>
      </w:pPr>
      <w:r>
        <w:rPr>
          <w:rFonts w:ascii="Arial" w:cs="Arial" w:eastAsia="Arial" w:hAnsi="Arial"/>
          <w:b/>
          <w:bCs/>
          <w:color w:val="1157A8"/>
          <w:sz w:val="27"/>
          <w:szCs w:val="27"/>
        </w:rPr>
        <w:t xml:space="preserve">Add / Drop &amp; Enrollment Modification</w:t>
      </w:r>
    </w:p>
    <w:p>
      <w:pPr>
        <w:pStyle w:val="ListParagraph"/>
        <w:numPr>
          <w:ilvl w:val="0"/>
          <w:numId w:val="2"/>
        </w:numPr>
        <w:spacing w:before="46" w:after="46"/>
      </w:pPr>
      <w:r>
        <w:rPr>
          <w:rFonts w:ascii="Arial" w:cs="Arial" w:eastAsia="Arial" w:hAnsi="Arial"/>
          <w:color w:val="0F1B2D"/>
          <w:sz w:val="22"/>
          <w:szCs w:val="22"/>
        </w:rPr>
        <w:t xml:space="preserve">Add/Drop window: A configurable post-enrollment window (typically 1–2 weeks after semester start) during which students can add or drop courses without academic consequence.</w:t>
      </w:r>
    </w:p>
    <w:p>
      <w:pPr>
        <w:pStyle w:val="ListParagraph"/>
        <w:numPr>
          <w:ilvl w:val="0"/>
          <w:numId w:val="2"/>
        </w:numPr>
        <w:spacing w:before="46" w:after="46"/>
      </w:pPr>
      <w:r>
        <w:rPr>
          <w:rFonts w:ascii="Arial" w:cs="Arial" w:eastAsia="Arial" w:hAnsi="Arial"/>
          <w:color w:val="0F1B2D"/>
          <w:sz w:val="22"/>
          <w:szCs w:val="22"/>
        </w:rPr>
        <w:t xml:space="preserve">Add workflow: Adding a course during the add/drop window is subject to seat availability and timetable conflict checks. Course additions that push the student over the credit maximum require coordinator approval.</w:t>
      </w:r>
    </w:p>
    <w:p>
      <w:pPr>
        <w:pStyle w:val="ListParagraph"/>
        <w:numPr>
          <w:ilvl w:val="0"/>
          <w:numId w:val="2"/>
        </w:numPr>
        <w:spacing w:before="46" w:after="46"/>
      </w:pPr>
      <w:r>
        <w:rPr>
          <w:rFonts w:ascii="Arial" w:cs="Arial" w:eastAsia="Arial" w:hAnsi="Arial"/>
          <w:color w:val="0F1B2D"/>
          <w:sz w:val="22"/>
          <w:szCs w:val="22"/>
        </w:rPr>
        <w:t xml:space="preserve">Drop workflow: Dropping a course during the add/drop window removes it from the student's enrollment without academic penalty. Drops after the window require formal application and have defined academic consequences (e.g., 'W' grade on transcript).</w:t>
      </w:r>
    </w:p>
    <w:p>
      <w:pPr>
        <w:pStyle w:val="ListParagraph"/>
        <w:numPr>
          <w:ilvl w:val="0"/>
          <w:numId w:val="2"/>
        </w:numPr>
        <w:spacing w:before="46" w:after="46"/>
      </w:pPr>
      <w:r>
        <w:rPr>
          <w:rFonts w:ascii="Arial" w:cs="Arial" w:eastAsia="Arial" w:hAnsi="Arial"/>
          <w:color w:val="0F1B2D"/>
          <w:sz w:val="22"/>
          <w:szCs w:val="22"/>
        </w:rPr>
        <w:t xml:space="preserve">Enrollment change audit: All add/drop actions are logged with the timestamp, student ID, course added/dropped, the actor (student self-service or administrator), and the reason (if administrator-initiated).</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C.4: Bulk Student Import</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The Bulk Student Import feature enables institute administrators to onboard large cohorts of students simultaneously — uploading structured data files to create student records in bulk rather than registering each student individually. This feature is critical at the start of each academic year when hundreds or thousands of new students join, or when an institute migrates from a legacy student management system to EcoSkiller. Bulk import is engineered for reliability and data quality — it validates every row of the import file before committing any records, providing a detailed error report so administrators can correct issues before re-attempting, and ensuring that the database is never left in a partially-imported, inconsistent state.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C.4</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Large-Scale Data Import &amp; Validation Engine</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System Administrator, Admissions Officer, Data Migration Specialist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File Formats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Excel (.xlsx), CSV (.csv), predefined JSON (for API-based imports)</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High — Essential for Academic Year Start &amp; System Migration Scenarios</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Bulk Student Import operates through a four-phase pipeline: Template Download &amp; Preparation, File Upload &amp; Parsing, Validation &amp; Error Reporting, and Confirmed Import &amp; Record Creation. The pipeline is designed to be safe — no student records are created until the administrator explicitly confirms the import after reviewing the validation report. Large imports (10,000+ students) are processed asynchronously with real-time progress updates, allowing administrators to continue other work while the import runs.</w:t>
      </w:r>
    </w:p>
    <w:p>
      <w:pPr>
        <w:pStyle w:val="Heading2"/>
        <w:spacing w:before="280" w:after="90"/>
      </w:pPr>
      <w:r>
        <w:rPr>
          <w:rFonts w:ascii="Arial" w:cs="Arial" w:eastAsia="Arial" w:hAnsi="Arial"/>
          <w:b/>
          <w:bCs/>
          <w:color w:val="1157A8"/>
          <w:sz w:val="27"/>
          <w:szCs w:val="27"/>
        </w:rPr>
        <w:t xml:space="preserve">Phase 1 — Template Download &amp; Preparation</w:t>
      </w:r>
    </w:p>
    <w:p>
      <w:pPr>
        <w:pStyle w:val="ListParagraph"/>
        <w:numPr>
          <w:ilvl w:val="0"/>
          <w:numId w:val="2"/>
        </w:numPr>
        <w:spacing w:before="46" w:after="46"/>
      </w:pPr>
      <w:r>
        <w:rPr>
          <w:rFonts w:ascii="Arial" w:cs="Arial" w:eastAsia="Arial" w:hAnsi="Arial"/>
          <w:color w:val="0F1B2D"/>
          <w:sz w:val="22"/>
          <w:szCs w:val="22"/>
        </w:rPr>
        <w:t xml:space="preserve">Template generation: Administrators download a programme-specific import template — an Excel file with one sheet per data category (Personal Details, Academic Details, Contact Details, Guardian Details) with column headers, data type labels, example rows, and a reference sheet listing valid values for dropdown fields (programme codes, department codes, category codes, etc.).</w:t>
      </w:r>
    </w:p>
    <w:p>
      <w:pPr>
        <w:pStyle w:val="ListParagraph"/>
        <w:numPr>
          <w:ilvl w:val="0"/>
          <w:numId w:val="2"/>
        </w:numPr>
        <w:spacing w:before="46" w:after="46"/>
      </w:pPr>
      <w:r>
        <w:rPr>
          <w:rFonts w:ascii="Arial" w:cs="Arial" w:eastAsia="Arial" w:hAnsi="Arial"/>
          <w:color w:val="0F1B2D"/>
          <w:sz w:val="22"/>
          <w:szCs w:val="22"/>
        </w:rPr>
        <w:t xml:space="preserve">Template versioning: Import templates are versioned — the template includes a version code that the import parser checks. Using an outdated template triggers a warning and a prompt to download the current version.</w:t>
      </w:r>
    </w:p>
    <w:p>
      <w:pPr>
        <w:pStyle w:val="ListParagraph"/>
        <w:numPr>
          <w:ilvl w:val="0"/>
          <w:numId w:val="2"/>
        </w:numPr>
        <w:spacing w:before="46" w:after="46"/>
      </w:pPr>
      <w:r>
        <w:rPr>
          <w:rFonts w:ascii="Arial" w:cs="Arial" w:eastAsia="Arial" w:hAnsi="Arial"/>
          <w:color w:val="0F1B2D"/>
          <w:sz w:val="22"/>
          <w:szCs w:val="22"/>
        </w:rPr>
        <w:t xml:space="preserve">Partial import support: Templates support partial imports — administrators can populate only the fields they have available (e.g., basic personal details and programme allocation) and leave optional fields blank. Missing optional fields are flagged but do not block import.</w:t>
      </w:r>
    </w:p>
    <w:p>
      <w:pPr>
        <w:pStyle w:val="ListParagraph"/>
        <w:numPr>
          <w:ilvl w:val="0"/>
          <w:numId w:val="2"/>
        </w:numPr>
        <w:spacing w:before="46" w:after="46"/>
      </w:pPr>
      <w:r>
        <w:rPr>
          <w:rFonts w:ascii="Arial" w:cs="Arial" w:eastAsia="Arial" w:hAnsi="Arial"/>
          <w:color w:val="0F1B2D"/>
          <w:sz w:val="22"/>
          <w:szCs w:val="22"/>
        </w:rPr>
        <w:t xml:space="preserve">Template guidance documentation: A detailed import guide PDF is downloadable alongside the template — covering every column's requirements, common error causes, and data preparation tips.</w:t>
      </w:r>
    </w:p>
    <w:p>
      <w:pPr>
        <w:pStyle w:val="Heading2"/>
        <w:spacing w:before="280" w:after="90"/>
      </w:pPr>
      <w:r>
        <w:rPr>
          <w:rFonts w:ascii="Arial" w:cs="Arial" w:eastAsia="Arial" w:hAnsi="Arial"/>
          <w:b/>
          <w:bCs/>
          <w:color w:val="1157A8"/>
          <w:sz w:val="27"/>
          <w:szCs w:val="27"/>
        </w:rPr>
        <w:t xml:space="preserve">Phase 2 — File Upload &amp; Parsing</w:t>
      </w:r>
    </w:p>
    <w:p>
      <w:pPr>
        <w:pStyle w:val="ListParagraph"/>
        <w:numPr>
          <w:ilvl w:val="0"/>
          <w:numId w:val="2"/>
        </w:numPr>
        <w:spacing w:before="46" w:after="46"/>
      </w:pPr>
      <w:r>
        <w:rPr>
          <w:rFonts w:ascii="Arial" w:cs="Arial" w:eastAsia="Arial" w:hAnsi="Arial"/>
          <w:color w:val="0F1B2D"/>
          <w:sz w:val="22"/>
          <w:szCs w:val="22"/>
        </w:rPr>
        <w:t xml:space="preserve">Secure upload: File upload is handled over HTTPS with a file size limit of 50 MB. Files above this limit are rejected with guidance to split the import into multiple batches.</w:t>
      </w:r>
    </w:p>
    <w:p>
      <w:pPr>
        <w:pStyle w:val="ListParagraph"/>
        <w:numPr>
          <w:ilvl w:val="0"/>
          <w:numId w:val="2"/>
        </w:numPr>
        <w:spacing w:before="46" w:after="46"/>
      </w:pPr>
      <w:r>
        <w:rPr>
          <w:rFonts w:ascii="Arial" w:cs="Arial" w:eastAsia="Arial" w:hAnsi="Arial"/>
          <w:color w:val="0F1B2D"/>
          <w:sz w:val="22"/>
          <w:szCs w:val="22"/>
        </w:rPr>
        <w:t xml:space="preserve">Format validation: The parser first checks the file format (correct file extension, correct Excel structure or CSV delimiters), the template version code, and the presence of all required sheet tabs before reading any data.</w:t>
      </w:r>
    </w:p>
    <w:p>
      <w:pPr>
        <w:pStyle w:val="ListParagraph"/>
        <w:numPr>
          <w:ilvl w:val="0"/>
          <w:numId w:val="2"/>
        </w:numPr>
        <w:spacing w:before="46" w:after="46"/>
      </w:pPr>
      <w:r>
        <w:rPr>
          <w:rFonts w:ascii="Arial" w:cs="Arial" w:eastAsia="Arial" w:hAnsi="Arial"/>
          <w:color w:val="0F1B2D"/>
          <w:sz w:val="22"/>
          <w:szCs w:val="22"/>
        </w:rPr>
        <w:t xml:space="preserve">Encoding handling: CSV files are automatically detected for encoding (UTF-8, UTF-16, ISO-8859-1) — non-UTF-8 files are transcoded before parsing to prevent character corruption in Indian-language names.</w:t>
      </w:r>
    </w:p>
    <w:p>
      <w:pPr>
        <w:pStyle w:val="ListParagraph"/>
        <w:numPr>
          <w:ilvl w:val="0"/>
          <w:numId w:val="2"/>
        </w:numPr>
        <w:spacing w:before="46" w:after="46"/>
      </w:pPr>
      <w:r>
        <w:rPr>
          <w:rFonts w:ascii="Arial" w:cs="Arial" w:eastAsia="Arial" w:hAnsi="Arial"/>
          <w:color w:val="0F1B2D"/>
          <w:sz w:val="22"/>
          <w:szCs w:val="22"/>
        </w:rPr>
        <w:t xml:space="preserve">Large file processing: Files over 5,000 rows are processed asynchronously — the administrator is notified via email and in-app notification when parsing is complete. A real-time progress bar shows rows parsed / total rows during the async process.</w:t>
      </w:r>
    </w:p>
    <w:p>
      <w:pPr>
        <w:pStyle w:val="ListParagraph"/>
        <w:numPr>
          <w:ilvl w:val="0"/>
          <w:numId w:val="2"/>
        </w:numPr>
        <w:spacing w:before="46" w:after="46"/>
      </w:pPr>
      <w:r>
        <w:rPr>
          <w:rFonts w:ascii="Arial" w:cs="Arial" w:eastAsia="Arial" w:hAnsi="Arial"/>
          <w:color w:val="0F1B2D"/>
          <w:sz w:val="22"/>
          <w:szCs w:val="22"/>
        </w:rPr>
        <w:t xml:space="preserve">Parsing summary: After parsing, a summary is shown before validation begins: total rows found, rows with data in all mandatory fields, rows with at least one empty mandatory field, and rows that appear blank (skipped automatically).</w:t>
      </w:r>
    </w:p>
    <w:p>
      <w:pPr>
        <w:pStyle w:val="Heading2"/>
        <w:spacing w:before="280" w:after="90"/>
      </w:pPr>
      <w:r>
        <w:rPr>
          <w:rFonts w:ascii="Arial" w:cs="Arial" w:eastAsia="Arial" w:hAnsi="Arial"/>
          <w:b/>
          <w:bCs/>
          <w:color w:val="1157A8"/>
          <w:sz w:val="27"/>
          <w:szCs w:val="27"/>
        </w:rPr>
        <w:t xml:space="preserve">Phase 3 — Validation &amp; Error Reporting</w:t>
      </w:r>
    </w:p>
    <w:p>
      <w:pPr>
        <w:pStyle w:val="ListParagraph"/>
        <w:numPr>
          <w:ilvl w:val="0"/>
          <w:numId w:val="2"/>
        </w:numPr>
        <w:spacing w:before="46" w:after="46"/>
      </w:pPr>
      <w:r>
        <w:rPr>
          <w:rFonts w:ascii="Arial" w:cs="Arial" w:eastAsia="Arial" w:hAnsi="Arial"/>
          <w:color w:val="0F1B2D"/>
          <w:sz w:val="22"/>
          <w:szCs w:val="22"/>
        </w:rPr>
        <w:t xml:space="preserve">Row-level validation: Every row is validated against the full set of validation rules applied to individual registrations (Feature C.1) — duplicate detection, format checks, eligibility pre-checks, required field presence.</w:t>
      </w:r>
    </w:p>
    <w:p>
      <w:pPr>
        <w:pStyle w:val="ListParagraph"/>
        <w:numPr>
          <w:ilvl w:val="0"/>
          <w:numId w:val="2"/>
        </w:numPr>
        <w:spacing w:before="46" w:after="46"/>
      </w:pPr>
      <w:r>
        <w:rPr>
          <w:rFonts w:ascii="Arial" w:cs="Arial" w:eastAsia="Arial" w:hAnsi="Arial"/>
          <w:color w:val="0F1B2D"/>
          <w:sz w:val="22"/>
          <w:szCs w:val="22"/>
        </w:rPr>
        <w:t xml:space="preserve">Cross-row validation: The import file is checked for internal duplicates — rows within the same file that share a mobile number, email, or national ID with another row in the same file are flagged as intra-file duplicates.</w:t>
      </w:r>
    </w:p>
    <w:p>
      <w:pPr>
        <w:pStyle w:val="ListParagraph"/>
        <w:numPr>
          <w:ilvl w:val="0"/>
          <w:numId w:val="2"/>
        </w:numPr>
        <w:spacing w:before="46" w:after="46"/>
      </w:pPr>
      <w:r>
        <w:rPr>
          <w:rFonts w:ascii="Arial" w:cs="Arial" w:eastAsia="Arial" w:hAnsi="Arial"/>
          <w:color w:val="0F1B2D"/>
          <w:sz w:val="22"/>
          <w:szCs w:val="22"/>
        </w:rPr>
        <w:t xml:space="preserve">Cross-database validation: Each row is checked against the existing student database for duplicates — rows that match existing students are flagged as potential duplicates with the matching record's ID shown.</w:t>
      </w:r>
    </w:p>
    <w:p>
      <w:pPr>
        <w:pStyle w:val="ListParagraph"/>
        <w:numPr>
          <w:ilvl w:val="0"/>
          <w:numId w:val="2"/>
        </w:numPr>
        <w:spacing w:before="46" w:after="46"/>
      </w:pPr>
      <w:r>
        <w:rPr>
          <w:rFonts w:ascii="Arial" w:cs="Arial" w:eastAsia="Arial" w:hAnsi="Arial"/>
          <w:color w:val="0F1B2D"/>
          <w:sz w:val="22"/>
          <w:szCs w:val="22"/>
        </w:rPr>
        <w:t xml:space="preserve">Validation report: A detailed Excel validation report is generated — one row per import row, with a status column (Valid / Warning / Error) and error description columns for each type of issue found. The report is downloadable and mirrors the original template format, enabling administrators to open it, filter for errors, correct the data in place, and re-upload.</w:t>
      </w:r>
    </w:p>
    <w:p>
      <w:pPr>
        <w:pStyle w:val="ListParagraph"/>
        <w:numPr>
          <w:ilvl w:val="0"/>
          <w:numId w:val="2"/>
        </w:numPr>
        <w:spacing w:before="46" w:after="46"/>
      </w:pPr>
      <w:r>
        <w:rPr>
          <w:rFonts w:ascii="Arial" w:cs="Arial" w:eastAsia="Arial" w:hAnsi="Arial"/>
          <w:color w:val="0F1B2D"/>
          <w:sz w:val="22"/>
          <w:szCs w:val="22"/>
        </w:rPr>
        <w:t xml:space="preserve">Warning vs. Error classification: Errors block import of the affected row (e.g., missing mandatory field, invalid email format). Warnings allow import but flag the row for post-import review (e.g., age outside typical range, programme code not in standard list — possible new programme).</w:t>
      </w:r>
    </w:p>
    <w:p>
      <w:pPr>
        <w:pStyle w:val="ListParagraph"/>
        <w:numPr>
          <w:ilvl w:val="0"/>
          <w:numId w:val="2"/>
        </w:numPr>
        <w:spacing w:before="46" w:after="46"/>
      </w:pPr>
      <w:r>
        <w:rPr>
          <w:rFonts w:ascii="Arial" w:cs="Arial" w:eastAsia="Arial" w:hAnsi="Arial"/>
          <w:color w:val="0F1B2D"/>
          <w:sz w:val="22"/>
          <w:szCs w:val="22"/>
        </w:rPr>
        <w:t xml:space="preserve">Partial import option: Administrators can choose to import only the valid rows while downloading the error report to correct and re-import failed rows separately — enabling progress even when a subset of rows has issues.</w:t>
      </w:r>
    </w:p>
    <w:p>
      <w:pPr>
        <w:pStyle w:val="Heading2"/>
        <w:spacing w:before="280" w:after="90"/>
      </w:pPr>
      <w:r>
        <w:rPr>
          <w:rFonts w:ascii="Arial" w:cs="Arial" w:eastAsia="Arial" w:hAnsi="Arial"/>
          <w:b/>
          <w:bCs/>
          <w:color w:val="1157A8"/>
          <w:sz w:val="27"/>
          <w:szCs w:val="27"/>
        </w:rPr>
        <w:t xml:space="preserve">Phase 4 — Confirmed Import &amp; Record Creation</w:t>
      </w:r>
    </w:p>
    <w:p>
      <w:pPr>
        <w:pStyle w:val="ListParagraph"/>
        <w:numPr>
          <w:ilvl w:val="0"/>
          <w:numId w:val="2"/>
        </w:numPr>
        <w:spacing w:before="46" w:after="46"/>
      </w:pPr>
      <w:r>
        <w:rPr>
          <w:rFonts w:ascii="Arial" w:cs="Arial" w:eastAsia="Arial" w:hAnsi="Arial"/>
          <w:color w:val="0F1B2D"/>
          <w:sz w:val="22"/>
          <w:szCs w:val="22"/>
        </w:rPr>
        <w:t xml:space="preserve">Import preview: Before confirmation, the administrator sees a final summary: total rows to be imported, total rows skipped (errors), total rows imported with warnings, and a sample of 10 rows from the import for spot-check.</w:t>
      </w:r>
    </w:p>
    <w:p>
      <w:pPr>
        <w:pStyle w:val="ListParagraph"/>
        <w:numPr>
          <w:ilvl w:val="0"/>
          <w:numId w:val="2"/>
        </w:numPr>
        <w:spacing w:before="46" w:after="46"/>
      </w:pPr>
      <w:r>
        <w:rPr>
          <w:rFonts w:ascii="Arial" w:cs="Arial" w:eastAsia="Arial" w:hAnsi="Arial"/>
          <w:color w:val="0F1B2D"/>
          <w:sz w:val="22"/>
          <w:szCs w:val="22"/>
        </w:rPr>
        <w:t xml:space="preserve">Import confirmation: A two-step confirmation is required — the administrator checks a declaration ('I confirm that this import has been authorised and the data has been verified') and clicks a final confirmation button.</w:t>
      </w:r>
    </w:p>
    <w:p>
      <w:pPr>
        <w:pStyle w:val="ListParagraph"/>
        <w:numPr>
          <w:ilvl w:val="0"/>
          <w:numId w:val="2"/>
        </w:numPr>
        <w:spacing w:before="46" w:after="46"/>
      </w:pPr>
      <w:r>
        <w:rPr>
          <w:rFonts w:ascii="Arial" w:cs="Arial" w:eastAsia="Arial" w:hAnsi="Arial"/>
          <w:color w:val="0F1B2D"/>
          <w:sz w:val="22"/>
          <w:szCs w:val="22"/>
        </w:rPr>
        <w:t xml:space="preserve">Atomic import: Import is executed as a database transaction — either all confirmed rows are imported successfully, or none are (in case of a system error mid-import). This prevents partial imports that leave the database in an inconsistent state.</w:t>
      </w:r>
    </w:p>
    <w:p>
      <w:pPr>
        <w:pStyle w:val="ListParagraph"/>
        <w:numPr>
          <w:ilvl w:val="0"/>
          <w:numId w:val="2"/>
        </w:numPr>
        <w:spacing w:before="46" w:after="46"/>
      </w:pPr>
      <w:r>
        <w:rPr>
          <w:rFonts w:ascii="Arial" w:cs="Arial" w:eastAsia="Arial" w:hAnsi="Arial"/>
          <w:color w:val="0F1B2D"/>
          <w:sz w:val="22"/>
          <w:szCs w:val="22"/>
        </w:rPr>
        <w:t xml:space="preserve">Student record initialisation: Each imported student record is created with the status 'Imported — Admission Pending'. The records are visible in the system but do not yet have portal access — a separate activation step (automated or manual) triggers credential generation and welcome emails.</w:t>
      </w:r>
    </w:p>
    <w:p>
      <w:pPr>
        <w:pStyle w:val="ListParagraph"/>
        <w:numPr>
          <w:ilvl w:val="0"/>
          <w:numId w:val="2"/>
        </w:numPr>
        <w:spacing w:before="46" w:after="46"/>
      </w:pPr>
      <w:r>
        <w:rPr>
          <w:rFonts w:ascii="Arial" w:cs="Arial" w:eastAsia="Arial" w:hAnsi="Arial"/>
          <w:color w:val="0F1B2D"/>
          <w:sz w:val="22"/>
          <w:szCs w:val="22"/>
        </w:rPr>
        <w:t xml:space="preserve">Import log: A permanent import log entry is created — recording the administrator who ran the import, the timestamp, the file name, the number of records imported, the number skipped, and a link to the validation report for that import run.</w:t>
      </w:r>
    </w:p>
    <w:p>
      <w:pPr>
        <w:pStyle w:val="ListParagraph"/>
        <w:numPr>
          <w:ilvl w:val="0"/>
          <w:numId w:val="2"/>
        </w:numPr>
        <w:spacing w:before="46" w:after="46"/>
      </w:pPr>
      <w:r>
        <w:rPr>
          <w:rFonts w:ascii="Arial" w:cs="Arial" w:eastAsia="Arial" w:hAnsi="Arial"/>
          <w:color w:val="0F1B2D"/>
          <w:sz w:val="22"/>
          <w:szCs w:val="22"/>
        </w:rPr>
        <w:t xml:space="preserve">Post-import bulk actions: After import, administrators can apply bulk actions to the imported cohort: bulk-assign to sections, bulk-send welcome emails, bulk-set academic year and programme, and bulk-trigger admission workflow initiation.</w:t>
      </w:r>
    </w:p>
    <w:p>
      <w:pPr>
        <w:pStyle w:val="Heading2"/>
        <w:spacing w:before="280" w:after="90"/>
      </w:pPr>
      <w:r>
        <w:rPr>
          <w:rFonts w:ascii="Arial" w:cs="Arial" w:eastAsia="Arial" w:hAnsi="Arial"/>
          <w:b/>
          <w:bCs/>
          <w:color w:val="1157A8"/>
          <w:sz w:val="27"/>
          <w:szCs w:val="27"/>
        </w:rPr>
        <w:t xml:space="preserve">Import Templates &amp; Supported Scenarios</w:t>
      </w:r>
    </w:p>
    <w:p>
      <w:pPr>
        <w:pStyle w:val="ListParagraph"/>
        <w:numPr>
          <w:ilvl w:val="0"/>
          <w:numId w:val="2"/>
        </w:numPr>
        <w:spacing w:before="46" w:after="46"/>
      </w:pPr>
      <w:r>
        <w:rPr>
          <w:rFonts w:ascii="Arial" w:cs="Arial" w:eastAsia="Arial" w:hAnsi="Arial"/>
          <w:color w:val="0F1B2D"/>
          <w:sz w:val="22"/>
          <w:szCs w:val="22"/>
        </w:rPr>
        <w:t xml:space="preserve">New Student Intake Template: Standard template for new academic year admissions — includes all admission fields.</w:t>
      </w:r>
    </w:p>
    <w:p>
      <w:pPr>
        <w:pStyle w:val="ListParagraph"/>
        <w:numPr>
          <w:ilvl w:val="0"/>
          <w:numId w:val="2"/>
        </w:numPr>
        <w:spacing w:before="46" w:after="46"/>
      </w:pPr>
      <w:r>
        <w:rPr>
          <w:rFonts w:ascii="Arial" w:cs="Arial" w:eastAsia="Arial" w:hAnsi="Arial"/>
          <w:color w:val="0F1B2D"/>
          <w:sz w:val="22"/>
          <w:szCs w:val="22"/>
        </w:rPr>
        <w:t xml:space="preserve">Transfer Student Template: Includes additional fields for prior institute, programme completed, credit transfer details, and transfer approval reference.</w:t>
      </w:r>
    </w:p>
    <w:p>
      <w:pPr>
        <w:pStyle w:val="ListParagraph"/>
        <w:numPr>
          <w:ilvl w:val="0"/>
          <w:numId w:val="2"/>
        </w:numPr>
        <w:spacing w:before="46" w:after="46"/>
      </w:pPr>
      <w:r>
        <w:rPr>
          <w:rFonts w:ascii="Arial" w:cs="Arial" w:eastAsia="Arial" w:hAnsi="Arial"/>
          <w:color w:val="0F1B2D"/>
          <w:sz w:val="22"/>
          <w:szCs w:val="22"/>
        </w:rPr>
        <w:t xml:space="preserve">Legacy Migration Template: Extended template for migrating historical student data from a prior management system — includes fields for historical academic records, past fee payments, and prior disciplinary records.</w:t>
      </w:r>
    </w:p>
    <w:p>
      <w:pPr>
        <w:pStyle w:val="ListParagraph"/>
        <w:numPr>
          <w:ilvl w:val="0"/>
          <w:numId w:val="2"/>
        </w:numPr>
        <w:spacing w:before="46" w:after="46"/>
      </w:pPr>
      <w:r>
        <w:rPr>
          <w:rFonts w:ascii="Arial" w:cs="Arial" w:eastAsia="Arial" w:hAnsi="Arial"/>
          <w:color w:val="0F1B2D"/>
          <w:sz w:val="22"/>
          <w:szCs w:val="22"/>
        </w:rPr>
        <w:t xml:space="preserve">Minimal Import Template: A stripped-down template with only name, mobile, email, and programme — used for quick cohort creation when full data will be added later.</w:t>
      </w:r>
    </w:p>
    <w:p>
      <w:pPr>
        <w:pStyle w:val="ListParagraph"/>
        <w:numPr>
          <w:ilvl w:val="0"/>
          <w:numId w:val="2"/>
        </w:numPr>
        <w:spacing w:before="46" w:after="46"/>
      </w:pPr>
      <w:r>
        <w:rPr>
          <w:rFonts w:ascii="Arial" w:cs="Arial" w:eastAsia="Arial" w:hAnsi="Arial"/>
          <w:color w:val="0F1B2D"/>
          <w:sz w:val="22"/>
          <w:szCs w:val="22"/>
        </w:rPr>
        <w:t xml:space="preserve">API import: For institutes with existing data systems, a JSON-based API endpoint supports programmatic bulk import — enabling scheduled automated syncs from the institute's ERP or admission management system.</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C.5: Student Class Assignment</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Class Assignment is the process of allocating each enrolled student to a specific class — defined as a combination of programme, year, section, and academic period. It determines which students sit in which classrooms, attend which timetable slots, are taught by which faculty, and appear on which attendance registers. Class assignment must be completed before the academic term begins, as it is the foundational data dependency for timetable generation, attendance tracking, examination scheduling, and report card generation. The feature supports multiple assignment strategies — from fully automated algorithmic assignment to manual drag-and-drop assignment — and maintains a complete history of every assignment change made during the academic year.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C.5</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Class Allocation &amp; Assignment Management System</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Academic Coordinator, Department Head, System Administrator</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Assignment Strategies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Automated (rule-based), Manual, Semi-automated, Import-based</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High — Prerequisite for Timetable, Attendance &amp; Examination Modules</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Class Assignment operates at the intersection of the Student module and the Academic Structure module — it consumes student enrollment data (who is enrolled in which programme and year) and class/section capacity data (how many seats are in each class), and produces the definitive student-to-class mapping for the academic term. The assignment must balance multiple constraints simultaneously: section capacity limits, diversity criteria (if configured), special accommodation needs, sibling/friend request preferences (if the institute chooses to accommodate them), and any mandatory separations (for disciplinary reasons).</w:t>
      </w:r>
    </w:p>
    <w:p>
      <w:pPr>
        <w:pStyle w:val="Heading2"/>
        <w:spacing w:before="280" w:after="90"/>
      </w:pPr>
      <w:r>
        <w:rPr>
          <w:rFonts w:ascii="Arial" w:cs="Arial" w:eastAsia="Arial" w:hAnsi="Arial"/>
          <w:b/>
          <w:bCs/>
          <w:color w:val="1157A8"/>
          <w:sz w:val="27"/>
          <w:szCs w:val="27"/>
        </w:rPr>
        <w:t xml:space="preserve">Assignment Input Requirements</w:t>
      </w:r>
    </w:p>
    <w:p>
      <w:pPr>
        <w:pStyle w:val="ListParagraph"/>
        <w:numPr>
          <w:ilvl w:val="0"/>
          <w:numId w:val="2"/>
        </w:numPr>
        <w:spacing w:before="46" w:after="46"/>
      </w:pPr>
      <w:r>
        <w:rPr>
          <w:rFonts w:ascii="Arial" w:cs="Arial" w:eastAsia="Arial" w:hAnsi="Arial"/>
          <w:color w:val="0F1B2D"/>
          <w:sz w:val="22"/>
          <w:szCs w:val="22"/>
        </w:rPr>
        <w:t xml:space="preserve">Enrolled student list: All students with confirmed enrollment status for the current semester/year, filtered by programme and academic year.</w:t>
      </w:r>
    </w:p>
    <w:p>
      <w:pPr>
        <w:pStyle w:val="ListParagraph"/>
        <w:numPr>
          <w:ilvl w:val="0"/>
          <w:numId w:val="2"/>
        </w:numPr>
        <w:spacing w:before="46" w:after="46"/>
      </w:pPr>
      <w:r>
        <w:rPr>
          <w:rFonts w:ascii="Arial" w:cs="Arial" w:eastAsia="Arial" w:hAnsi="Arial"/>
          <w:color w:val="0F1B2D"/>
          <w:sz w:val="22"/>
          <w:szCs w:val="22"/>
        </w:rPr>
        <w:t xml:space="preserve">Class and section definitions: The available classes and sections (from the Section Management module, Feature C.6) with their configured capacities, assigned faculty, and room allocations.</w:t>
      </w:r>
    </w:p>
    <w:p>
      <w:pPr>
        <w:pStyle w:val="ListParagraph"/>
        <w:numPr>
          <w:ilvl w:val="0"/>
          <w:numId w:val="2"/>
        </w:numPr>
        <w:spacing w:before="46" w:after="46"/>
      </w:pPr>
      <w:r>
        <w:rPr>
          <w:rFonts w:ascii="Arial" w:cs="Arial" w:eastAsia="Arial" w:hAnsi="Arial"/>
          <w:color w:val="0F1B2D"/>
          <w:sz w:val="22"/>
          <w:szCs w:val="22"/>
        </w:rPr>
        <w:t xml:space="preserve">Assignment rules configuration: A set of configurable rules that govern the automated assignment algorithm — see Assignment Strategies below.</w:t>
      </w:r>
    </w:p>
    <w:p>
      <w:pPr>
        <w:pStyle w:val="ListParagraph"/>
        <w:numPr>
          <w:ilvl w:val="0"/>
          <w:numId w:val="2"/>
        </w:numPr>
        <w:spacing w:before="46" w:after="46"/>
      </w:pPr>
      <w:r>
        <w:rPr>
          <w:rFonts w:ascii="Arial" w:cs="Arial" w:eastAsia="Arial" w:hAnsi="Arial"/>
          <w:color w:val="0F1B2D"/>
          <w:sz w:val="22"/>
          <w:szCs w:val="22"/>
        </w:rPr>
        <w:t xml:space="preserve">Special requirements list: Students with documented special requirements that affect their class assignment — physical accessibility needs (must be assigned to a ground-floor section), medical requirements (must be in a smaller class), or administrative requirements (must not be in the same section as a specific other student).</w:t>
      </w:r>
    </w:p>
    <w:p>
      <w:pPr>
        <w:pStyle w:val="ListParagraph"/>
        <w:numPr>
          <w:ilvl w:val="0"/>
          <w:numId w:val="2"/>
        </w:numPr>
        <w:spacing w:before="46" w:after="46"/>
      </w:pPr>
      <w:r>
        <w:rPr>
          <w:rFonts w:ascii="Arial" w:cs="Arial" w:eastAsia="Arial" w:hAnsi="Arial"/>
          <w:color w:val="0F1B2D"/>
          <w:sz w:val="22"/>
          <w:szCs w:val="22"/>
        </w:rPr>
        <w:t xml:space="preserve">Priority groups: If assignment priority is configured (e.g., students with disabilities get first preference for preferred sections), these priority group definitions are loaded before the algorithm runs.</w:t>
      </w:r>
    </w:p>
    <w:p>
      <w:pPr>
        <w:pStyle w:val="Heading2"/>
        <w:spacing w:before="280" w:after="90"/>
      </w:pPr>
      <w:r>
        <w:rPr>
          <w:rFonts w:ascii="Arial" w:cs="Arial" w:eastAsia="Arial" w:hAnsi="Arial"/>
          <w:b/>
          <w:bCs/>
          <w:color w:val="1157A8"/>
          <w:sz w:val="27"/>
          <w:szCs w:val="27"/>
        </w:rPr>
        <w:t xml:space="preserve">Automated Assignment Strategies</w:t>
      </w:r>
    </w:p>
    <w:p>
      <w:pPr>
        <w:pStyle w:val="ListParagraph"/>
        <w:numPr>
          <w:ilvl w:val="0"/>
          <w:numId w:val="2"/>
        </w:numPr>
        <w:spacing w:before="46" w:after="46"/>
      </w:pPr>
      <w:r>
        <w:rPr>
          <w:rFonts w:ascii="Arial" w:cs="Arial" w:eastAsia="Arial" w:hAnsi="Arial"/>
          <w:color w:val="0F1B2D"/>
          <w:sz w:val="22"/>
          <w:szCs w:val="22"/>
        </w:rPr>
        <w:t xml:space="preserve">Alphabetical assignment: Students are sorted alphabetically by surname and distributed sequentially across sections in round-robin order — simple, transparent, and easy to explain.</w:t>
      </w:r>
    </w:p>
    <w:p>
      <w:pPr>
        <w:pStyle w:val="ListParagraph"/>
        <w:numPr>
          <w:ilvl w:val="0"/>
          <w:numId w:val="2"/>
        </w:numPr>
        <w:spacing w:before="46" w:after="46"/>
      </w:pPr>
      <w:r>
        <w:rPr>
          <w:rFonts w:ascii="Arial" w:cs="Arial" w:eastAsia="Arial" w:hAnsi="Arial"/>
          <w:color w:val="0F1B2D"/>
          <w:sz w:val="22"/>
          <w:szCs w:val="22"/>
        </w:rPr>
        <w:t xml:space="preserve">Random assignment: Students are randomly shuffled and then distributed across sections — maximises diversity and eliminates any systematic bias from alphabetical or merit-based sorting.</w:t>
      </w:r>
    </w:p>
    <w:p>
      <w:pPr>
        <w:pStyle w:val="ListParagraph"/>
        <w:numPr>
          <w:ilvl w:val="0"/>
          <w:numId w:val="2"/>
        </w:numPr>
        <w:spacing w:before="46" w:after="46"/>
      </w:pPr>
      <w:r>
        <w:rPr>
          <w:rFonts w:ascii="Arial" w:cs="Arial" w:eastAsia="Arial" w:hAnsi="Arial"/>
          <w:color w:val="0F1B2D"/>
          <w:sz w:val="22"/>
          <w:szCs w:val="22"/>
        </w:rPr>
        <w:t xml:space="preserve">Merit-based balanced assignment: Students are ranked by CGPA (or entrance score for new students) and distributed in a snake-draft pattern (Section A gets rank 1, B gets rank 2, C gets rank 3, then C gets rank 4, B gets rank 5, A gets rank 6) — ensuring each section has a comparable academic ability distribution.</w:t>
      </w:r>
    </w:p>
    <w:p>
      <w:pPr>
        <w:pStyle w:val="ListParagraph"/>
        <w:numPr>
          <w:ilvl w:val="0"/>
          <w:numId w:val="2"/>
        </w:numPr>
        <w:spacing w:before="46" w:after="46"/>
      </w:pPr>
      <w:r>
        <w:rPr>
          <w:rFonts w:ascii="Arial" w:cs="Arial" w:eastAsia="Arial" w:hAnsi="Arial"/>
          <w:color w:val="0F1B2D"/>
          <w:sz w:val="22"/>
          <w:szCs w:val="22"/>
        </w:rPr>
        <w:t xml:space="preserve">Diversity-maximised assignment: Students are assigned to maximise within-section diversity across a configured set of diversity dimensions — geographic diversity (district/state), gender balance, category balance. A constraint-satisfaction algorithm distributes students to meet as many diversity targets as possible.</w:t>
      </w:r>
    </w:p>
    <w:p>
      <w:pPr>
        <w:pStyle w:val="ListParagraph"/>
        <w:numPr>
          <w:ilvl w:val="0"/>
          <w:numId w:val="2"/>
        </w:numPr>
        <w:spacing w:before="46" w:after="46"/>
      </w:pPr>
      <w:r>
        <w:rPr>
          <w:rFonts w:ascii="Arial" w:cs="Arial" w:eastAsia="Arial" w:hAnsi="Arial"/>
          <w:color w:val="0F1B2D"/>
          <w:sz w:val="22"/>
          <w:szCs w:val="22"/>
        </w:rPr>
        <w:t xml:space="preserve">Custom rule engine: Administrators can write custom assignment rules using a simple rule builder: 'If student programme = MBA and specialisation = Finance, assign to Section F' — enabling precise manual rule definition that the algorithm executes automatically.</w:t>
      </w:r>
    </w:p>
    <w:p>
      <w:pPr>
        <w:pStyle w:val="Heading2"/>
        <w:spacing w:before="280" w:after="90"/>
      </w:pPr>
      <w:r>
        <w:rPr>
          <w:rFonts w:ascii="Arial" w:cs="Arial" w:eastAsia="Arial" w:hAnsi="Arial"/>
          <w:b/>
          <w:bCs/>
          <w:color w:val="1157A8"/>
          <w:sz w:val="27"/>
          <w:szCs w:val="27"/>
        </w:rPr>
        <w:t xml:space="preserve">Manual &amp; Semi-Automated Assignment</w:t>
      </w:r>
    </w:p>
    <w:p>
      <w:pPr>
        <w:pStyle w:val="ListParagraph"/>
        <w:numPr>
          <w:ilvl w:val="0"/>
          <w:numId w:val="2"/>
        </w:numPr>
        <w:spacing w:before="46" w:after="46"/>
      </w:pPr>
      <w:r>
        <w:rPr>
          <w:rFonts w:ascii="Arial" w:cs="Arial" w:eastAsia="Arial" w:hAnsi="Arial"/>
          <w:color w:val="0F1B2D"/>
          <w:sz w:val="22"/>
          <w:szCs w:val="22"/>
        </w:rPr>
        <w:t xml:space="preserve">Visual assignment interface: A drag-and-drop interface displays all unassigned students in a list panel and all sections as capacity-gauged target boxes. Administrators drag student cards into section boxes — the interface shows live capacity counts and warns before exceeding section limits.</w:t>
      </w:r>
    </w:p>
    <w:p>
      <w:pPr>
        <w:pStyle w:val="ListParagraph"/>
        <w:numPr>
          <w:ilvl w:val="0"/>
          <w:numId w:val="2"/>
        </w:numPr>
        <w:spacing w:before="46" w:after="46"/>
      </w:pPr>
      <w:r>
        <w:rPr>
          <w:rFonts w:ascii="Arial" w:cs="Arial" w:eastAsia="Arial" w:hAnsi="Arial"/>
          <w:color w:val="0F1B2D"/>
          <w:sz w:val="22"/>
          <w:szCs w:val="22"/>
        </w:rPr>
        <w:t xml:space="preserve">Search and filter: The unassigned student list supports search by name, and filter by any profile attribute (gender, category, specialisation, hometown state) — enabling targeted manual placement.</w:t>
      </w:r>
    </w:p>
    <w:p>
      <w:pPr>
        <w:pStyle w:val="ListParagraph"/>
        <w:numPr>
          <w:ilvl w:val="0"/>
          <w:numId w:val="2"/>
        </w:numPr>
        <w:spacing w:before="46" w:after="46"/>
      </w:pPr>
      <w:r>
        <w:rPr>
          <w:rFonts w:ascii="Arial" w:cs="Arial" w:eastAsia="Arial" w:hAnsi="Arial"/>
          <w:color w:val="0F1B2D"/>
          <w:sz w:val="22"/>
          <w:szCs w:val="22"/>
        </w:rPr>
        <w:t xml:space="preserve">Bulk manual assignment: Administrators can select multiple students (Ctrl+click, shift-click, or filter-then-select-all) and assign them to a section in one action.</w:t>
      </w:r>
    </w:p>
    <w:p>
      <w:pPr>
        <w:pStyle w:val="ListParagraph"/>
        <w:numPr>
          <w:ilvl w:val="0"/>
          <w:numId w:val="2"/>
        </w:numPr>
        <w:spacing w:before="46" w:after="46"/>
      </w:pPr>
      <w:r>
        <w:rPr>
          <w:rFonts w:ascii="Arial" w:cs="Arial" w:eastAsia="Arial" w:hAnsi="Arial"/>
          <w:color w:val="0F1B2D"/>
          <w:sz w:val="22"/>
          <w:szCs w:val="22"/>
        </w:rPr>
        <w:t xml:space="preserve">Semi-automated mode: The algorithm runs first, producing an initial assignment. The administrator reviews the result in the visual interface and manually adjusts specific students before finalising — combining algorithmic efficiency with administrative judgement.</w:t>
      </w:r>
    </w:p>
    <w:p>
      <w:pPr>
        <w:pStyle w:val="ListParagraph"/>
        <w:numPr>
          <w:ilvl w:val="0"/>
          <w:numId w:val="2"/>
        </w:numPr>
        <w:spacing w:before="46" w:after="46"/>
      </w:pPr>
      <w:r>
        <w:rPr>
          <w:rFonts w:ascii="Arial" w:cs="Arial" w:eastAsia="Arial" w:hAnsi="Arial"/>
          <w:color w:val="0F1B2D"/>
          <w:sz w:val="22"/>
          <w:szCs w:val="22"/>
        </w:rPr>
        <w:t xml:space="preserve">Assignment preview report: Before finalising, a preview report shows the proposed section composition — breakdown by gender, category, hometown state, and academic performance band per section — enabling quality assessment of the proposed assignment.</w:t>
      </w:r>
    </w:p>
    <w:p>
      <w:pPr>
        <w:pStyle w:val="Heading2"/>
        <w:spacing w:before="280" w:after="90"/>
      </w:pPr>
      <w:r>
        <w:rPr>
          <w:rFonts w:ascii="Arial" w:cs="Arial" w:eastAsia="Arial" w:hAnsi="Arial"/>
          <w:b/>
          <w:bCs/>
          <w:color w:val="1157A8"/>
          <w:sz w:val="27"/>
          <w:szCs w:val="27"/>
        </w:rPr>
        <w:t xml:space="preserve">Assignment Finalisation &amp; Communication</w:t>
      </w:r>
    </w:p>
    <w:p>
      <w:pPr>
        <w:pStyle w:val="ListParagraph"/>
        <w:numPr>
          <w:ilvl w:val="0"/>
          <w:numId w:val="2"/>
        </w:numPr>
        <w:spacing w:before="46" w:after="46"/>
      </w:pPr>
      <w:r>
        <w:rPr>
          <w:rFonts w:ascii="Arial" w:cs="Arial" w:eastAsia="Arial" w:hAnsi="Arial"/>
          <w:color w:val="0F1B2D"/>
          <w:sz w:val="22"/>
          <w:szCs w:val="22"/>
        </w:rPr>
        <w:t xml:space="preserve">Finalisation lock: Once the administrator confirms the assignment, it is locked for the academic term. Changes after finalisation require a formal transfer request (Feature C.7).</w:t>
      </w:r>
    </w:p>
    <w:p>
      <w:pPr>
        <w:pStyle w:val="ListParagraph"/>
        <w:numPr>
          <w:ilvl w:val="0"/>
          <w:numId w:val="2"/>
        </w:numPr>
        <w:spacing w:before="46" w:after="46"/>
      </w:pPr>
      <w:r>
        <w:rPr>
          <w:rFonts w:ascii="Arial" w:cs="Arial" w:eastAsia="Arial" w:hAnsi="Arial"/>
          <w:color w:val="0F1B2D"/>
          <w:sz w:val="22"/>
          <w:szCs w:val="22"/>
        </w:rPr>
        <w:t xml:space="preserve">Student notification: All students receive a notification of their class assignment — section name, room number, faculty name (class teacher), and timetable link.</w:t>
      </w:r>
    </w:p>
    <w:p>
      <w:pPr>
        <w:pStyle w:val="ListParagraph"/>
        <w:numPr>
          <w:ilvl w:val="0"/>
          <w:numId w:val="2"/>
        </w:numPr>
        <w:spacing w:before="46" w:after="46"/>
      </w:pPr>
      <w:r>
        <w:rPr>
          <w:rFonts w:ascii="Arial" w:cs="Arial" w:eastAsia="Arial" w:hAnsi="Arial"/>
          <w:color w:val="0F1B2D"/>
          <w:sz w:val="22"/>
          <w:szCs w:val="22"/>
        </w:rPr>
        <w:t xml:space="preserve">Faculty notification: Class teachers and subject faculty receive their complete class rosters for the term.</w:t>
      </w:r>
    </w:p>
    <w:p>
      <w:pPr>
        <w:pStyle w:val="ListParagraph"/>
        <w:numPr>
          <w:ilvl w:val="0"/>
          <w:numId w:val="2"/>
        </w:numPr>
        <w:spacing w:before="46" w:after="46"/>
      </w:pPr>
      <w:r>
        <w:rPr>
          <w:rFonts w:ascii="Arial" w:cs="Arial" w:eastAsia="Arial" w:hAnsi="Arial"/>
          <w:color w:val="0F1B2D"/>
          <w:sz w:val="22"/>
          <w:szCs w:val="22"/>
        </w:rPr>
        <w:t xml:space="preserve">Attendance register generation: The finalised class assignment automatically generates attendance registers for each section — ready for use from the first day of class.</w:t>
      </w:r>
    </w:p>
    <w:p>
      <w:pPr>
        <w:pStyle w:val="ListParagraph"/>
        <w:numPr>
          <w:ilvl w:val="0"/>
          <w:numId w:val="2"/>
        </w:numPr>
        <w:spacing w:before="46" w:after="46"/>
      </w:pPr>
      <w:r>
        <w:rPr>
          <w:rFonts w:ascii="Arial" w:cs="Arial" w:eastAsia="Arial" w:hAnsi="Arial"/>
          <w:color w:val="0F1B2D"/>
          <w:sz w:val="22"/>
          <w:szCs w:val="22"/>
        </w:rPr>
        <w:t xml:space="preserve">Timetable module sync: The class assignment data is pushed to the Timetable module — enabling timetable generation to be completed for the confirmed section structure.</w:t>
      </w:r>
    </w:p>
    <w:p>
      <w:pPr>
        <w:pStyle w:val="Heading2"/>
        <w:spacing w:before="280" w:after="90"/>
      </w:pPr>
      <w:r>
        <w:rPr>
          <w:rFonts w:ascii="Arial" w:cs="Arial" w:eastAsia="Arial" w:hAnsi="Arial"/>
          <w:b/>
          <w:bCs/>
          <w:color w:val="1157A8"/>
          <w:sz w:val="27"/>
          <w:szCs w:val="27"/>
        </w:rPr>
        <w:t xml:space="preserve">Assignment History &amp; Change Tracking</w:t>
      </w:r>
    </w:p>
    <w:p>
      <w:pPr>
        <w:pStyle w:val="ListParagraph"/>
        <w:numPr>
          <w:ilvl w:val="0"/>
          <w:numId w:val="2"/>
        </w:numPr>
        <w:spacing w:before="46" w:after="46"/>
      </w:pPr>
      <w:r>
        <w:rPr>
          <w:rFonts w:ascii="Arial" w:cs="Arial" w:eastAsia="Arial" w:hAnsi="Arial"/>
          <w:color w:val="0F1B2D"/>
          <w:sz w:val="22"/>
          <w:szCs w:val="22"/>
        </w:rPr>
        <w:t xml:space="preserve">Complete history: Every student's class assignment history is maintained permanently — showing every section they were assigned to, the academic period, who made the assignment, and any changes made during the term.</w:t>
      </w:r>
    </w:p>
    <w:p>
      <w:pPr>
        <w:pStyle w:val="ListParagraph"/>
        <w:numPr>
          <w:ilvl w:val="0"/>
          <w:numId w:val="2"/>
        </w:numPr>
        <w:spacing w:before="46" w:after="46"/>
      </w:pPr>
      <w:r>
        <w:rPr>
          <w:rFonts w:ascii="Arial" w:cs="Arial" w:eastAsia="Arial" w:hAnsi="Arial"/>
          <w:color w:val="0F1B2D"/>
          <w:sz w:val="22"/>
          <w:szCs w:val="22"/>
        </w:rPr>
        <w:t xml:space="preserve">Mid-year changes: Changes to class assignment after finalisation are recorded as Transfer events (Feature C.7) — maintaining the integrity of the historical record while allowing necessary mid-year flexibility.</w:t>
      </w:r>
    </w:p>
    <w:p>
      <w:pPr>
        <w:pStyle w:val="ListParagraph"/>
        <w:numPr>
          <w:ilvl w:val="0"/>
          <w:numId w:val="2"/>
        </w:numPr>
        <w:spacing w:before="46" w:after="46"/>
      </w:pPr>
      <w:r>
        <w:rPr>
          <w:rFonts w:ascii="Arial" w:cs="Arial" w:eastAsia="Arial" w:hAnsi="Arial"/>
          <w:color w:val="0F1B2D"/>
          <w:sz w:val="22"/>
          <w:szCs w:val="22"/>
        </w:rPr>
        <w:t xml:space="preserve">Year-on-year carryover analysis: The system can report on whether sections maintain their composition across years — useful for institutes that prefer to keep cohorts together across academic years.</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C.6: Section Management</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Section Management is the administrative module for creating, configuring, and maintaining the academic sections that form the building blocks of class organisation within the institute. A Section is a named subdivision of a programme-year cohort — typically denoted by letters (Section A, B, C) or names — with a defined student capacity, an assigned class teacher, a physical classroom, and a complete set of timetable slots. Section Management is the structural foundation upon which class assignment (Feature C.5), timetable generation, attendance tracking, and examination scheduling all depend. Without well-defined sections, none of the downstream academic administrative functions can operate.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C.6</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Academic Structure Configuration — Section Definition &amp;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System Administrator, Academic Coordinator, Department Head</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Dependencies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Required by: Class Assignment (C.5), Timetable, Attendance, Examinations</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High — Structural Prerequisite for All Academic Administrative Functions</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Sections are created within the academic hierarchy: Institute → Programme → Academic Year → Batch → Section. Each level of this hierarchy must be defined before sections can be created. The Section Management module provides the tools to define, populate, and maintain sections across their entire lifecycle — from creation at the start of the academic year through archival at year end. It also handles the creation of special section types such as remedial sections, advanced sections, mixed-programme sections (for shared elective courses), and virtual sections for distance-learning cohorts.</w:t>
      </w:r>
    </w:p>
    <w:p>
      <w:pPr>
        <w:pStyle w:val="Heading2"/>
        <w:spacing w:before="280" w:after="90"/>
      </w:pPr>
      <w:r>
        <w:rPr>
          <w:rFonts w:ascii="Arial" w:cs="Arial" w:eastAsia="Arial" w:hAnsi="Arial"/>
          <w:b/>
          <w:bCs/>
          <w:color w:val="1157A8"/>
          <w:sz w:val="27"/>
          <w:szCs w:val="27"/>
        </w:rPr>
        <w:t xml:space="preserve">Section Creation &amp; Configuration</w:t>
      </w:r>
    </w:p>
    <w:p>
      <w:pPr>
        <w:pStyle w:val="ListParagraph"/>
        <w:numPr>
          <w:ilvl w:val="0"/>
          <w:numId w:val="2"/>
        </w:numPr>
        <w:spacing w:before="46" w:after="46"/>
      </w:pPr>
      <w:r>
        <w:rPr>
          <w:rFonts w:ascii="Arial" w:cs="Arial" w:eastAsia="Arial" w:hAnsi="Arial"/>
          <w:color w:val="0F1B2D"/>
          <w:sz w:val="22"/>
          <w:szCs w:val="22"/>
        </w:rPr>
        <w:t xml:space="preserve">Section attributes: Each section is defined with: Section ID (auto-generated), Section Name/Code (e.g., 'A', 'B', or custom names), Programme and Year assignment, Academic Year and Semester scope, Student Capacity (maximum seats), Minimum Strength (minimum students for the section to be viable — sections below this threshold are flagged for merger), Assigned Classroom (from the infrastructure module), and Assigned Class Teacher.</w:t>
      </w:r>
    </w:p>
    <w:p>
      <w:pPr>
        <w:pStyle w:val="ListParagraph"/>
        <w:numPr>
          <w:ilvl w:val="0"/>
          <w:numId w:val="2"/>
        </w:numPr>
        <w:spacing w:before="46" w:after="46"/>
      </w:pPr>
      <w:r>
        <w:rPr>
          <w:rFonts w:ascii="Arial" w:cs="Arial" w:eastAsia="Arial" w:hAnsi="Arial"/>
          <w:color w:val="0F1B2D"/>
          <w:sz w:val="22"/>
          <w:szCs w:val="22"/>
        </w:rPr>
        <w:t xml:space="preserve">Section type classification: Regular (standard class section), Combined (students from multiple specialisations sharing a section for common subjects), Remedial (additional section for students requiring academic support), Honours/Advanced (section for high-performing students with an enhanced curriculum), and Virtual (for online/distance cohorts with no physical classroom assignment).</w:t>
      </w:r>
    </w:p>
    <w:p>
      <w:pPr>
        <w:pStyle w:val="ListParagraph"/>
        <w:numPr>
          <w:ilvl w:val="0"/>
          <w:numId w:val="2"/>
        </w:numPr>
        <w:spacing w:before="46" w:after="46"/>
      </w:pPr>
      <w:r>
        <w:rPr>
          <w:rFonts w:ascii="Arial" w:cs="Arial" w:eastAsia="Arial" w:hAnsi="Arial"/>
          <w:color w:val="0F1B2D"/>
          <w:sz w:val="22"/>
          <w:szCs w:val="22"/>
        </w:rPr>
        <w:t xml:space="preserve">Batch-level section set: Sections are typically created as a complete set for a batch — e.g., creating Sections A, B, and C for BTech CSE Year 2 all at once, with the system distributing the total batch capacity evenly across sections by default (manually adjustable).</w:t>
      </w:r>
    </w:p>
    <w:p>
      <w:pPr>
        <w:pStyle w:val="ListParagraph"/>
        <w:numPr>
          <w:ilvl w:val="0"/>
          <w:numId w:val="2"/>
        </w:numPr>
        <w:spacing w:before="46" w:after="46"/>
      </w:pPr>
      <w:r>
        <w:rPr>
          <w:rFonts w:ascii="Arial" w:cs="Arial" w:eastAsia="Arial" w:hAnsi="Arial"/>
          <w:color w:val="0F1B2D"/>
          <w:sz w:val="22"/>
          <w:szCs w:val="22"/>
        </w:rPr>
        <w:t xml:space="preserve">Elective-based section generation: For programmes with multiple specialisations or elective streams, the system can auto-generate sections based on elective enrolment counts — creating exactly as many sections as needed for each elective combination.</w:t>
      </w:r>
    </w:p>
    <w:p>
      <w:pPr>
        <w:pStyle w:val="ListParagraph"/>
        <w:numPr>
          <w:ilvl w:val="0"/>
          <w:numId w:val="2"/>
        </w:numPr>
        <w:spacing w:before="46" w:after="46"/>
      </w:pPr>
      <w:r>
        <w:rPr>
          <w:rFonts w:ascii="Arial" w:cs="Arial" w:eastAsia="Arial" w:hAnsi="Arial"/>
          <w:color w:val="0F1B2D"/>
          <w:sz w:val="22"/>
          <w:szCs w:val="22"/>
        </w:rPr>
        <w:t xml:space="preserve">Naming conventions: Institutes can configure section naming conventions — alphabetical (A, B, C), numeric (1, 2, 3), descriptive (Morning, Afternoon, Evening for time-based sections), or custom (themed names for creative programmes).</w:t>
      </w:r>
    </w:p>
    <w:p>
      <w:pPr>
        <w:pStyle w:val="Heading2"/>
        <w:spacing w:before="280" w:after="90"/>
      </w:pPr>
      <w:r>
        <w:rPr>
          <w:rFonts w:ascii="Arial" w:cs="Arial" w:eastAsia="Arial" w:hAnsi="Arial"/>
          <w:b/>
          <w:bCs/>
          <w:color w:val="1157A8"/>
          <w:sz w:val="27"/>
          <w:szCs w:val="27"/>
        </w:rPr>
        <w:t xml:space="preserve">Section Capacity Management</w:t>
      </w:r>
    </w:p>
    <w:p>
      <w:pPr>
        <w:pStyle w:val="ListParagraph"/>
        <w:numPr>
          <w:ilvl w:val="0"/>
          <w:numId w:val="2"/>
        </w:numPr>
        <w:spacing w:before="46" w:after="46"/>
      </w:pPr>
      <w:r>
        <w:rPr>
          <w:rFonts w:ascii="Arial" w:cs="Arial" w:eastAsia="Arial" w:hAnsi="Arial"/>
          <w:color w:val="0F1B2D"/>
          <w:sz w:val="22"/>
          <w:szCs w:val="22"/>
        </w:rPr>
        <w:t xml:space="preserve">Live capacity tracking: The section's current student count is shown in real time alongside its configured capacity — with a visual capacity bar (green when under 80%, amber at 80–95%, red above 95%).</w:t>
      </w:r>
    </w:p>
    <w:p>
      <w:pPr>
        <w:pStyle w:val="ListParagraph"/>
        <w:numPr>
          <w:ilvl w:val="0"/>
          <w:numId w:val="2"/>
        </w:numPr>
        <w:spacing w:before="46" w:after="46"/>
      </w:pPr>
      <w:r>
        <w:rPr>
          <w:rFonts w:ascii="Arial" w:cs="Arial" w:eastAsia="Arial" w:hAnsi="Arial"/>
          <w:color w:val="0F1B2D"/>
          <w:sz w:val="22"/>
          <w:szCs w:val="22"/>
        </w:rPr>
        <w:t xml:space="preserve">Capacity overflow handling: When a section reaches capacity, further assignments are blocked by default. Administrators can temporarily override capacity limits with a mandatory reason field — creating an over-capacity record that is flagged for review.</w:t>
      </w:r>
    </w:p>
    <w:p>
      <w:pPr>
        <w:pStyle w:val="ListParagraph"/>
        <w:numPr>
          <w:ilvl w:val="0"/>
          <w:numId w:val="2"/>
        </w:numPr>
        <w:spacing w:before="46" w:after="46"/>
      </w:pPr>
      <w:r>
        <w:rPr>
          <w:rFonts w:ascii="Arial" w:cs="Arial" w:eastAsia="Arial" w:hAnsi="Arial"/>
          <w:color w:val="0F1B2D"/>
          <w:sz w:val="22"/>
          <w:szCs w:val="22"/>
        </w:rPr>
        <w:t xml:space="preserve">Capacity rebalancing: When sections become imbalanced (one section significantly over-capacity while another is under-capacity), the system surfaces a rebalancing recommendation — listing suggested student transfers to bring sections to equal capacity.</w:t>
      </w:r>
    </w:p>
    <w:p>
      <w:pPr>
        <w:pStyle w:val="ListParagraph"/>
        <w:numPr>
          <w:ilvl w:val="0"/>
          <w:numId w:val="2"/>
        </w:numPr>
        <w:spacing w:before="46" w:after="46"/>
      </w:pPr>
      <w:r>
        <w:rPr>
          <w:rFonts w:ascii="Arial" w:cs="Arial" w:eastAsia="Arial" w:hAnsi="Arial"/>
          <w:color w:val="0F1B2D"/>
          <w:sz w:val="22"/>
          <w:szCs w:val="22"/>
        </w:rPr>
        <w:t xml:space="preserve">Waiting list: For popular sections (e.g., advanced sections with limited seats), a waiting list can be enabled — students who cannot be immediately assigned are queued and automatically offered a seat when one becomes available.</w:t>
      </w:r>
    </w:p>
    <w:p>
      <w:pPr>
        <w:pStyle w:val="ListParagraph"/>
        <w:numPr>
          <w:ilvl w:val="0"/>
          <w:numId w:val="2"/>
        </w:numPr>
        <w:spacing w:before="46" w:after="46"/>
      </w:pPr>
      <w:r>
        <w:rPr>
          <w:rFonts w:ascii="Arial" w:cs="Arial" w:eastAsia="Arial" w:hAnsi="Arial"/>
          <w:color w:val="0F1B2D"/>
          <w:sz w:val="22"/>
          <w:szCs w:val="22"/>
        </w:rPr>
        <w:t xml:space="preserve">Section merger and split: If a section falls below minimum strength (due to withdrawals or transfers), the system flags it for merger. Administrators can merge two sections or split an over-capacity section into two — with automatic propagation of the change to all downstream modules (attendance, timetable, gradebook).</w:t>
      </w:r>
    </w:p>
    <w:p>
      <w:pPr>
        <w:pStyle w:val="Heading2"/>
        <w:spacing w:before="280" w:after="90"/>
      </w:pPr>
      <w:r>
        <w:rPr>
          <w:rFonts w:ascii="Arial" w:cs="Arial" w:eastAsia="Arial" w:hAnsi="Arial"/>
          <w:b/>
          <w:bCs/>
          <w:color w:val="1157A8"/>
          <w:sz w:val="27"/>
          <w:szCs w:val="27"/>
        </w:rPr>
        <w:t xml:space="preserve">Class Teacher Assignment &amp; Faculty Mapping</w:t>
      </w:r>
    </w:p>
    <w:p>
      <w:pPr>
        <w:pStyle w:val="ListParagraph"/>
        <w:numPr>
          <w:ilvl w:val="0"/>
          <w:numId w:val="2"/>
        </w:numPr>
        <w:spacing w:before="46" w:after="46"/>
      </w:pPr>
      <w:r>
        <w:rPr>
          <w:rFonts w:ascii="Arial" w:cs="Arial" w:eastAsia="Arial" w:hAnsi="Arial"/>
          <w:color w:val="0F1B2D"/>
          <w:sz w:val="22"/>
          <w:szCs w:val="22"/>
        </w:rPr>
        <w:t xml:space="preserve">Class teacher designation: Each section has one primary Class Teacher (also called Form Teacher or Homeroom Teacher) — the faculty member responsible for overall pastoral care of the section. The class teacher is notified of all significant events for their section's students (disciplinary actions, significant attendance drops, medical issues).</w:t>
      </w:r>
    </w:p>
    <w:p>
      <w:pPr>
        <w:pStyle w:val="ListParagraph"/>
        <w:numPr>
          <w:ilvl w:val="0"/>
          <w:numId w:val="2"/>
        </w:numPr>
        <w:spacing w:before="46" w:after="46"/>
      </w:pPr>
      <w:r>
        <w:rPr>
          <w:rFonts w:ascii="Arial" w:cs="Arial" w:eastAsia="Arial" w:hAnsi="Arial"/>
          <w:color w:val="0F1B2D"/>
          <w:sz w:val="22"/>
          <w:szCs w:val="22"/>
        </w:rPr>
        <w:t xml:space="preserve">Faculty-subject-section mapping: The Section Management module maintains the mapping between sections, subjects, and faculty — which teacher teaches which subject to which section. This mapping drives timetable generation and gradebook assignment.</w:t>
      </w:r>
    </w:p>
    <w:p>
      <w:pPr>
        <w:pStyle w:val="ListParagraph"/>
        <w:numPr>
          <w:ilvl w:val="0"/>
          <w:numId w:val="2"/>
        </w:numPr>
        <w:spacing w:before="46" w:after="46"/>
      </w:pPr>
      <w:r>
        <w:rPr>
          <w:rFonts w:ascii="Arial" w:cs="Arial" w:eastAsia="Arial" w:hAnsi="Arial"/>
          <w:color w:val="0F1B2D"/>
          <w:sz w:val="22"/>
          <w:szCs w:val="22"/>
        </w:rPr>
        <w:t xml:space="preserve">Co-teacher support: For sections with co-teaching arrangements (two faculty jointly delivering a subject), both teachers can be mapped to the same subject-section combination.</w:t>
      </w:r>
    </w:p>
    <w:p>
      <w:pPr>
        <w:pStyle w:val="ListParagraph"/>
        <w:numPr>
          <w:ilvl w:val="0"/>
          <w:numId w:val="2"/>
        </w:numPr>
        <w:spacing w:before="46" w:after="46"/>
      </w:pPr>
      <w:r>
        <w:rPr>
          <w:rFonts w:ascii="Arial" w:cs="Arial" w:eastAsia="Arial" w:hAnsi="Arial"/>
          <w:color w:val="0F1B2D"/>
          <w:sz w:val="22"/>
          <w:szCs w:val="22"/>
        </w:rPr>
        <w:t xml:space="preserve">Teacher absence management: When a faculty member is marked absent, their sections' timetable slots are flagged as 'Unattended' and a substitute teacher assignment prompt is sent to the department head.</w:t>
      </w:r>
    </w:p>
    <w:p>
      <w:pPr>
        <w:pStyle w:val="Heading2"/>
        <w:spacing w:before="280" w:after="90"/>
      </w:pPr>
      <w:r>
        <w:rPr>
          <w:rFonts w:ascii="Arial" w:cs="Arial" w:eastAsia="Arial" w:hAnsi="Arial"/>
          <w:b/>
          <w:bCs/>
          <w:color w:val="1157A8"/>
          <w:sz w:val="27"/>
          <w:szCs w:val="27"/>
        </w:rPr>
        <w:t xml:space="preserve">Section Lifecycle Management</w:t>
      </w:r>
    </w:p>
    <w:p>
      <w:pPr>
        <w:pStyle w:val="ListParagraph"/>
        <w:numPr>
          <w:ilvl w:val="0"/>
          <w:numId w:val="2"/>
        </w:numPr>
        <w:spacing w:before="46" w:after="46"/>
      </w:pPr>
      <w:r>
        <w:rPr>
          <w:rFonts w:ascii="Arial" w:cs="Arial" w:eastAsia="Arial" w:hAnsi="Arial"/>
          <w:color w:val="0F1B2D"/>
          <w:sz w:val="22"/>
          <w:szCs w:val="22"/>
        </w:rPr>
        <w:t xml:space="preserve">Academic year transition: At the end of each academic year, sections are archived — their historical records (attendance, grades, disciplinary events) are preserved permanently, but the sections no longer appear in current-year views.</w:t>
      </w:r>
    </w:p>
    <w:p>
      <w:pPr>
        <w:pStyle w:val="ListParagraph"/>
        <w:numPr>
          <w:ilvl w:val="0"/>
          <w:numId w:val="2"/>
        </w:numPr>
        <w:spacing w:before="46" w:after="46"/>
      </w:pPr>
      <w:r>
        <w:rPr>
          <w:rFonts w:ascii="Arial" w:cs="Arial" w:eastAsia="Arial" w:hAnsi="Arial"/>
          <w:color w:val="0F1B2D"/>
          <w:sz w:val="22"/>
          <w:szCs w:val="22"/>
        </w:rPr>
        <w:t xml:space="preserve">Section continuation: For programmes where the same student cohort continues together into the next year (in the same sections), a 'Continue Section' option copies the section configuration and student list into the new academic year.</w:t>
      </w:r>
    </w:p>
    <w:p>
      <w:pPr>
        <w:pStyle w:val="ListParagraph"/>
        <w:numPr>
          <w:ilvl w:val="0"/>
          <w:numId w:val="2"/>
        </w:numPr>
        <w:spacing w:before="46" w:after="46"/>
      </w:pPr>
      <w:r>
        <w:rPr>
          <w:rFonts w:ascii="Arial" w:cs="Arial" w:eastAsia="Arial" w:hAnsi="Arial"/>
          <w:color w:val="0F1B2D"/>
          <w:sz w:val="22"/>
          <w:szCs w:val="22"/>
        </w:rPr>
        <w:t xml:space="preserve">Section dissolution: Sections that will not continue (due to programme changes, student count reduction, or structural changes) are formally dissolved — students in the dissolved section are redistributed to remaining sections through the Class Assignment module.</w:t>
      </w:r>
    </w:p>
    <w:p>
      <w:pPr>
        <w:pStyle w:val="ListParagraph"/>
        <w:numPr>
          <w:ilvl w:val="0"/>
          <w:numId w:val="2"/>
        </w:numPr>
        <w:spacing w:before="46" w:after="46"/>
      </w:pPr>
      <w:r>
        <w:rPr>
          <w:rFonts w:ascii="Arial" w:cs="Arial" w:eastAsia="Arial" w:hAnsi="Arial"/>
          <w:color w:val="0F1B2D"/>
          <w:sz w:val="22"/>
          <w:szCs w:val="22"/>
        </w:rPr>
        <w:t xml:space="preserve">Historical section view: Administrators can view archived sections from any past academic year — with complete data on the section's student list, faculty, attendance history, and examination results.</w:t>
      </w:r>
    </w:p>
    <w:p>
      <w:pPr>
        <w:pStyle w:val="Heading2"/>
        <w:spacing w:before="280" w:after="90"/>
      </w:pPr>
      <w:r>
        <w:rPr>
          <w:rFonts w:ascii="Arial" w:cs="Arial" w:eastAsia="Arial" w:hAnsi="Arial"/>
          <w:b/>
          <w:bCs/>
          <w:color w:val="1157A8"/>
          <w:sz w:val="27"/>
          <w:szCs w:val="27"/>
        </w:rPr>
        <w:t xml:space="preserve">Section Analytics &amp; Reporting</w:t>
      </w:r>
    </w:p>
    <w:p>
      <w:pPr>
        <w:pStyle w:val="ListParagraph"/>
        <w:numPr>
          <w:ilvl w:val="0"/>
          <w:numId w:val="2"/>
        </w:numPr>
        <w:spacing w:before="46" w:after="46"/>
      </w:pPr>
      <w:r>
        <w:rPr>
          <w:rFonts w:ascii="Arial" w:cs="Arial" w:eastAsia="Arial" w:hAnsi="Arial"/>
          <w:color w:val="0F1B2D"/>
          <w:sz w:val="22"/>
          <w:szCs w:val="22"/>
        </w:rPr>
        <w:t xml:space="preserve">Section performance dashboard: Each section has a performance dashboard showing: average CGPA, attendance rate, assessment score distribution, number of students on academic probation, and comparison with other sections in the same batch.</w:t>
      </w:r>
    </w:p>
    <w:p>
      <w:pPr>
        <w:pStyle w:val="ListParagraph"/>
        <w:numPr>
          <w:ilvl w:val="0"/>
          <w:numId w:val="2"/>
        </w:numPr>
        <w:spacing w:before="46" w:after="46"/>
      </w:pPr>
      <w:r>
        <w:rPr>
          <w:rFonts w:ascii="Arial" w:cs="Arial" w:eastAsia="Arial" w:hAnsi="Arial"/>
          <w:color w:val="0F1B2D"/>
          <w:sz w:val="22"/>
          <w:szCs w:val="22"/>
        </w:rPr>
        <w:t xml:space="preserve">Cross-section comparison report: A configurable report comparing all sections of the same programme-year on key academic indicators — enabling department heads to identify consistently underperforming sections that may need intervention.</w:t>
      </w:r>
    </w:p>
    <w:p>
      <w:pPr>
        <w:pStyle w:val="ListParagraph"/>
        <w:numPr>
          <w:ilvl w:val="0"/>
          <w:numId w:val="2"/>
        </w:numPr>
        <w:spacing w:before="46" w:after="46"/>
      </w:pPr>
      <w:r>
        <w:rPr>
          <w:rFonts w:ascii="Arial" w:cs="Arial" w:eastAsia="Arial" w:hAnsi="Arial"/>
          <w:color w:val="0F1B2D"/>
          <w:sz w:val="22"/>
          <w:szCs w:val="22"/>
        </w:rPr>
        <w:t xml:space="preserve">Faculty effectiveness signal: By comparing student performance across sections taught by different faculty for the same subject, the report provides (with appropriate sensitivity) a signal for faculty development conversations.</w:t>
      </w:r>
    </w:p>
    <w:p>
      <w:pPr>
        <w:pStyle w:val="ListParagraph"/>
        <w:numPr>
          <w:ilvl w:val="0"/>
          <w:numId w:val="2"/>
        </w:numPr>
        <w:spacing w:before="46" w:after="46"/>
      </w:pPr>
      <w:r>
        <w:rPr>
          <w:rFonts w:ascii="Arial" w:cs="Arial" w:eastAsia="Arial" w:hAnsi="Arial"/>
          <w:color w:val="0F1B2D"/>
          <w:sz w:val="22"/>
          <w:szCs w:val="22"/>
        </w:rPr>
        <w:t xml:space="preserve">Section composition analytics: Shows the demographic and academic composition of each section — gender ratio, category distribution, geographic diversity, and academic performance spread — useful for validating assignment quality.</w:t>
      </w:r>
    </w:p>
    <w:p>
      <w:pPr>
        <w:pBdr>
          <w:bottom w:val="single" w:color="0B2B4E" w:sz="6" w:space="1"/>
        </w:pBdr>
        <w:spacing w:before="200" w:after="200"/>
      </w:pPr>
    </w:p>
    <w:p>
      <w:pPr>
        <w:pageBreakBefore/>
      </w:pPr>
    </w:p>
    <w:p>
      <w:pPr>
        <w:spacing w:before="300" w:after="0"/>
        <w:jc w:val="center"/>
      </w:pPr>
      <w:r>
        <w:rPr>
          <w:rFonts w:ascii="Arial" w:cs="Arial" w:eastAsia="Arial" w:hAnsi="Arial"/>
          <w:i/>
          <w:iCs/>
          <w:color w:val="5E7080"/>
          <w:sz w:val="22"/>
          <w:szCs w:val="22"/>
        </w:rPr>
        <w:t xml:space="preserve">— Continued in Part 2 (Features C.7–C.12) —</w:t>
      </w:r>
    </w:p>
    <w:p>
      <w:pPr>
        <w:spacing w:before="2200" w:after="80"/>
        <w:jc w:val="center"/>
      </w:pPr>
      <w:r>
        <w:rPr>
          <w:rFonts w:ascii="Arial" w:cs="Arial" w:eastAsia="Arial" w:hAnsi="Arial"/>
          <w:b/>
          <w:bCs/>
          <w:color w:val="0B2B4E"/>
          <w:sz w:val="52"/>
          <w:szCs w:val="52"/>
        </w:rPr>
        <w:t xml:space="preserve">EcoSkiller Institute Management System</w:t>
      </w:r>
    </w:p>
    <w:p>
      <w:pPr>
        <w:spacing w:before="0" w:after="80"/>
        <w:jc w:val="center"/>
      </w:pPr>
      <w:r>
        <w:rPr>
          <w:rFonts w:ascii="Arial" w:cs="Arial" w:eastAsia="Arial" w:hAnsi="Arial"/>
          <w:color w:val="1157A8"/>
          <w:sz w:val="38"/>
          <w:szCs w:val="38"/>
        </w:rPr>
        <w:t xml:space="preserve">Feature Specification Document</w:t>
      </w:r>
    </w:p>
    <w:p>
      <w:pPr>
        <w:spacing w:before="40" w:after="40"/>
        <w:jc w:val="center"/>
      </w:pPr>
      <w:r>
        <w:rPr>
          <w:rFonts w:ascii="Arial" w:cs="Arial" w:eastAsia="Arial" w:hAnsi="Arial"/>
          <w:b/>
          <w:bCs/>
          <w:color w:val="0B5E35"/>
          <w:sz w:val="30"/>
          <w:szCs w:val="30"/>
        </w:rPr>
        <w:t xml:space="preserve">Module C: Student Lifecycle Management (Part 2: C.7–C.12)</w:t>
      </w:r>
    </w:p>
    <w:p>
      <w:pPr>
        <w:spacing w:before="220" w:after="80"/>
        <w:jc w:val="center"/>
      </w:pPr>
      <w:r>
        <w:rPr>
          <w:rFonts w:ascii="Arial" w:cs="Arial" w:eastAsia="Arial" w:hAnsi="Arial"/>
          <w:color w:val="5E7080"/>
          <w:sz w:val="22"/>
          <w:szCs w:val="22"/>
        </w:rPr>
        <w:t xml:space="preserve">Version 1.0  |  9 March 2026</w:t>
      </w:r>
    </w:p>
    <w:p>
      <w:pPr>
        <w:pageBreakBefore/>
      </w:pPr>
    </w:p>
    <w:p>
      <w:pPr>
        <w:pStyle w:val="Heading1"/>
        <w:spacing w:before="480" w:after="150"/>
      </w:pPr>
      <w:r>
        <w:rPr>
          <w:rFonts w:ascii="Arial" w:cs="Arial" w:eastAsia="Arial" w:hAnsi="Arial"/>
          <w:b/>
          <w:bCs/>
          <w:color w:val="0B2B4E"/>
          <w:sz w:val="36"/>
          <w:szCs w:val="36"/>
        </w:rPr>
        <w:t xml:space="preserve">Table of Contents</w:t>
      </w:r>
    </w:p>
    <w:p>
      <w:pPr>
        <w:spacing w:before="60" w:after="60"/>
      </w:pPr>
      <w:r>
        <w:rPr>
          <w:rFonts w:ascii="Arial" w:cs="Arial" w:eastAsia="Arial" w:hAnsi="Arial"/>
          <w:color w:val="1157A8"/>
          <w:sz w:val="22"/>
          <w:szCs w:val="22"/>
        </w:rPr>
        <w:t xml:space="preserve">Feature C.7: Student Transfer Management</w:t>
      </w:r>
    </w:p>
    <w:p>
      <w:pPr>
        <w:spacing w:before="60" w:after="60"/>
      </w:pPr>
      <w:r>
        <w:rPr>
          <w:rFonts w:ascii="Arial" w:cs="Arial" w:eastAsia="Arial" w:hAnsi="Arial"/>
          <w:color w:val="1157A8"/>
          <w:sz w:val="22"/>
          <w:szCs w:val="22"/>
        </w:rPr>
        <w:t xml:space="preserve">Feature C.8: Student Promotion Management</w:t>
      </w:r>
    </w:p>
    <w:p>
      <w:pPr>
        <w:spacing w:before="60" w:after="60"/>
      </w:pPr>
      <w:r>
        <w:rPr>
          <w:rFonts w:ascii="Arial" w:cs="Arial" w:eastAsia="Arial" w:hAnsi="Arial"/>
          <w:color w:val="1157A8"/>
          <w:sz w:val="22"/>
          <w:szCs w:val="22"/>
        </w:rPr>
        <w:t xml:space="preserve">Feature C.9: Student Suspension Control</w:t>
      </w:r>
    </w:p>
    <w:p>
      <w:pPr>
        <w:spacing w:before="60" w:after="60"/>
      </w:pPr>
      <w:r>
        <w:rPr>
          <w:rFonts w:ascii="Arial" w:cs="Arial" w:eastAsia="Arial" w:hAnsi="Arial"/>
          <w:color w:val="1157A8"/>
          <w:sz w:val="22"/>
          <w:szCs w:val="22"/>
        </w:rPr>
        <w:t xml:space="preserve">Feature C.10: Student Graduation Tracking</w:t>
      </w:r>
    </w:p>
    <w:p>
      <w:pPr>
        <w:spacing w:before="60" w:after="60"/>
      </w:pPr>
      <w:r>
        <w:rPr>
          <w:rFonts w:ascii="Arial" w:cs="Arial" w:eastAsia="Arial" w:hAnsi="Arial"/>
          <w:color w:val="1157A8"/>
          <w:sz w:val="22"/>
          <w:szCs w:val="22"/>
        </w:rPr>
        <w:t xml:space="preserve">Feature C.11: Student Attendance Records</w:t>
      </w:r>
    </w:p>
    <w:p>
      <w:pPr>
        <w:spacing w:before="60" w:after="60"/>
      </w:pPr>
      <w:r>
        <w:rPr>
          <w:rFonts w:ascii="Arial" w:cs="Arial" w:eastAsia="Arial" w:hAnsi="Arial"/>
          <w:color w:val="1157A8"/>
          <w:sz w:val="22"/>
          <w:szCs w:val="22"/>
        </w:rPr>
        <w:t xml:space="preserve">Feature C.12: Student Disciplinary Records</w:t>
      </w:r>
    </w:p>
    <w:p>
      <w:pPr>
        <w:pageBreakBefore/>
      </w:pPr>
    </w:p>
    <w:p>
      <w:pPr>
        <w:pStyle w:val="Heading1"/>
        <w:spacing w:before="480" w:after="150"/>
      </w:pPr>
      <w:r>
        <w:rPr>
          <w:rFonts w:ascii="Arial" w:cs="Arial" w:eastAsia="Arial" w:hAnsi="Arial"/>
          <w:b/>
          <w:bCs/>
          <w:color w:val="0B2B4E"/>
          <w:sz w:val="36"/>
          <w:szCs w:val="36"/>
        </w:rPr>
        <w:t xml:space="preserve">Feature C.7: Student Transfer Management</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Transfer Management handles the formal administrative process of moving a student from one section, programme, specialisation, or institution to another. Transfers are among the most operationally complex student lifecycle events — they require synchronised updates across class rosters, attendance records, timetables, gradebooks, fee structures, and examination registrations. A poorly handled transfer can create data inconsistencies that ripple across every academic module. This feature provides a structured, approval-gated transfer workflow that ensures all downstream systems are updated correctly, all historical records in the origin location are properly closed, and all records in the destination location are correctly initialised — maintaining complete data integrity throughout.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C.7</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Cross-Module Transfer Workflow with Approval Gates &amp; Data Propagation</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Transfer Types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Section Transfer, Programme Transfer, Specialisation Transfer, Inter-Institute Transfer</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(initiator), Department Head, Academic Registrar, Admissions Office</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High — Requires Cross-Module Data Propagation to Maintain Integrity</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Transfer Management operates through a structured request-review-approve-execute pipeline. No transfer is executed directly — every transfer begins as a formal request that passes through defined approval stages before any data changes are made. This staged approach ensures that the receiving section/programme has capacity, the academic implications of the transfer are considered, and all administrative records are properly updated before the student begins their new placement. The transfer system maintains a complete before-and-after snapshot for every transfer event, enabling rollback in case of errors.</w:t>
      </w:r>
    </w:p>
    <w:p>
      <w:pPr>
        <w:pStyle w:val="Heading2"/>
        <w:spacing w:before="280" w:after="90"/>
      </w:pPr>
      <w:r>
        <w:rPr>
          <w:rFonts w:ascii="Arial" w:cs="Arial" w:eastAsia="Arial" w:hAnsi="Arial"/>
          <w:b/>
          <w:bCs/>
          <w:color w:val="1157A8"/>
          <w:sz w:val="27"/>
          <w:szCs w:val="27"/>
        </w:rPr>
        <w:t xml:space="preserve">Transfer Request Initiation</w:t>
      </w:r>
    </w:p>
    <w:p>
      <w:pPr>
        <w:pStyle w:val="ListParagraph"/>
        <w:numPr>
          <w:ilvl w:val="0"/>
          <w:numId w:val="2"/>
        </w:numPr>
        <w:spacing w:before="46" w:after="46"/>
      </w:pPr>
      <w:r>
        <w:rPr>
          <w:rFonts w:ascii="Arial" w:cs="Arial" w:eastAsia="Arial" w:hAnsi="Arial"/>
          <w:color w:val="0F1B2D"/>
          <w:sz w:val="22"/>
          <w:szCs w:val="22"/>
        </w:rPr>
        <w:t xml:space="preserve">Student-initiated transfer request: Students can submit a transfer request through their portal, selecting the type of transfer, the requested destination, and providing a written justification. Supporting documents can be attached (e.g., medical certificate for health-related transfers, counsellor recommendation for academic transfers).</w:t>
      </w:r>
    </w:p>
    <w:p>
      <w:pPr>
        <w:pStyle w:val="ListParagraph"/>
        <w:numPr>
          <w:ilvl w:val="0"/>
          <w:numId w:val="2"/>
        </w:numPr>
        <w:spacing w:before="46" w:after="46"/>
      </w:pPr>
      <w:r>
        <w:rPr>
          <w:rFonts w:ascii="Arial" w:cs="Arial" w:eastAsia="Arial" w:hAnsi="Arial"/>
          <w:color w:val="0F1B2D"/>
          <w:sz w:val="22"/>
          <w:szCs w:val="22"/>
        </w:rPr>
        <w:t xml:space="preserve">Administrator-initiated transfer: Administrators can initiate transfers on behalf of students — for example, when rebalancing section capacities or when a student's section is being dissolved.</w:t>
      </w:r>
    </w:p>
    <w:p>
      <w:pPr>
        <w:pStyle w:val="ListParagraph"/>
        <w:numPr>
          <w:ilvl w:val="0"/>
          <w:numId w:val="2"/>
        </w:numPr>
        <w:spacing w:before="46" w:after="46"/>
      </w:pPr>
      <w:r>
        <w:rPr>
          <w:rFonts w:ascii="Arial" w:cs="Arial" w:eastAsia="Arial" w:hAnsi="Arial"/>
          <w:color w:val="0F1B2D"/>
          <w:sz w:val="22"/>
          <w:szCs w:val="22"/>
        </w:rPr>
        <w:t xml:space="preserve">Transfer types handled: Within-batch section transfer (from Section A to Section B, same programme and year), Programme transfer (from one degree programme to another within the institute, subject to eligibility), Specialisation change (within the same programme, e.g., from Finance to Marketing specialisation in MBA), Lateral entry (direct admission to Year 2 or Year 3 based on prior qualification), and Inter-institute transfer (student joining from or leaving to another institute — the most complex type).</w:t>
      </w:r>
    </w:p>
    <w:p>
      <w:pPr>
        <w:pStyle w:val="ListParagraph"/>
        <w:numPr>
          <w:ilvl w:val="0"/>
          <w:numId w:val="2"/>
        </w:numPr>
        <w:spacing w:before="46" w:after="46"/>
      </w:pPr>
      <w:r>
        <w:rPr>
          <w:rFonts w:ascii="Arial" w:cs="Arial" w:eastAsia="Arial" w:hAnsi="Arial"/>
          <w:color w:val="0F1B2D"/>
          <w:sz w:val="22"/>
          <w:szCs w:val="22"/>
        </w:rPr>
        <w:t xml:space="preserve">Transfer request form: Captures request type, student's current placement details, requested destination details, academic year and semester, reason for transfer, and any special circumstances. The form dynamically adjusts its fields based on the transfer type selected.</w:t>
      </w:r>
    </w:p>
    <w:p>
      <w:pPr>
        <w:pStyle w:val="Heading2"/>
        <w:spacing w:before="280" w:after="90"/>
      </w:pPr>
      <w:r>
        <w:rPr>
          <w:rFonts w:ascii="Arial" w:cs="Arial" w:eastAsia="Arial" w:hAnsi="Arial"/>
          <w:b/>
          <w:bCs/>
          <w:color w:val="1157A8"/>
          <w:sz w:val="27"/>
          <w:szCs w:val="27"/>
        </w:rPr>
        <w:t xml:space="preserve">Eligibility &amp; Feasibility Checks</w:t>
      </w:r>
    </w:p>
    <w:p>
      <w:pPr>
        <w:pStyle w:val="ListParagraph"/>
        <w:numPr>
          <w:ilvl w:val="0"/>
          <w:numId w:val="2"/>
        </w:numPr>
        <w:spacing w:before="46" w:after="46"/>
      </w:pPr>
      <w:r>
        <w:rPr>
          <w:rFonts w:ascii="Arial" w:cs="Arial" w:eastAsia="Arial" w:hAnsi="Arial"/>
          <w:color w:val="0F1B2D"/>
          <w:sz w:val="22"/>
          <w:szCs w:val="22"/>
        </w:rPr>
        <w:t xml:space="preserve">Destination capacity check: The system verifies that the requested destination section/programme has available seats before routing the request for approval. If the destination is at capacity, the request is flagged with a capacity warning — the approval authority may still approve with an override.</w:t>
      </w:r>
    </w:p>
    <w:p>
      <w:pPr>
        <w:pStyle w:val="ListParagraph"/>
        <w:numPr>
          <w:ilvl w:val="0"/>
          <w:numId w:val="2"/>
        </w:numPr>
        <w:spacing w:before="46" w:after="46"/>
      </w:pPr>
      <w:r>
        <w:rPr>
          <w:rFonts w:ascii="Arial" w:cs="Arial" w:eastAsia="Arial" w:hAnsi="Arial"/>
          <w:color w:val="0F1B2D"/>
          <w:sz w:val="22"/>
          <w:szCs w:val="22"/>
        </w:rPr>
        <w:t xml:space="preserve">Academic eligibility check: Programme transfers and specialisation changes require academic eligibility verification — the student must have completed required pre-requisite courses and meet minimum CGPA thresholds for the destination programme.</w:t>
      </w:r>
    </w:p>
    <w:p>
      <w:pPr>
        <w:pStyle w:val="ListParagraph"/>
        <w:numPr>
          <w:ilvl w:val="0"/>
          <w:numId w:val="2"/>
        </w:numPr>
        <w:spacing w:before="46" w:after="46"/>
      </w:pPr>
      <w:r>
        <w:rPr>
          <w:rFonts w:ascii="Arial" w:cs="Arial" w:eastAsia="Arial" w:hAnsi="Arial"/>
          <w:color w:val="0F1B2D"/>
          <w:sz w:val="22"/>
          <w:szCs w:val="22"/>
        </w:rPr>
        <w:t xml:space="preserve">Credit mapping (programme transfer): For programme transfers, a credit equivalence check runs automatically — mapping the student's completed courses from the origin programme to equivalent courses in the destination programme and identifying which courses must still be completed.</w:t>
      </w:r>
    </w:p>
    <w:p>
      <w:pPr>
        <w:pStyle w:val="ListParagraph"/>
        <w:numPr>
          <w:ilvl w:val="0"/>
          <w:numId w:val="2"/>
        </w:numPr>
        <w:spacing w:before="46" w:after="46"/>
      </w:pPr>
      <w:r>
        <w:rPr>
          <w:rFonts w:ascii="Arial" w:cs="Arial" w:eastAsia="Arial" w:hAnsi="Arial"/>
          <w:color w:val="0F1B2D"/>
          <w:sz w:val="22"/>
          <w:szCs w:val="22"/>
        </w:rPr>
        <w:t xml:space="preserve">Fee implications calculation: The system calculates any fee differential between the origin and destination programme/section — displayed to the approver and the student before the transfer is confirmed.</w:t>
      </w:r>
    </w:p>
    <w:p>
      <w:pPr>
        <w:pStyle w:val="ListParagraph"/>
        <w:numPr>
          <w:ilvl w:val="0"/>
          <w:numId w:val="2"/>
        </w:numPr>
        <w:spacing w:before="46" w:after="46"/>
      </w:pPr>
      <w:r>
        <w:rPr>
          <w:rFonts w:ascii="Arial" w:cs="Arial" w:eastAsia="Arial" w:hAnsi="Arial"/>
          <w:color w:val="0F1B2D"/>
          <w:sz w:val="22"/>
          <w:szCs w:val="22"/>
        </w:rPr>
        <w:t xml:space="preserve">Mid-semester transfer restrictions: Transfers are generally restricted during active examination periods. The system enforces a blackout period (configurable) around examination dates during which transfers cannot be executed — requests can be submitted but are held until the blackout lifts.</w:t>
      </w:r>
    </w:p>
    <w:p>
      <w:pPr>
        <w:pStyle w:val="Heading2"/>
        <w:spacing w:before="280" w:after="90"/>
      </w:pPr>
      <w:r>
        <w:rPr>
          <w:rFonts w:ascii="Arial" w:cs="Arial" w:eastAsia="Arial" w:hAnsi="Arial"/>
          <w:b/>
          <w:bCs/>
          <w:color w:val="1157A8"/>
          <w:sz w:val="27"/>
          <w:szCs w:val="27"/>
        </w:rPr>
        <w:t xml:space="preserve">Approval Workflow</w:t>
      </w:r>
    </w:p>
    <w:p>
      <w:pPr>
        <w:pStyle w:val="ListParagraph"/>
        <w:numPr>
          <w:ilvl w:val="0"/>
          <w:numId w:val="2"/>
        </w:numPr>
        <w:spacing w:before="46" w:after="46"/>
      </w:pPr>
      <w:r>
        <w:rPr>
          <w:rFonts w:ascii="Arial" w:cs="Arial" w:eastAsia="Arial" w:hAnsi="Arial"/>
          <w:color w:val="0F1B2D"/>
          <w:sz w:val="22"/>
          <w:szCs w:val="22"/>
        </w:rPr>
        <w:t xml:space="preserve">Level 1 — Class Teacher / Faculty Advisor: Reviews and recommends for section transfers within the same programme. Provides academic guidance note.</w:t>
      </w:r>
    </w:p>
    <w:p>
      <w:pPr>
        <w:pStyle w:val="ListParagraph"/>
        <w:numPr>
          <w:ilvl w:val="0"/>
          <w:numId w:val="2"/>
        </w:numPr>
        <w:spacing w:before="46" w:after="46"/>
      </w:pPr>
      <w:r>
        <w:rPr>
          <w:rFonts w:ascii="Arial" w:cs="Arial" w:eastAsia="Arial" w:hAnsi="Arial"/>
          <w:color w:val="0F1B2D"/>
          <w:sz w:val="22"/>
          <w:szCs w:val="22"/>
        </w:rPr>
        <w:t xml:space="preserve">Level 2 — Department Head: Reviews and approves section and specialisation transfers. For programme transfers, forwards to the Academic Registrar.</w:t>
      </w:r>
    </w:p>
    <w:p>
      <w:pPr>
        <w:pStyle w:val="ListParagraph"/>
        <w:numPr>
          <w:ilvl w:val="0"/>
          <w:numId w:val="2"/>
        </w:numPr>
        <w:spacing w:before="46" w:after="46"/>
      </w:pPr>
      <w:r>
        <w:rPr>
          <w:rFonts w:ascii="Arial" w:cs="Arial" w:eastAsia="Arial" w:hAnsi="Arial"/>
          <w:color w:val="0F1B2D"/>
          <w:sz w:val="22"/>
          <w:szCs w:val="22"/>
        </w:rPr>
        <w:t xml:space="preserve">Level 3 — Academic Registrar / Admissions Office: Final approval authority for programme transfers and inter-institute transfers. Reviews all supporting documents and credit mapping before approving.</w:t>
      </w:r>
    </w:p>
    <w:p>
      <w:pPr>
        <w:pStyle w:val="ListParagraph"/>
        <w:numPr>
          <w:ilvl w:val="0"/>
          <w:numId w:val="2"/>
        </w:numPr>
        <w:spacing w:before="46" w:after="46"/>
      </w:pPr>
      <w:r>
        <w:rPr>
          <w:rFonts w:ascii="Arial" w:cs="Arial" w:eastAsia="Arial" w:hAnsi="Arial"/>
          <w:color w:val="0F1B2D"/>
          <w:sz w:val="22"/>
          <w:szCs w:val="22"/>
        </w:rPr>
        <w:t xml:space="preserve">Parallel approvals: Certain transfer types trigger parallel approval requests — e.g., an inter-institute incoming transfer requires simultaneous approval from the admissions office (for seat allocation) and the academic registrar (for credit recognition).</w:t>
      </w:r>
    </w:p>
    <w:p>
      <w:pPr>
        <w:pStyle w:val="ListParagraph"/>
        <w:numPr>
          <w:ilvl w:val="0"/>
          <w:numId w:val="2"/>
        </w:numPr>
        <w:spacing w:before="46" w:after="46"/>
      </w:pPr>
      <w:r>
        <w:rPr>
          <w:rFonts w:ascii="Arial" w:cs="Arial" w:eastAsia="Arial" w:hAnsi="Arial"/>
          <w:color w:val="0F1B2D"/>
          <w:sz w:val="22"/>
          <w:szCs w:val="22"/>
        </w:rPr>
        <w:t xml:space="preserve">Rejection with reason: Every rejection must include a selected rejection category and a written explanation — both recorded in the audit trail and communicated to the student.</w:t>
      </w:r>
    </w:p>
    <w:p>
      <w:pPr>
        <w:pStyle w:val="ListParagraph"/>
        <w:numPr>
          <w:ilvl w:val="0"/>
          <w:numId w:val="2"/>
        </w:numPr>
        <w:spacing w:before="46" w:after="46"/>
      </w:pPr>
      <w:r>
        <w:rPr>
          <w:rFonts w:ascii="Arial" w:cs="Arial" w:eastAsia="Arial" w:hAnsi="Arial"/>
          <w:color w:val="0F1B2D"/>
          <w:sz w:val="22"/>
          <w:szCs w:val="22"/>
        </w:rPr>
        <w:t xml:space="preserve">Auto-approval rules: For straightforward section transfers (same programme, same year, destination has capacity, no academic flags), institutes can configure auto-approval — bypassing the manual review chain while maintaining an audit record.</w:t>
      </w:r>
    </w:p>
    <w:p>
      <w:pPr>
        <w:pStyle w:val="Heading2"/>
        <w:spacing w:before="280" w:after="90"/>
      </w:pPr>
      <w:r>
        <w:rPr>
          <w:rFonts w:ascii="Arial" w:cs="Arial" w:eastAsia="Arial" w:hAnsi="Arial"/>
          <w:b/>
          <w:bCs/>
          <w:color w:val="1157A8"/>
          <w:sz w:val="27"/>
          <w:szCs w:val="27"/>
        </w:rPr>
        <w:t xml:space="preserve">Transfer Execution &amp; Data Propagation</w:t>
      </w:r>
    </w:p>
    <w:p>
      <w:pPr>
        <w:pStyle w:val="ListParagraph"/>
        <w:numPr>
          <w:ilvl w:val="0"/>
          <w:numId w:val="2"/>
        </w:numPr>
        <w:spacing w:before="46" w:after="46"/>
      </w:pPr>
      <w:r>
        <w:rPr>
          <w:rFonts w:ascii="Arial" w:cs="Arial" w:eastAsia="Arial" w:hAnsi="Arial"/>
          <w:color w:val="0F1B2D"/>
          <w:sz w:val="22"/>
          <w:szCs w:val="22"/>
        </w:rPr>
        <w:t xml:space="preserve">Execution trigger: When the final approval is granted, the transfer execution pipeline runs automatically.</w:t>
      </w:r>
    </w:p>
    <w:p>
      <w:pPr>
        <w:pStyle w:val="ListParagraph"/>
        <w:numPr>
          <w:ilvl w:val="0"/>
          <w:numId w:val="2"/>
        </w:numPr>
        <w:spacing w:before="46" w:after="46"/>
      </w:pPr>
      <w:r>
        <w:rPr>
          <w:rFonts w:ascii="Arial" w:cs="Arial" w:eastAsia="Arial" w:hAnsi="Arial"/>
          <w:color w:val="0F1B2D"/>
          <w:sz w:val="22"/>
          <w:szCs w:val="22"/>
        </w:rPr>
        <w:t xml:space="preserve">Origin record closure: The student is removed from the origin section's class roster. All pending attendance records for the current semester are flagged as 'Pre-Transfer'. The origin gradebook entries are preserved as historical records.</w:t>
      </w:r>
    </w:p>
    <w:p>
      <w:pPr>
        <w:pStyle w:val="ListParagraph"/>
        <w:numPr>
          <w:ilvl w:val="0"/>
          <w:numId w:val="2"/>
        </w:numPr>
        <w:spacing w:before="46" w:after="46"/>
      </w:pPr>
      <w:r>
        <w:rPr>
          <w:rFonts w:ascii="Arial" w:cs="Arial" w:eastAsia="Arial" w:hAnsi="Arial"/>
          <w:color w:val="0F1B2D"/>
          <w:sz w:val="22"/>
          <w:szCs w:val="22"/>
        </w:rPr>
        <w:t xml:space="preserve">Destination record creation: The student is added to the destination section's class roster with a 'Transfer Student' flag visible to the receiving faculty. Attendance tracking is initialised from the transfer date. A new gradebook entry is created in the destination section.</w:t>
      </w:r>
    </w:p>
    <w:p>
      <w:pPr>
        <w:pStyle w:val="ListParagraph"/>
        <w:numPr>
          <w:ilvl w:val="0"/>
          <w:numId w:val="2"/>
        </w:numPr>
        <w:spacing w:before="46" w:after="46"/>
      </w:pPr>
      <w:r>
        <w:rPr>
          <w:rFonts w:ascii="Arial" w:cs="Arial" w:eastAsia="Arial" w:hAnsi="Arial"/>
          <w:color w:val="0F1B2D"/>
          <w:sz w:val="22"/>
          <w:szCs w:val="22"/>
        </w:rPr>
        <w:t xml:space="preserve">Timetable update: The student's timetable is automatically updated to reflect the destination section's schedule — removing origin section subjects and adding destination section subjects.</w:t>
      </w:r>
    </w:p>
    <w:p>
      <w:pPr>
        <w:pStyle w:val="ListParagraph"/>
        <w:numPr>
          <w:ilvl w:val="0"/>
          <w:numId w:val="2"/>
        </w:numPr>
        <w:spacing w:before="46" w:after="46"/>
      </w:pPr>
      <w:r>
        <w:rPr>
          <w:rFonts w:ascii="Arial" w:cs="Arial" w:eastAsia="Arial" w:hAnsi="Arial"/>
          <w:color w:val="0F1B2D"/>
          <w:sz w:val="22"/>
          <w:szCs w:val="22"/>
        </w:rPr>
        <w:t xml:space="preserve">Fee account update: Any fee structure differences are posted to the student's fee account automatically.</w:t>
      </w:r>
    </w:p>
    <w:p>
      <w:pPr>
        <w:pStyle w:val="ListParagraph"/>
        <w:numPr>
          <w:ilvl w:val="0"/>
          <w:numId w:val="2"/>
        </w:numPr>
        <w:spacing w:before="46" w:after="46"/>
      </w:pPr>
      <w:r>
        <w:rPr>
          <w:rFonts w:ascii="Arial" w:cs="Arial" w:eastAsia="Arial" w:hAnsi="Arial"/>
          <w:color w:val="0F1B2D"/>
          <w:sz w:val="22"/>
          <w:szCs w:val="22"/>
        </w:rPr>
        <w:t xml:space="preserve">Notification cascade: The student, origin class teacher, destination class teacher, origin department head, and destination department head all receive structured transfer completion notifications.</w:t>
      </w:r>
    </w:p>
    <w:p>
      <w:pPr>
        <w:pStyle w:val="ListParagraph"/>
        <w:numPr>
          <w:ilvl w:val="0"/>
          <w:numId w:val="2"/>
        </w:numPr>
        <w:spacing w:before="46" w:after="46"/>
      </w:pPr>
      <w:r>
        <w:rPr>
          <w:rFonts w:ascii="Arial" w:cs="Arial" w:eastAsia="Arial" w:hAnsi="Arial"/>
          <w:color w:val="0F1B2D"/>
          <w:sz w:val="22"/>
          <w:szCs w:val="22"/>
        </w:rPr>
        <w:t xml:space="preserve">Rollback capability: Within 48 hours of transfer execution, an administrator can initiate a rollback — reversing all data changes to the pre-transfer state. Rollback after 48 hours requires manual data correction.</w:t>
      </w:r>
    </w:p>
    <w:p>
      <w:pPr>
        <w:pStyle w:val="Heading2"/>
        <w:spacing w:before="280" w:after="90"/>
      </w:pPr>
      <w:r>
        <w:rPr>
          <w:rFonts w:ascii="Arial" w:cs="Arial" w:eastAsia="Arial" w:hAnsi="Arial"/>
          <w:b/>
          <w:bCs/>
          <w:color w:val="1157A8"/>
          <w:sz w:val="27"/>
          <w:szCs w:val="27"/>
        </w:rPr>
        <w:t xml:space="preserve">Inter-Institute Transfer Special Handling</w:t>
      </w:r>
    </w:p>
    <w:p>
      <w:pPr>
        <w:pStyle w:val="ListParagraph"/>
        <w:numPr>
          <w:ilvl w:val="0"/>
          <w:numId w:val="2"/>
        </w:numPr>
        <w:spacing w:before="46" w:after="46"/>
      </w:pPr>
      <w:r>
        <w:rPr>
          <w:rFonts w:ascii="Arial" w:cs="Arial" w:eastAsia="Arial" w:hAnsi="Arial"/>
          <w:color w:val="0F1B2D"/>
          <w:sz w:val="22"/>
          <w:szCs w:val="22"/>
        </w:rPr>
        <w:t xml:space="preserve">Outgoing transfer: Student leaving the institute. Generates a Migration Certificate (digitally signed), a detailed academic transcript, a No-Dues Certificate (confirming all fees and library books are cleared), and a Conduct Certificate. All platform access is revoked on the transfer effective date.</w:t>
      </w:r>
    </w:p>
    <w:p>
      <w:pPr>
        <w:pStyle w:val="ListParagraph"/>
        <w:numPr>
          <w:ilvl w:val="0"/>
          <w:numId w:val="2"/>
        </w:numPr>
        <w:spacing w:before="46" w:after="46"/>
      </w:pPr>
      <w:r>
        <w:rPr>
          <w:rFonts w:ascii="Arial" w:cs="Arial" w:eastAsia="Arial" w:hAnsi="Arial"/>
          <w:color w:val="0F1B2D"/>
          <w:sz w:val="22"/>
          <w:szCs w:val="22"/>
        </w:rPr>
        <w:t xml:space="preserve">Incoming transfer: Student joining from another institute. A credit transfer evaluation is completed — the student's prior courses are mapped to equivalent courses in the current programme. An equivalence certificate is issued documenting which credits are recognised and which must be earned.</w:t>
      </w:r>
    </w:p>
    <w:p>
      <w:pPr>
        <w:pStyle w:val="ListParagraph"/>
        <w:numPr>
          <w:ilvl w:val="0"/>
          <w:numId w:val="2"/>
        </w:numPr>
        <w:spacing w:before="46" w:after="46"/>
      </w:pPr>
      <w:r>
        <w:rPr>
          <w:rFonts w:ascii="Arial" w:cs="Arial" w:eastAsia="Arial" w:hAnsi="Arial"/>
          <w:color w:val="0F1B2D"/>
          <w:sz w:val="22"/>
          <w:szCs w:val="22"/>
        </w:rPr>
        <w:t xml:space="preserve">Document verification: For incoming transfers, the migration certificate and academic records from the prior institute are verified by the academic registrar before the transfer is approved.</w:t>
      </w:r>
    </w:p>
    <w:p>
      <w:pPr>
        <w:pStyle w:val="ListParagraph"/>
        <w:numPr>
          <w:ilvl w:val="0"/>
          <w:numId w:val="2"/>
        </w:numPr>
        <w:spacing w:before="46" w:after="46"/>
      </w:pPr>
      <w:r>
        <w:rPr>
          <w:rFonts w:ascii="Arial" w:cs="Arial" w:eastAsia="Arial" w:hAnsi="Arial"/>
          <w:color w:val="0F1B2D"/>
          <w:sz w:val="22"/>
          <w:szCs w:val="22"/>
        </w:rPr>
        <w:t xml:space="preserve">Provisional admission: Incoming transfer students may be admitted provisionally while their prior academic documents are being verified — with full access to academic resources but a provisional flag on their record that is cleared once verification is complete.</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C.8: Student Promotion Management</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Promotion Management is the formal end-of-year or end-of-semester process that advances students from their current academic year to the next — or identifies students who must repeat a year or semester due to insufficient academic performance. It is one of the highest-stakes administrative processes in the student lifecycle, directly determining each student's academic progression and having long-term consequences for their degree completion timeline. The promotion process must be conducted accurately, fairly, and with complete documentation — every promotion and detention decision must be based on clearly defined, consistently applied academic criteria, with full transparency for the student and faculty.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C.8</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Batch Academic Progression Decision System</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Examination Office, Academic Registrar, Department Head, Principal</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Frequency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End of each Academic Year (or Semester, per programme configuration)</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Critical — Determines Student Academic Progression; High Accuracy Required</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Promotion Management operates as a batch process run at the end of each academic year. The system evaluates every currently enrolled student against the configured promotion criteria for their programme and year — and categorises each student as Promoted, Conditionally Promoted, Detained, or Eligible for Supplementary Examination. The process runs in three phases: automated evaluation (computing each student's status based on objective academic data), review and override (allowing academic authorities to review borderline cases and apply informed discretion), and finalisation (locking decisions, generating result documents, and updating all student records).</w:t>
      </w:r>
    </w:p>
    <w:p>
      <w:pPr>
        <w:pStyle w:val="Heading2"/>
        <w:spacing w:before="280" w:after="90"/>
      </w:pPr>
      <w:r>
        <w:rPr>
          <w:rFonts w:ascii="Arial" w:cs="Arial" w:eastAsia="Arial" w:hAnsi="Arial"/>
          <w:b/>
          <w:bCs/>
          <w:color w:val="1157A8"/>
          <w:sz w:val="27"/>
          <w:szCs w:val="27"/>
        </w:rPr>
        <w:t xml:space="preserve">Promotion Criteria Configuration</w:t>
      </w:r>
    </w:p>
    <w:p>
      <w:pPr>
        <w:pStyle w:val="ListParagraph"/>
        <w:numPr>
          <w:ilvl w:val="0"/>
          <w:numId w:val="2"/>
        </w:numPr>
        <w:spacing w:before="46" w:after="46"/>
      </w:pPr>
      <w:r>
        <w:rPr>
          <w:rFonts w:ascii="Arial" w:cs="Arial" w:eastAsia="Arial" w:hAnsi="Arial"/>
          <w:color w:val="0F1B2D"/>
          <w:sz w:val="22"/>
          <w:szCs w:val="22"/>
        </w:rPr>
        <w:t xml:space="preserve">Programme-level criteria: Each programme defines its own promotion criteria — configurable by the academic registrar. Typical criteria include: minimum attendance percentage required (e.g., 75%), minimum number of subjects passed, minimum overall percentage/CGPA, maximum number of allowed backlogs to carry forward, and specific mandatory subjects that must be passed before promotion.</w:t>
      </w:r>
    </w:p>
    <w:p>
      <w:pPr>
        <w:pStyle w:val="ListParagraph"/>
        <w:numPr>
          <w:ilvl w:val="0"/>
          <w:numId w:val="2"/>
        </w:numPr>
        <w:spacing w:before="46" w:after="46"/>
      </w:pPr>
      <w:r>
        <w:rPr>
          <w:rFonts w:ascii="Arial" w:cs="Arial" w:eastAsia="Arial" w:hAnsi="Arial"/>
          <w:color w:val="0F1B2D"/>
          <w:sz w:val="22"/>
          <w:szCs w:val="22"/>
        </w:rPr>
        <w:t xml:space="preserve">Subject pass criteria: For each subject, the pass criteria are defined: minimum theory marks, minimum practical marks (if applicable), minimum aggregate of theory and practical, and any additional conditions (e.g., 'must pass Internal Assessment separately from External Examination').</w:t>
      </w:r>
    </w:p>
    <w:p>
      <w:pPr>
        <w:pStyle w:val="ListParagraph"/>
        <w:numPr>
          <w:ilvl w:val="0"/>
          <w:numId w:val="2"/>
        </w:numPr>
        <w:spacing w:before="46" w:after="46"/>
      </w:pPr>
      <w:r>
        <w:rPr>
          <w:rFonts w:ascii="Arial" w:cs="Arial" w:eastAsia="Arial" w:hAnsi="Arial"/>
          <w:color w:val="0F1B2D"/>
          <w:sz w:val="22"/>
          <w:szCs w:val="22"/>
        </w:rPr>
        <w:t xml:space="preserve">Condonation rules: Configurable rules for attendance condonation — situations where a student's attendance falls below the minimum threshold but they are permitted to appear in examinations (e.g., medical emergency with documented evidence). Condonation is applied per student, not as a blanket policy.</w:t>
      </w:r>
    </w:p>
    <w:p>
      <w:pPr>
        <w:pStyle w:val="ListParagraph"/>
        <w:numPr>
          <w:ilvl w:val="0"/>
          <w:numId w:val="2"/>
        </w:numPr>
        <w:spacing w:before="46" w:after="46"/>
      </w:pPr>
      <w:r>
        <w:rPr>
          <w:rFonts w:ascii="Arial" w:cs="Arial" w:eastAsia="Arial" w:hAnsi="Arial"/>
          <w:color w:val="0F1B2D"/>
          <w:sz w:val="22"/>
          <w:szCs w:val="22"/>
        </w:rPr>
        <w:t xml:space="preserve">Grace marks policy: The configurable grace marks policy defines when grace marks can be awarded (typically to bring a student from just below to just above the pass threshold), the maximum grace marks per subject, and the maximum number of subjects in which grace can be applied for a single student.</w:t>
      </w:r>
    </w:p>
    <w:p>
      <w:pPr>
        <w:pStyle w:val="Heading2"/>
        <w:spacing w:before="280" w:after="90"/>
      </w:pPr>
      <w:r>
        <w:rPr>
          <w:rFonts w:ascii="Arial" w:cs="Arial" w:eastAsia="Arial" w:hAnsi="Arial"/>
          <w:b/>
          <w:bCs/>
          <w:color w:val="1157A8"/>
          <w:sz w:val="27"/>
          <w:szCs w:val="27"/>
        </w:rPr>
        <w:t xml:space="preserve">Automated Promotion Evaluation</w:t>
      </w:r>
    </w:p>
    <w:p>
      <w:pPr>
        <w:pStyle w:val="ListParagraph"/>
        <w:numPr>
          <w:ilvl w:val="0"/>
          <w:numId w:val="2"/>
        </w:numPr>
        <w:spacing w:before="46" w:after="46"/>
      </w:pPr>
      <w:r>
        <w:rPr>
          <w:rFonts w:ascii="Arial" w:cs="Arial" w:eastAsia="Arial" w:hAnsi="Arial"/>
          <w:color w:val="0F1B2D"/>
          <w:sz w:val="22"/>
          <w:szCs w:val="22"/>
        </w:rPr>
        <w:t xml:space="preserve">Batch evaluation run: The promotion evaluation is triggered by the examination office after all grade entry is complete and verified. The system processes all enrolled students simultaneously.</w:t>
      </w:r>
    </w:p>
    <w:p>
      <w:pPr>
        <w:pStyle w:val="ListParagraph"/>
        <w:numPr>
          <w:ilvl w:val="0"/>
          <w:numId w:val="2"/>
        </w:numPr>
        <w:spacing w:before="46" w:after="46"/>
      </w:pPr>
      <w:r>
        <w:rPr>
          <w:rFonts w:ascii="Arial" w:cs="Arial" w:eastAsia="Arial" w:hAnsi="Arial"/>
          <w:color w:val="0F1B2D"/>
          <w:sz w:val="22"/>
          <w:szCs w:val="22"/>
        </w:rPr>
        <w:t xml:space="preserve">Student result computation: For each student, the system computes: total marks and percentage/CGPA, subject-wise pass/fail status, attendance percentage per subject and overall, backlog count (subjects failed in prior years still pending clearance), and application of grace marks within configured policy limits.</w:t>
      </w:r>
    </w:p>
    <w:p>
      <w:pPr>
        <w:pStyle w:val="ListParagraph"/>
        <w:numPr>
          <w:ilvl w:val="0"/>
          <w:numId w:val="2"/>
        </w:numPr>
        <w:spacing w:before="46" w:after="46"/>
      </w:pPr>
      <w:r>
        <w:rPr>
          <w:rFonts w:ascii="Arial" w:cs="Arial" w:eastAsia="Arial" w:hAnsi="Arial"/>
          <w:color w:val="0F1B2D"/>
          <w:sz w:val="22"/>
          <w:szCs w:val="22"/>
        </w:rPr>
        <w:t xml:space="preserve">Promotion status assignment: Based on the evaluation: Promoted (meets all criteria), Conditionally Promoted (meets most criteria; allowed to proceed to next year with backlogs subject to a maximum), Eligible for Supplementary Examination (failed one or more subjects but within the range eligible for a second chance examination), and Detained (does not meet minimum criteria for promotion or supplementary examination eligibility — must repeat the year).</w:t>
      </w:r>
    </w:p>
    <w:p>
      <w:pPr>
        <w:pStyle w:val="ListParagraph"/>
        <w:numPr>
          <w:ilvl w:val="0"/>
          <w:numId w:val="2"/>
        </w:numPr>
        <w:spacing w:before="46" w:after="46"/>
      </w:pPr>
      <w:r>
        <w:rPr>
          <w:rFonts w:ascii="Arial" w:cs="Arial" w:eastAsia="Arial" w:hAnsi="Arial"/>
          <w:color w:val="0F1B2D"/>
          <w:sz w:val="22"/>
          <w:szCs w:val="22"/>
        </w:rPr>
        <w:t xml:space="preserve">Edge case flagging: Students whose status could change with a small difference (e.g., attendance 74.5% against a 75% threshold, or one mark below pass in one subject) are automatically flagged as 'Borderline Cases' for human review — preventing automatic detention of students who may have legitimate grounds for marginal consideration.</w:t>
      </w:r>
    </w:p>
    <w:p>
      <w:pPr>
        <w:pStyle w:val="Heading2"/>
        <w:spacing w:before="280" w:after="90"/>
      </w:pPr>
      <w:r>
        <w:rPr>
          <w:rFonts w:ascii="Arial" w:cs="Arial" w:eastAsia="Arial" w:hAnsi="Arial"/>
          <w:b/>
          <w:bCs/>
          <w:color w:val="1157A8"/>
          <w:sz w:val="27"/>
          <w:szCs w:val="27"/>
        </w:rPr>
        <w:t xml:space="preserve">Review &amp; Override Phase</w:t>
      </w:r>
    </w:p>
    <w:p>
      <w:pPr>
        <w:pStyle w:val="ListParagraph"/>
        <w:numPr>
          <w:ilvl w:val="0"/>
          <w:numId w:val="2"/>
        </w:numPr>
        <w:spacing w:before="46" w:after="46"/>
      </w:pPr>
      <w:r>
        <w:rPr>
          <w:rFonts w:ascii="Arial" w:cs="Arial" w:eastAsia="Arial" w:hAnsi="Arial"/>
          <w:color w:val="0F1B2D"/>
          <w:sz w:val="22"/>
          <w:szCs w:val="22"/>
        </w:rPr>
        <w:t xml:space="preserve">Borderline case review: The academic registrar and department heads review all flagged borderline cases. For each case, the system presents: the student's full academic record, the specific criterion they are borderline on, their performance trend across semesters, and any documented special circumstances.</w:t>
      </w:r>
    </w:p>
    <w:p>
      <w:pPr>
        <w:pStyle w:val="ListParagraph"/>
        <w:numPr>
          <w:ilvl w:val="0"/>
          <w:numId w:val="2"/>
        </w:numPr>
        <w:spacing w:before="46" w:after="46"/>
      </w:pPr>
      <w:r>
        <w:rPr>
          <w:rFonts w:ascii="Arial" w:cs="Arial" w:eastAsia="Arial" w:hAnsi="Arial"/>
          <w:color w:val="0F1B2D"/>
          <w:sz w:val="22"/>
          <w:szCs w:val="22"/>
        </w:rPr>
        <w:t xml:space="preserve">Override mechanism: Authorised reviewers can override an automated decision — changing a student's status with a mandatory reason code and written justification. All overrides are recorded with the reviewer's name, role, and the original automated decision.</w:t>
      </w:r>
    </w:p>
    <w:p>
      <w:pPr>
        <w:pStyle w:val="ListParagraph"/>
        <w:numPr>
          <w:ilvl w:val="0"/>
          <w:numId w:val="2"/>
        </w:numPr>
        <w:spacing w:before="46" w:after="46"/>
      </w:pPr>
      <w:r>
        <w:rPr>
          <w:rFonts w:ascii="Arial" w:cs="Arial" w:eastAsia="Arial" w:hAnsi="Arial"/>
          <w:color w:val="0F1B2D"/>
          <w:sz w:val="22"/>
          <w:szCs w:val="22"/>
        </w:rPr>
        <w:t xml:space="preserve">Faculty input: For detention decisions, the student's class teacher and subject faculty are consulted — their input is recorded as part of the review record.</w:t>
      </w:r>
    </w:p>
    <w:p>
      <w:pPr>
        <w:pStyle w:val="ListParagraph"/>
        <w:numPr>
          <w:ilvl w:val="0"/>
          <w:numId w:val="2"/>
        </w:numPr>
        <w:spacing w:before="46" w:after="46"/>
      </w:pPr>
      <w:r>
        <w:rPr>
          <w:rFonts w:ascii="Arial" w:cs="Arial" w:eastAsia="Arial" w:hAnsi="Arial"/>
          <w:color w:val="0F1B2D"/>
          <w:sz w:val="22"/>
          <w:szCs w:val="22"/>
        </w:rPr>
        <w:t xml:space="preserve">Student representation: Students who believe their automated promotion status is incorrect can submit a formal representation before the review phase closes — providing additional evidence (e.g., medical certificate for attendance shortfall). Representations are reviewed as part of the borderline case workflow.</w:t>
      </w:r>
    </w:p>
    <w:p>
      <w:pPr>
        <w:pStyle w:val="ListParagraph"/>
        <w:numPr>
          <w:ilvl w:val="0"/>
          <w:numId w:val="2"/>
        </w:numPr>
        <w:spacing w:before="46" w:after="46"/>
      </w:pPr>
      <w:r>
        <w:rPr>
          <w:rFonts w:ascii="Arial" w:cs="Arial" w:eastAsia="Arial" w:hAnsi="Arial"/>
          <w:color w:val="0F1B2D"/>
          <w:sz w:val="22"/>
          <w:szCs w:val="22"/>
        </w:rPr>
        <w:t xml:space="preserve">Committee review for detentions: All detention decisions require review by a promotion committee (typically comprising the principal, department head, and academic registrar) — not a single individual. The committee's decision is recorded as a collective authorisation.</w:t>
      </w:r>
    </w:p>
    <w:p>
      <w:pPr>
        <w:pStyle w:val="Heading2"/>
        <w:spacing w:before="280" w:after="90"/>
      </w:pPr>
      <w:r>
        <w:rPr>
          <w:rFonts w:ascii="Arial" w:cs="Arial" w:eastAsia="Arial" w:hAnsi="Arial"/>
          <w:b/>
          <w:bCs/>
          <w:color w:val="1157A8"/>
          <w:sz w:val="27"/>
          <w:szCs w:val="27"/>
        </w:rPr>
        <w:t xml:space="preserve">Promotion Finalisation &amp; Communication</w:t>
      </w:r>
    </w:p>
    <w:p>
      <w:pPr>
        <w:pStyle w:val="ListParagraph"/>
        <w:numPr>
          <w:ilvl w:val="0"/>
          <w:numId w:val="2"/>
        </w:numPr>
        <w:spacing w:before="46" w:after="46"/>
      </w:pPr>
      <w:r>
        <w:rPr>
          <w:rFonts w:ascii="Arial" w:cs="Arial" w:eastAsia="Arial" w:hAnsi="Arial"/>
          <w:color w:val="0F1B2D"/>
          <w:sz w:val="22"/>
          <w:szCs w:val="22"/>
        </w:rPr>
        <w:t xml:space="preserve">Decision lock: Once the review phase is complete and all decisions are confirmed by the committee, the promotion decisions are locked — no further changes without a formal appeals process.</w:t>
      </w:r>
    </w:p>
    <w:p>
      <w:pPr>
        <w:pStyle w:val="ListParagraph"/>
        <w:numPr>
          <w:ilvl w:val="0"/>
          <w:numId w:val="2"/>
        </w:numPr>
        <w:spacing w:before="46" w:after="46"/>
      </w:pPr>
      <w:r>
        <w:rPr>
          <w:rFonts w:ascii="Arial" w:cs="Arial" w:eastAsia="Arial" w:hAnsi="Arial"/>
          <w:color w:val="0F1B2D"/>
          <w:sz w:val="22"/>
          <w:szCs w:val="22"/>
        </w:rPr>
        <w:t xml:space="preserve">Result notification: Each student receives a formal result notification — the promoted students receive a promotion certificate and their updated academic record; detained students receive a formal detention letter with the specific reasons; supplementary exam eligible students receive a supplementary examination schedule and instructions.</w:t>
      </w:r>
    </w:p>
    <w:p>
      <w:pPr>
        <w:pStyle w:val="ListParagraph"/>
        <w:numPr>
          <w:ilvl w:val="0"/>
          <w:numId w:val="2"/>
        </w:numPr>
        <w:spacing w:before="46" w:after="46"/>
      </w:pPr>
      <w:r>
        <w:rPr>
          <w:rFonts w:ascii="Arial" w:cs="Arial" w:eastAsia="Arial" w:hAnsi="Arial"/>
          <w:color w:val="0F1B2D"/>
          <w:sz w:val="22"/>
          <w:szCs w:val="22"/>
        </w:rPr>
        <w:t xml:space="preserve">Academic record update: Promoted students' academic year is incremented in the system. Detained students' records are flagged for year repetition. Supplementary exam eligible students remain in a 'Pending Supplementary' status until the supplementary examination results are entered.</w:t>
      </w:r>
    </w:p>
    <w:p>
      <w:pPr>
        <w:pStyle w:val="ListParagraph"/>
        <w:numPr>
          <w:ilvl w:val="0"/>
          <w:numId w:val="2"/>
        </w:numPr>
        <w:spacing w:before="46" w:after="46"/>
      </w:pPr>
      <w:r>
        <w:rPr>
          <w:rFonts w:ascii="Arial" w:cs="Arial" w:eastAsia="Arial" w:hAnsi="Arial"/>
          <w:color w:val="0F1B2D"/>
          <w:sz w:val="22"/>
          <w:szCs w:val="22"/>
        </w:rPr>
        <w:t xml:space="preserve">Class reassignment: Promoted students are made eligible for the next year's enrollment and class assignment processes. Detained students remain in the current year's class structure for the repeated year.</w:t>
      </w:r>
    </w:p>
    <w:p>
      <w:pPr>
        <w:pStyle w:val="ListParagraph"/>
        <w:numPr>
          <w:ilvl w:val="0"/>
          <w:numId w:val="2"/>
        </w:numPr>
        <w:spacing w:before="46" w:after="46"/>
      </w:pPr>
      <w:r>
        <w:rPr>
          <w:rFonts w:ascii="Arial" w:cs="Arial" w:eastAsia="Arial" w:hAnsi="Arial"/>
          <w:color w:val="0F1B2D"/>
          <w:sz w:val="22"/>
          <w:szCs w:val="22"/>
        </w:rPr>
        <w:t xml:space="preserve">Promotion register: A formal promotion register — listing all promotion decisions for the academic year — is generated as a signed PDF document for institutional records and regulatory compliance.</w:t>
      </w:r>
    </w:p>
    <w:p>
      <w:pPr>
        <w:pStyle w:val="Heading2"/>
        <w:spacing w:before="280" w:after="90"/>
      </w:pPr>
      <w:r>
        <w:rPr>
          <w:rFonts w:ascii="Arial" w:cs="Arial" w:eastAsia="Arial" w:hAnsi="Arial"/>
          <w:b/>
          <w:bCs/>
          <w:color w:val="1157A8"/>
          <w:sz w:val="27"/>
          <w:szCs w:val="27"/>
        </w:rPr>
        <w:t xml:space="preserve">Supplementary Examination Integration</w:t>
      </w:r>
    </w:p>
    <w:p>
      <w:pPr>
        <w:pStyle w:val="ListParagraph"/>
        <w:numPr>
          <w:ilvl w:val="0"/>
          <w:numId w:val="2"/>
        </w:numPr>
        <w:spacing w:before="46" w:after="46"/>
      </w:pPr>
      <w:r>
        <w:rPr>
          <w:rFonts w:ascii="Arial" w:cs="Arial" w:eastAsia="Arial" w:hAnsi="Arial"/>
          <w:color w:val="0F1B2D"/>
          <w:sz w:val="22"/>
          <w:szCs w:val="22"/>
        </w:rPr>
        <w:t xml:space="preserve">Supplementary exam registration: Students eligible for supplementary examinations are automatically registered for the supplementary exam schedule. They receive a hall ticket and examination details through the portal.</w:t>
      </w:r>
    </w:p>
    <w:p>
      <w:pPr>
        <w:pStyle w:val="ListParagraph"/>
        <w:numPr>
          <w:ilvl w:val="0"/>
          <w:numId w:val="2"/>
        </w:numPr>
        <w:spacing w:before="46" w:after="46"/>
      </w:pPr>
      <w:r>
        <w:rPr>
          <w:rFonts w:ascii="Arial" w:cs="Arial" w:eastAsia="Arial" w:hAnsi="Arial"/>
          <w:color w:val="0F1B2D"/>
          <w:sz w:val="22"/>
          <w:szCs w:val="22"/>
        </w:rPr>
        <w:t xml:space="preserve">Post-supplementary promotion: After supplementary examination results are entered, the promotion evaluation re-runs for supplementary exam participants — students who now meet all criteria are promoted; those who still do not are formally detained.</w:t>
      </w:r>
    </w:p>
    <w:p>
      <w:pPr>
        <w:pStyle w:val="ListParagraph"/>
        <w:numPr>
          <w:ilvl w:val="0"/>
          <w:numId w:val="2"/>
        </w:numPr>
        <w:spacing w:before="46" w:after="46"/>
      </w:pPr>
      <w:r>
        <w:rPr>
          <w:rFonts w:ascii="Arial" w:cs="Arial" w:eastAsia="Arial" w:hAnsi="Arial"/>
          <w:color w:val="0F1B2D"/>
          <w:sz w:val="22"/>
          <w:szCs w:val="22"/>
        </w:rPr>
        <w:t xml:space="preserve">Backlog tracking: Students who carry forward failed subjects (permitted backlogs) are tracked across academic years — the system maintains a live backlog register showing each student's pending subjects, the maximum semesters within which backlogs must be cleared, and alerts when a student is approaching their backlog clearance deadline.</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C.9: Student Suspension Control</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Suspension Control is the formal administrative mechanism for placing a student's academic activities on hold — temporarily or permanently — due to disciplinary violations, non-payment of fees, pending investigations, or other defined causes. Suspension is one of the most serious administrative actions in a student's lifecycle and carries significant consequences: removal from active academic participation, restricted platform access, freezing of examination registrations, and formal notation in the student's permanent record. The Suspension Control module manages the entire suspension lifecycle with strict process controls — ensuring that no suspension is enacted without proper authorisation, that suspended students receive due notice, and that all suspension actions are reversible with a clear reinstatement pathway.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C.9</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Formal Suspension Lifecycle Management with Due Process Controls</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Suspension Types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Disciplinary, Academic, Financial, Investigative (Precautionary)</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Principal/Director, Academic Registrar, Discipline Committee, Finance Office</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High — High-Impact Action; Requires Strict Process Controls &amp; Audit Trail</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Suspension is a severe academic action that must be treated with procedural seriousness. The Suspension Control module enforces a due process framework — no suspension is executed without: a formal grounds document, appropriate authorisation level, prior notice to the student (except in cases of immediate precautionary suspension), and a defined review/appeal pathway. The module distinguishes between suspension types because each type has different triggers, authorisation requirements, and reinstatement conditions.</w:t>
      </w:r>
    </w:p>
    <w:p>
      <w:pPr>
        <w:pStyle w:val="Heading2"/>
        <w:spacing w:before="280" w:after="90"/>
      </w:pPr>
      <w:r>
        <w:rPr>
          <w:rFonts w:ascii="Arial" w:cs="Arial" w:eastAsia="Arial" w:hAnsi="Arial"/>
          <w:b/>
          <w:bCs/>
          <w:color w:val="1157A8"/>
          <w:sz w:val="27"/>
          <w:szCs w:val="27"/>
        </w:rPr>
        <w:t xml:space="preserve">Suspension Types &amp; Triggers</w:t>
      </w:r>
    </w:p>
    <w:p>
      <w:pPr>
        <w:pStyle w:val="ListParagraph"/>
        <w:numPr>
          <w:ilvl w:val="0"/>
          <w:numId w:val="2"/>
        </w:numPr>
        <w:spacing w:before="46" w:after="46"/>
      </w:pPr>
      <w:r>
        <w:rPr>
          <w:rFonts w:ascii="Arial" w:cs="Arial" w:eastAsia="Arial" w:hAnsi="Arial"/>
          <w:color w:val="0F1B2D"/>
          <w:sz w:val="22"/>
          <w:szCs w:val="22"/>
        </w:rPr>
        <w:t xml:space="preserve">Disciplinary Suspension: Imposed as a consequence of a proven disciplinary violation (see Feature C.12). Triggered by the Discipline Committee's decision after a formal inquiry. Duration ranges from 1 day to permanent expulsion (permanent expulsion is a separate terminal action but uses the same control module). Requires Principal/Director authorisation.</w:t>
      </w:r>
    </w:p>
    <w:p>
      <w:pPr>
        <w:pStyle w:val="ListParagraph"/>
        <w:numPr>
          <w:ilvl w:val="0"/>
          <w:numId w:val="2"/>
        </w:numPr>
        <w:spacing w:before="46" w:after="46"/>
      </w:pPr>
      <w:r>
        <w:rPr>
          <w:rFonts w:ascii="Arial" w:cs="Arial" w:eastAsia="Arial" w:hAnsi="Arial"/>
          <w:color w:val="0F1B2D"/>
          <w:sz w:val="22"/>
          <w:szCs w:val="22"/>
        </w:rPr>
        <w:t xml:space="preserve">Financial Suspension: Imposed when a student's fee outstanding exceeds a configured threshold and payment deadlines have been missed without an approved payment plan. Triggered automatically by the Finance module when the threshold is breached. The student receives escalating warnings before suspension is enacted. Finance Office can trigger and lift this suspension.</w:t>
      </w:r>
    </w:p>
    <w:p>
      <w:pPr>
        <w:pStyle w:val="ListParagraph"/>
        <w:numPr>
          <w:ilvl w:val="0"/>
          <w:numId w:val="2"/>
        </w:numPr>
        <w:spacing w:before="46" w:after="46"/>
      </w:pPr>
      <w:r>
        <w:rPr>
          <w:rFonts w:ascii="Arial" w:cs="Arial" w:eastAsia="Arial" w:hAnsi="Arial"/>
          <w:color w:val="0F1B2D"/>
          <w:sz w:val="22"/>
          <w:szCs w:val="22"/>
        </w:rPr>
        <w:t xml:space="preserve">Academic Suspension: Imposed when a student fails to meet minimum academic standards (e.g., fails all subjects in two consecutive semesters, drops below a minimum CGPA threshold defined by the programme). Triggered by the promotion evaluation (Feature C.8) or by the academic registrar based on continuous monitoring. Requires Academic Registrar authorisation.</w:t>
      </w:r>
    </w:p>
    <w:p>
      <w:pPr>
        <w:pStyle w:val="ListParagraph"/>
        <w:numPr>
          <w:ilvl w:val="0"/>
          <w:numId w:val="2"/>
        </w:numPr>
        <w:spacing w:before="46" w:after="46"/>
      </w:pPr>
      <w:r>
        <w:rPr>
          <w:rFonts w:ascii="Arial" w:cs="Arial" w:eastAsia="Arial" w:hAnsi="Arial"/>
          <w:color w:val="0F1B2D"/>
          <w:sz w:val="22"/>
          <w:szCs w:val="22"/>
        </w:rPr>
        <w:t xml:space="preserve">Investigative (Precautionary) Suspension: Imposed immediately, without prior notice, when a student is under investigation for a serious incident (e.g., academic fraud, assault, theft) and their continued presence on campus poses a risk or may interfere with the investigation. Can be enacted by the Principal with immediate effect. Must be reviewed within 7 days.</w:t>
      </w:r>
    </w:p>
    <w:p>
      <w:pPr>
        <w:pStyle w:val="Heading2"/>
        <w:spacing w:before="280" w:after="90"/>
      </w:pPr>
      <w:r>
        <w:rPr>
          <w:rFonts w:ascii="Arial" w:cs="Arial" w:eastAsia="Arial" w:hAnsi="Arial"/>
          <w:b/>
          <w:bCs/>
          <w:color w:val="1157A8"/>
          <w:sz w:val="27"/>
          <w:szCs w:val="27"/>
        </w:rPr>
        <w:t xml:space="preserve">Suspension Initiation Process</w:t>
      </w:r>
    </w:p>
    <w:p>
      <w:pPr>
        <w:pStyle w:val="ListParagraph"/>
        <w:numPr>
          <w:ilvl w:val="0"/>
          <w:numId w:val="2"/>
        </w:numPr>
        <w:spacing w:before="46" w:after="46"/>
      </w:pPr>
      <w:r>
        <w:rPr>
          <w:rFonts w:ascii="Arial" w:cs="Arial" w:eastAsia="Arial" w:hAnsi="Arial"/>
          <w:color w:val="0F1B2D"/>
          <w:sz w:val="22"/>
          <w:szCs w:val="22"/>
        </w:rPr>
        <w:t xml:space="preserve">Grounds document: Every suspension initiation requires a formal grounds document — specifying the suspension type, the specific policy violations or conditions that trigger the suspension, the relevant dates and evidence references, and the proposed suspension period.</w:t>
      </w:r>
    </w:p>
    <w:p>
      <w:pPr>
        <w:pStyle w:val="ListParagraph"/>
        <w:numPr>
          <w:ilvl w:val="0"/>
          <w:numId w:val="2"/>
        </w:numPr>
        <w:spacing w:before="46" w:after="46"/>
      </w:pPr>
      <w:r>
        <w:rPr>
          <w:rFonts w:ascii="Arial" w:cs="Arial" w:eastAsia="Arial" w:hAnsi="Arial"/>
          <w:color w:val="0F1B2D"/>
          <w:sz w:val="22"/>
          <w:szCs w:val="22"/>
        </w:rPr>
        <w:t xml:space="preserve">Prior notice requirement: Except for Investigative Suspensions, the student must receive a formal notice of intent to suspend — with a minimum 3-working-day notice period to allow the student to respond or seek representation.</w:t>
      </w:r>
    </w:p>
    <w:p>
      <w:pPr>
        <w:pStyle w:val="ListParagraph"/>
        <w:numPr>
          <w:ilvl w:val="0"/>
          <w:numId w:val="2"/>
        </w:numPr>
        <w:spacing w:before="46" w:after="46"/>
      </w:pPr>
      <w:r>
        <w:rPr>
          <w:rFonts w:ascii="Arial" w:cs="Arial" w:eastAsia="Arial" w:hAnsi="Arial"/>
          <w:color w:val="0F1B2D"/>
          <w:sz w:val="22"/>
          <w:szCs w:val="22"/>
        </w:rPr>
        <w:t xml:space="preserve">Student response: Within the notice period, the student may submit a written response. The response is appended to the suspension record and must be reviewed by the authorising authority before the suspension is enacted.</w:t>
      </w:r>
    </w:p>
    <w:p>
      <w:pPr>
        <w:pStyle w:val="ListParagraph"/>
        <w:numPr>
          <w:ilvl w:val="0"/>
          <w:numId w:val="2"/>
        </w:numPr>
        <w:spacing w:before="46" w:after="46"/>
      </w:pPr>
      <w:r>
        <w:rPr>
          <w:rFonts w:ascii="Arial" w:cs="Arial" w:eastAsia="Arial" w:hAnsi="Arial"/>
          <w:color w:val="0F1B2D"/>
          <w:sz w:val="22"/>
          <w:szCs w:val="22"/>
        </w:rPr>
        <w:t xml:space="preserve">Authorisation levels: Disciplinary Suspension — Principal/Director sign-off. Financial Suspension — Finance Head with Academic Registrar co-sign. Academic Suspension — Academic Registrar with Department Head. Investigative Suspension — Principal with immediate effect (review within 7 days).</w:t>
      </w:r>
    </w:p>
    <w:p>
      <w:pPr>
        <w:pStyle w:val="ListParagraph"/>
        <w:numPr>
          <w:ilvl w:val="0"/>
          <w:numId w:val="2"/>
        </w:numPr>
        <w:spacing w:before="46" w:after="46"/>
      </w:pPr>
      <w:r>
        <w:rPr>
          <w:rFonts w:ascii="Arial" w:cs="Arial" w:eastAsia="Arial" w:hAnsi="Arial"/>
          <w:color w:val="0F1B2D"/>
          <w:sz w:val="22"/>
          <w:szCs w:val="22"/>
        </w:rPr>
        <w:t xml:space="preserve">Suspension order: A formal Suspension Order is generated — a signed document specifying the student's name and ID, suspension type, effective date, suspension end date (or 'Pending Review' for open-ended suspensions), the specific grounds, and the reinstatement conditions.</w:t>
      </w:r>
    </w:p>
    <w:p>
      <w:pPr>
        <w:pStyle w:val="Heading2"/>
        <w:spacing w:before="280" w:after="90"/>
      </w:pPr>
      <w:r>
        <w:rPr>
          <w:rFonts w:ascii="Arial" w:cs="Arial" w:eastAsia="Arial" w:hAnsi="Arial"/>
          <w:b/>
          <w:bCs/>
          <w:color w:val="1157A8"/>
          <w:sz w:val="27"/>
          <w:szCs w:val="27"/>
        </w:rPr>
        <w:t xml:space="preserve">Operational Effects of Suspension</w:t>
      </w:r>
    </w:p>
    <w:p>
      <w:pPr>
        <w:pStyle w:val="ListParagraph"/>
        <w:numPr>
          <w:ilvl w:val="0"/>
          <w:numId w:val="2"/>
        </w:numPr>
        <w:spacing w:before="46" w:after="46"/>
      </w:pPr>
      <w:r>
        <w:rPr>
          <w:rFonts w:ascii="Arial" w:cs="Arial" w:eastAsia="Arial" w:hAnsi="Arial"/>
          <w:color w:val="0F1B2D"/>
          <w:sz w:val="22"/>
          <w:szCs w:val="22"/>
        </w:rPr>
        <w:t xml:space="preserve">Platform access restriction: Suspended students' portal access is restricted immediately upon suspension activation — they can log in to see their suspension notice and the reinstatement pathway, but all academic features (course materials, assessments, attendance, gradebooks) are locked.</w:t>
      </w:r>
    </w:p>
    <w:p>
      <w:pPr>
        <w:pStyle w:val="ListParagraph"/>
        <w:numPr>
          <w:ilvl w:val="0"/>
          <w:numId w:val="2"/>
        </w:numPr>
        <w:spacing w:before="46" w:after="46"/>
      </w:pPr>
      <w:r>
        <w:rPr>
          <w:rFonts w:ascii="Arial" w:cs="Arial" w:eastAsia="Arial" w:hAnsi="Arial"/>
          <w:color w:val="0F1B2D"/>
          <w:sz w:val="22"/>
          <w:szCs w:val="22"/>
        </w:rPr>
        <w:t xml:space="preserve">Examination registration freeze: Any active examination registrations are frozen — the student cannot appear in examinations while suspended. Pending examination fees are held pending reinstatement.</w:t>
      </w:r>
    </w:p>
    <w:p>
      <w:pPr>
        <w:pStyle w:val="ListParagraph"/>
        <w:numPr>
          <w:ilvl w:val="0"/>
          <w:numId w:val="2"/>
        </w:numPr>
        <w:spacing w:before="46" w:after="46"/>
      </w:pPr>
      <w:r>
        <w:rPr>
          <w:rFonts w:ascii="Arial" w:cs="Arial" w:eastAsia="Arial" w:hAnsi="Arial"/>
          <w:color w:val="0F1B2D"/>
          <w:sz w:val="22"/>
          <w:szCs w:val="22"/>
        </w:rPr>
        <w:t xml:space="preserve">Academic records freeze: No new academic records (attendance, grades) are generated for a suspended student — their academic record is effectively paused at the point of suspension.</w:t>
      </w:r>
    </w:p>
    <w:p>
      <w:pPr>
        <w:pStyle w:val="ListParagraph"/>
        <w:numPr>
          <w:ilvl w:val="0"/>
          <w:numId w:val="2"/>
        </w:numPr>
        <w:spacing w:before="46" w:after="46"/>
      </w:pPr>
      <w:r>
        <w:rPr>
          <w:rFonts w:ascii="Arial" w:cs="Arial" w:eastAsia="Arial" w:hAnsi="Arial"/>
          <w:color w:val="0F1B2D"/>
          <w:sz w:val="22"/>
          <w:szCs w:val="22"/>
        </w:rPr>
        <w:t xml:space="preserve">Library and facility access: Library borrowing rights, laboratory access, and hostel access are suspended simultaneously — the suspension order propagates to all relevant campus systems via integration.</w:t>
      </w:r>
    </w:p>
    <w:p>
      <w:pPr>
        <w:pStyle w:val="ListParagraph"/>
        <w:numPr>
          <w:ilvl w:val="0"/>
          <w:numId w:val="2"/>
        </w:numPr>
        <w:spacing w:before="46" w:after="46"/>
      </w:pPr>
      <w:r>
        <w:rPr>
          <w:rFonts w:ascii="Arial" w:cs="Arial" w:eastAsia="Arial" w:hAnsi="Arial"/>
          <w:color w:val="0F1B2D"/>
          <w:sz w:val="22"/>
          <w:szCs w:val="22"/>
        </w:rPr>
        <w:t xml:space="preserve">Faculty and staff notification: The student's class teacher, department head, and the examination office are notified of the suspension — they are also given instructions on how to handle any academic work submitted by the student during the suspension period.</w:t>
      </w:r>
    </w:p>
    <w:p>
      <w:pPr>
        <w:pStyle w:val="ListParagraph"/>
        <w:numPr>
          <w:ilvl w:val="0"/>
          <w:numId w:val="2"/>
        </w:numPr>
        <w:spacing w:before="46" w:after="46"/>
      </w:pPr>
      <w:r>
        <w:rPr>
          <w:rFonts w:ascii="Arial" w:cs="Arial" w:eastAsia="Arial" w:hAnsi="Arial"/>
          <w:color w:val="0F1B2D"/>
          <w:sz w:val="22"/>
          <w:szCs w:val="22"/>
        </w:rPr>
        <w:t xml:space="preserve">Guardian notification: A formal notification is sent to the student's registered guardian/parent — including the suspension notice, the grounds, and the contact details for the relevant administrative officer.</w:t>
      </w:r>
    </w:p>
    <w:p>
      <w:pPr>
        <w:pStyle w:val="Heading2"/>
        <w:spacing w:before="280" w:after="90"/>
      </w:pPr>
      <w:r>
        <w:rPr>
          <w:rFonts w:ascii="Arial" w:cs="Arial" w:eastAsia="Arial" w:hAnsi="Arial"/>
          <w:b/>
          <w:bCs/>
          <w:color w:val="1157A8"/>
          <w:sz w:val="27"/>
          <w:szCs w:val="27"/>
        </w:rPr>
        <w:t xml:space="preserve">Suspension Review &amp; Appeal</w:t>
      </w:r>
    </w:p>
    <w:p>
      <w:pPr>
        <w:pStyle w:val="ListParagraph"/>
        <w:numPr>
          <w:ilvl w:val="0"/>
          <w:numId w:val="2"/>
        </w:numPr>
        <w:spacing w:before="46" w:after="46"/>
      </w:pPr>
      <w:r>
        <w:rPr>
          <w:rFonts w:ascii="Arial" w:cs="Arial" w:eastAsia="Arial" w:hAnsi="Arial"/>
          <w:color w:val="0F1B2D"/>
          <w:sz w:val="22"/>
          <w:szCs w:val="22"/>
        </w:rPr>
        <w:t xml:space="preserve">Investigative Suspension review: Must be completed within 7 days. The review determines whether the suspension should continue, be converted to a formal Disciplinary Suspension, or be lifted with immediate reinstatement.</w:t>
      </w:r>
    </w:p>
    <w:p>
      <w:pPr>
        <w:pStyle w:val="ListParagraph"/>
        <w:numPr>
          <w:ilvl w:val="0"/>
          <w:numId w:val="2"/>
        </w:numPr>
        <w:spacing w:before="46" w:after="46"/>
      </w:pPr>
      <w:r>
        <w:rPr>
          <w:rFonts w:ascii="Arial" w:cs="Arial" w:eastAsia="Arial" w:hAnsi="Arial"/>
          <w:color w:val="0F1B2D"/>
          <w:sz w:val="22"/>
          <w:szCs w:val="22"/>
        </w:rPr>
        <w:t xml:space="preserve">Appeal process: Suspended students have the right to appeal all non-Investigative suspensions to a defined appellate authority (typically the Academic Registrar for Financial and Academic suspensions, and the Governing Body for Disciplinary suspensions).</w:t>
      </w:r>
    </w:p>
    <w:p>
      <w:pPr>
        <w:pStyle w:val="ListParagraph"/>
        <w:numPr>
          <w:ilvl w:val="0"/>
          <w:numId w:val="2"/>
        </w:numPr>
        <w:spacing w:before="46" w:after="46"/>
      </w:pPr>
      <w:r>
        <w:rPr>
          <w:rFonts w:ascii="Arial" w:cs="Arial" w:eastAsia="Arial" w:hAnsi="Arial"/>
          <w:color w:val="0F1B2D"/>
          <w:sz w:val="22"/>
          <w:szCs w:val="22"/>
        </w:rPr>
        <w:t xml:space="preserve">Appeal timeline: Appeals must be filed within 10 working days of the suspension order. The appellate authority must issue a decision within 15 working days of receiving the appeal.</w:t>
      </w:r>
    </w:p>
    <w:p>
      <w:pPr>
        <w:pStyle w:val="ListParagraph"/>
        <w:numPr>
          <w:ilvl w:val="0"/>
          <w:numId w:val="2"/>
        </w:numPr>
        <w:spacing w:before="46" w:after="46"/>
      </w:pPr>
      <w:r>
        <w:rPr>
          <w:rFonts w:ascii="Arial" w:cs="Arial" w:eastAsia="Arial" w:hAnsi="Arial"/>
          <w:color w:val="0F1B2D"/>
          <w:sz w:val="22"/>
          <w:szCs w:val="22"/>
        </w:rPr>
        <w:t xml:space="preserve">Appeal outcome recording: All appeal outcomes are recorded in the suspension record — whether the suspension was upheld, modified, or overturned. Overturned suspensions trigger automatic reinstatement.</w:t>
      </w:r>
    </w:p>
    <w:p>
      <w:pPr>
        <w:pStyle w:val="Heading2"/>
        <w:spacing w:before="280" w:after="90"/>
      </w:pPr>
      <w:r>
        <w:rPr>
          <w:rFonts w:ascii="Arial" w:cs="Arial" w:eastAsia="Arial" w:hAnsi="Arial"/>
          <w:b/>
          <w:bCs/>
          <w:color w:val="1157A8"/>
          <w:sz w:val="27"/>
          <w:szCs w:val="27"/>
        </w:rPr>
        <w:t xml:space="preserve">Reinstatement Process</w:t>
      </w:r>
    </w:p>
    <w:p>
      <w:pPr>
        <w:pStyle w:val="ListParagraph"/>
        <w:numPr>
          <w:ilvl w:val="0"/>
          <w:numId w:val="2"/>
        </w:numPr>
        <w:spacing w:before="46" w:after="46"/>
      </w:pPr>
      <w:r>
        <w:rPr>
          <w:rFonts w:ascii="Arial" w:cs="Arial" w:eastAsia="Arial" w:hAnsi="Arial"/>
          <w:color w:val="0F1B2D"/>
          <w:sz w:val="22"/>
          <w:szCs w:val="22"/>
        </w:rPr>
        <w:t xml:space="preserve">Reinstatement conditions: Each suspension has defined reinstatement conditions — e.g., Financial Suspension: payment of all outstanding dues; Disciplinary Suspension: completion of suspension period and submission of undertaking; Academic Suspension: meeting with academic counsellor and agreeing to an academic improvement plan.</w:t>
      </w:r>
    </w:p>
    <w:p>
      <w:pPr>
        <w:pStyle w:val="ListParagraph"/>
        <w:numPr>
          <w:ilvl w:val="0"/>
          <w:numId w:val="2"/>
        </w:numPr>
        <w:spacing w:before="46" w:after="46"/>
      </w:pPr>
      <w:r>
        <w:rPr>
          <w:rFonts w:ascii="Arial" w:cs="Arial" w:eastAsia="Arial" w:hAnsi="Arial"/>
          <w:color w:val="0F1B2D"/>
          <w:sz w:val="22"/>
          <w:szCs w:val="22"/>
        </w:rPr>
        <w:t xml:space="preserve">Reinstatement request: The student submits a formal reinstatement request once they believe the conditions are met — with supporting evidence of condition fulfilment.</w:t>
      </w:r>
    </w:p>
    <w:p>
      <w:pPr>
        <w:pStyle w:val="ListParagraph"/>
        <w:numPr>
          <w:ilvl w:val="0"/>
          <w:numId w:val="2"/>
        </w:numPr>
        <w:spacing w:before="46" w:after="46"/>
      </w:pPr>
      <w:r>
        <w:rPr>
          <w:rFonts w:ascii="Arial" w:cs="Arial" w:eastAsia="Arial" w:hAnsi="Arial"/>
          <w:color w:val="0F1B2D"/>
          <w:sz w:val="22"/>
          <w:szCs w:val="22"/>
        </w:rPr>
        <w:t xml:space="preserve">Reinstatement verification: The relevant administrative office verifies the evidence. Upon confirmation, the reinstatement order is issued.</w:t>
      </w:r>
    </w:p>
    <w:p>
      <w:pPr>
        <w:pStyle w:val="ListParagraph"/>
        <w:numPr>
          <w:ilvl w:val="0"/>
          <w:numId w:val="2"/>
        </w:numPr>
        <w:spacing w:before="46" w:after="46"/>
      </w:pPr>
      <w:r>
        <w:rPr>
          <w:rFonts w:ascii="Arial" w:cs="Arial" w:eastAsia="Arial" w:hAnsi="Arial"/>
          <w:color w:val="0F1B2D"/>
          <w:sz w:val="22"/>
          <w:szCs w:val="22"/>
        </w:rPr>
        <w:t xml:space="preserve">Full access restoration: All system access, examination registrations, and academic record generation are restored immediately upon reinstatement. The student receives a formal reinstatement letter.</w:t>
      </w:r>
    </w:p>
    <w:p>
      <w:pPr>
        <w:pStyle w:val="ListParagraph"/>
        <w:numPr>
          <w:ilvl w:val="0"/>
          <w:numId w:val="2"/>
        </w:numPr>
        <w:spacing w:before="46" w:after="46"/>
      </w:pPr>
      <w:r>
        <w:rPr>
          <w:rFonts w:ascii="Arial" w:cs="Arial" w:eastAsia="Arial" w:hAnsi="Arial"/>
          <w:color w:val="0F1B2D"/>
          <w:sz w:val="22"/>
          <w:szCs w:val="22"/>
        </w:rPr>
        <w:t xml:space="preserve">Permanent record notation: Both the suspension and reinstatement are permanently noted in the student's academic record — but the visibility of this notation to external parties (recruiters, other institutes) is governed by the institute's configured privacy policy.</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C.10: Student Graduation Tracking</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Graduation Tracking manages the complex, multi-criteria verification process that determines whether a student has fulfilled all requirements for the award of their degree or diploma — and orchestrates the administrative processes that follow: graduation ceremony coordination, degree certificate generation, transcript issuance, alumni record creation, and final clearance of all institutional dues and obligations. Graduation is the terminal milestone of the student lifecycle, and the system must ensure that no student is incorrectly graduated (missing requirements), no eligible student is incorrectly withheld from graduation, and all post-graduation documents are issued accurately, promptly, and with full cryptographic authenticity.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C.10</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Graduation Eligibility Verification &amp; Convocation Administration System</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Examination Office, Academic Registrar, Finance Office, Library, Principal</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Output</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Degree Certificate, Official Transcript, Provisional Certificate, Alumni Record</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Critical — Terminal Student Lifecycle Event; High Accuracy &amp; Document Quality Required</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Graduation Tracking operates through a systematic multi-department clearance process followed by graduation eligibility certification, degree document generation, and alumni record creation. The process is designed to be thorough but efficient — automated cross-system checks do the bulk of the verification work, flagging only genuine issues for human review. The result is a graduation process that is faster and more accurate than purely manual clearance, while maintaining the full documentary rigour required for official degree issuance.</w:t>
      </w:r>
    </w:p>
    <w:p>
      <w:pPr>
        <w:pStyle w:val="Heading2"/>
        <w:spacing w:before="280" w:after="90"/>
      </w:pPr>
      <w:r>
        <w:rPr>
          <w:rFonts w:ascii="Arial" w:cs="Arial" w:eastAsia="Arial" w:hAnsi="Arial"/>
          <w:b/>
          <w:bCs/>
          <w:color w:val="1157A8"/>
          <w:sz w:val="27"/>
          <w:szCs w:val="27"/>
        </w:rPr>
        <w:t xml:space="preserve">Graduation Eligibility Criteria</w:t>
      </w:r>
    </w:p>
    <w:p>
      <w:pPr>
        <w:pStyle w:val="ListParagraph"/>
        <w:numPr>
          <w:ilvl w:val="0"/>
          <w:numId w:val="2"/>
        </w:numPr>
        <w:spacing w:before="46" w:after="46"/>
      </w:pPr>
      <w:r>
        <w:rPr>
          <w:rFonts w:ascii="Arial" w:cs="Arial" w:eastAsia="Arial" w:hAnsi="Arial"/>
          <w:color w:val="0F1B2D"/>
          <w:sz w:val="22"/>
          <w:szCs w:val="22"/>
        </w:rPr>
        <w:t xml:space="preserve">Academic completion: All required subjects across all semesters/years completed and passed, with all backlog subjects cleared. Minimum final CGPA/percentage met. Dissertation/thesis/final project submitted, evaluated, and graded.</w:t>
      </w:r>
    </w:p>
    <w:p>
      <w:pPr>
        <w:pStyle w:val="ListParagraph"/>
        <w:numPr>
          <w:ilvl w:val="0"/>
          <w:numId w:val="2"/>
        </w:numPr>
        <w:spacing w:before="46" w:after="46"/>
      </w:pPr>
      <w:r>
        <w:rPr>
          <w:rFonts w:ascii="Arial" w:cs="Arial" w:eastAsia="Arial" w:hAnsi="Arial"/>
          <w:color w:val="0F1B2D"/>
          <w:sz w:val="22"/>
          <w:szCs w:val="22"/>
        </w:rPr>
        <w:t xml:space="preserve">Credit requirement: Total credits earned equals or exceeds the programme's minimum graduation credit requirement — with the breakdown across core subjects, elective subjects, lab/practical components, and co-curricular credits (if applicable).</w:t>
      </w:r>
    </w:p>
    <w:p>
      <w:pPr>
        <w:pStyle w:val="ListParagraph"/>
        <w:numPr>
          <w:ilvl w:val="0"/>
          <w:numId w:val="2"/>
        </w:numPr>
        <w:spacing w:before="46" w:after="46"/>
      </w:pPr>
      <w:r>
        <w:rPr>
          <w:rFonts w:ascii="Arial" w:cs="Arial" w:eastAsia="Arial" w:hAnsi="Arial"/>
          <w:color w:val="0F1B2D"/>
          <w:sz w:val="22"/>
          <w:szCs w:val="22"/>
        </w:rPr>
        <w:t xml:space="preserve">Duration requirement: Student has been enrolled for at least the minimum programme duration — preventing graduation of students who may have attempted to complete the programme ahead of the minimum residential requirement.</w:t>
      </w:r>
    </w:p>
    <w:p>
      <w:pPr>
        <w:pStyle w:val="ListParagraph"/>
        <w:numPr>
          <w:ilvl w:val="0"/>
          <w:numId w:val="2"/>
        </w:numPr>
        <w:spacing w:before="46" w:after="46"/>
      </w:pPr>
      <w:r>
        <w:rPr>
          <w:rFonts w:ascii="Arial" w:cs="Arial" w:eastAsia="Arial" w:hAnsi="Arial"/>
          <w:color w:val="0F1B2D"/>
          <w:sz w:val="22"/>
          <w:szCs w:val="22"/>
        </w:rPr>
        <w:t xml:space="preserve">Maximum duration check: Students who have exceeded the maximum permitted programme duration without completing requirements are flagged as 'Duration Exceeded' — their status requires academic committee review before graduation can proceed.</w:t>
      </w:r>
    </w:p>
    <w:p>
      <w:pPr>
        <w:pStyle w:val="ListParagraph"/>
        <w:numPr>
          <w:ilvl w:val="0"/>
          <w:numId w:val="2"/>
        </w:numPr>
        <w:spacing w:before="46" w:after="46"/>
      </w:pPr>
      <w:r>
        <w:rPr>
          <w:rFonts w:ascii="Arial" w:cs="Arial" w:eastAsia="Arial" w:hAnsi="Arial"/>
          <w:color w:val="0F1B2D"/>
          <w:sz w:val="22"/>
          <w:szCs w:val="22"/>
        </w:rPr>
        <w:t xml:space="preserve">Non-academic requirements: Completion of any mandatory non-academic programme requirements — e.g., NSS/NCC hours (for Indian programmes), mandatory industry internship, community service credits, or co-curricular participation requirements.</w:t>
      </w:r>
    </w:p>
    <w:p>
      <w:pPr>
        <w:pStyle w:val="Heading2"/>
        <w:spacing w:before="280" w:after="90"/>
      </w:pPr>
      <w:r>
        <w:rPr>
          <w:rFonts w:ascii="Arial" w:cs="Arial" w:eastAsia="Arial" w:hAnsi="Arial"/>
          <w:b/>
          <w:bCs/>
          <w:color w:val="1157A8"/>
          <w:sz w:val="27"/>
          <w:szCs w:val="27"/>
        </w:rPr>
        <w:t xml:space="preserve">Multi-Department Clearance Process</w:t>
      </w:r>
    </w:p>
    <w:p>
      <w:pPr>
        <w:pStyle w:val="ListParagraph"/>
        <w:numPr>
          <w:ilvl w:val="0"/>
          <w:numId w:val="2"/>
        </w:numPr>
        <w:spacing w:before="46" w:after="46"/>
      </w:pPr>
      <w:r>
        <w:rPr>
          <w:rFonts w:ascii="Arial" w:cs="Arial" w:eastAsia="Arial" w:hAnsi="Arial"/>
          <w:color w:val="0F1B2D"/>
          <w:sz w:val="22"/>
          <w:szCs w:val="22"/>
        </w:rPr>
        <w:t xml:space="preserve">Clearance departments: Each department relevant to student obligations issues an independent clearance. Typical clearance departments: Examination Office (all examination dues cleared, no grade disputes pending), Finance Office (all fees and fines paid, no outstanding dues), Library (all borrowed books returned, no library dues), Hostel Office (hostel dues cleared, room vacated — for resident students), Laboratory (all lab equipment returned, no damage dues), and Sports/Extra-curricular (equipment returned if applicable).</w:t>
      </w:r>
    </w:p>
    <w:p>
      <w:pPr>
        <w:pStyle w:val="ListParagraph"/>
        <w:numPr>
          <w:ilvl w:val="0"/>
          <w:numId w:val="2"/>
        </w:numPr>
        <w:spacing w:before="46" w:after="46"/>
      </w:pPr>
      <w:r>
        <w:rPr>
          <w:rFonts w:ascii="Arial" w:cs="Arial" w:eastAsia="Arial" w:hAnsi="Arial"/>
          <w:color w:val="0F1B2D"/>
          <w:sz w:val="22"/>
          <w:szCs w:val="22"/>
        </w:rPr>
        <w:t xml:space="preserve">Automated clearance checks: Most clearance checks are automated — the system queries each department's records and issues clearance automatically if no issues are found. Finance clearance is automatic if fee ledger shows zero balance. Library clearance is automatic if the library system confirms no outstanding loans.</w:t>
      </w:r>
    </w:p>
    <w:p>
      <w:pPr>
        <w:pStyle w:val="ListParagraph"/>
        <w:numPr>
          <w:ilvl w:val="0"/>
          <w:numId w:val="2"/>
        </w:numPr>
        <w:spacing w:before="46" w:after="46"/>
      </w:pPr>
      <w:r>
        <w:rPr>
          <w:rFonts w:ascii="Arial" w:cs="Arial" w:eastAsia="Arial" w:hAnsi="Arial"/>
          <w:color w:val="0F1B2D"/>
          <w:sz w:val="22"/>
          <w:szCs w:val="22"/>
        </w:rPr>
        <w:t xml:space="preserve">Manual clearance items: Some clearances require manual sign-off — typically items that cannot be automatically verified (e.g., physical equipment return). These appear as pending items in the relevant department's clearance queue.</w:t>
      </w:r>
    </w:p>
    <w:p>
      <w:pPr>
        <w:pStyle w:val="ListParagraph"/>
        <w:numPr>
          <w:ilvl w:val="0"/>
          <w:numId w:val="2"/>
        </w:numPr>
        <w:spacing w:before="46" w:after="46"/>
      </w:pPr>
      <w:r>
        <w:rPr>
          <w:rFonts w:ascii="Arial" w:cs="Arial" w:eastAsia="Arial" w:hAnsi="Arial"/>
          <w:color w:val="0F1B2D"/>
          <w:sz w:val="22"/>
          <w:szCs w:val="22"/>
        </w:rPr>
        <w:t xml:space="preserve">Student clearance portal: Students see a real-time clearance dashboard showing each department's clearance status — green checkmark for cleared, amber for pending student action, red for an issue requiring resolution.</w:t>
      </w:r>
    </w:p>
    <w:p>
      <w:pPr>
        <w:pStyle w:val="ListParagraph"/>
        <w:numPr>
          <w:ilvl w:val="0"/>
          <w:numId w:val="2"/>
        </w:numPr>
        <w:spacing w:before="46" w:after="46"/>
      </w:pPr>
      <w:r>
        <w:rPr>
          <w:rFonts w:ascii="Arial" w:cs="Arial" w:eastAsia="Arial" w:hAnsi="Arial"/>
          <w:color w:val="0F1B2D"/>
          <w:sz w:val="22"/>
          <w:szCs w:val="22"/>
        </w:rPr>
        <w:t xml:space="preserve">Clearance deadline: A graduated clearance deadline is configured — students must complete all clearances by this deadline to be included in the current graduation cycle. Students with pending clearances after the deadline are moved to the next graduation cycle.</w:t>
      </w:r>
    </w:p>
    <w:p>
      <w:pPr>
        <w:pStyle w:val="Heading2"/>
        <w:spacing w:before="280" w:after="90"/>
      </w:pPr>
      <w:r>
        <w:rPr>
          <w:rFonts w:ascii="Arial" w:cs="Arial" w:eastAsia="Arial" w:hAnsi="Arial"/>
          <w:b/>
          <w:bCs/>
          <w:color w:val="1157A8"/>
          <w:sz w:val="27"/>
          <w:szCs w:val="27"/>
        </w:rPr>
        <w:t xml:space="preserve">Graduation List Generation &amp; Approval</w:t>
      </w:r>
    </w:p>
    <w:p>
      <w:pPr>
        <w:pStyle w:val="ListParagraph"/>
        <w:numPr>
          <w:ilvl w:val="0"/>
          <w:numId w:val="2"/>
        </w:numPr>
        <w:spacing w:before="46" w:after="46"/>
      </w:pPr>
      <w:r>
        <w:rPr>
          <w:rFonts w:ascii="Arial" w:cs="Arial" w:eastAsia="Arial" w:hAnsi="Arial"/>
          <w:color w:val="0F1B2D"/>
          <w:sz w:val="22"/>
          <w:szCs w:val="22"/>
        </w:rPr>
        <w:t xml:space="preserve">Automated graduation list: After the clearance deadline, the system automatically generates the graduation list — all students who have met all eligibility criteria and all clearances. This list is submitted to the Academic Registrar for review.</w:t>
      </w:r>
    </w:p>
    <w:p>
      <w:pPr>
        <w:pStyle w:val="ListParagraph"/>
        <w:numPr>
          <w:ilvl w:val="0"/>
          <w:numId w:val="2"/>
        </w:numPr>
        <w:spacing w:before="46" w:after="46"/>
      </w:pPr>
      <w:r>
        <w:rPr>
          <w:rFonts w:ascii="Arial" w:cs="Arial" w:eastAsia="Arial" w:hAnsi="Arial"/>
          <w:color w:val="0F1B2D"/>
          <w:sz w:val="22"/>
          <w:szCs w:val="22"/>
        </w:rPr>
        <w:t xml:space="preserve">Withheld students list: A parallel list of students withheld from graduation — each with the specific outstanding issue. This list is reviewed by the academic committee and each student is notified of their specific outstanding requirement.</w:t>
      </w:r>
    </w:p>
    <w:p>
      <w:pPr>
        <w:pStyle w:val="ListParagraph"/>
        <w:numPr>
          <w:ilvl w:val="0"/>
          <w:numId w:val="2"/>
        </w:numPr>
        <w:spacing w:before="46" w:after="46"/>
      </w:pPr>
      <w:r>
        <w:rPr>
          <w:rFonts w:ascii="Arial" w:cs="Arial" w:eastAsia="Arial" w:hAnsi="Arial"/>
          <w:color w:val="0F1B2D"/>
          <w:sz w:val="22"/>
          <w:szCs w:val="22"/>
        </w:rPr>
        <w:t xml:space="preserve">Graduation list approval: The Academic Registrar presents the graduation list to the Principal/Director for formal approval — the approved list becomes the authoritative record for degree issuance.</w:t>
      </w:r>
    </w:p>
    <w:p>
      <w:pPr>
        <w:pStyle w:val="ListParagraph"/>
        <w:numPr>
          <w:ilvl w:val="0"/>
          <w:numId w:val="2"/>
        </w:numPr>
        <w:spacing w:before="46" w:after="46"/>
      </w:pPr>
      <w:r>
        <w:rPr>
          <w:rFonts w:ascii="Arial" w:cs="Arial" w:eastAsia="Arial" w:hAnsi="Arial"/>
          <w:color w:val="0F1B2D"/>
          <w:sz w:val="22"/>
          <w:szCs w:val="22"/>
        </w:rPr>
        <w:t xml:space="preserve">Exam board confirmation: For affiliated universities, the graduation list must be submitted to the university's examination board for ratification — the system generates the required submission format for the university.</w:t>
      </w:r>
    </w:p>
    <w:p>
      <w:pPr>
        <w:pStyle w:val="Heading2"/>
        <w:spacing w:before="280" w:after="90"/>
      </w:pPr>
      <w:r>
        <w:rPr>
          <w:rFonts w:ascii="Arial" w:cs="Arial" w:eastAsia="Arial" w:hAnsi="Arial"/>
          <w:b/>
          <w:bCs/>
          <w:color w:val="1157A8"/>
          <w:sz w:val="27"/>
          <w:szCs w:val="27"/>
        </w:rPr>
        <w:t xml:space="preserve">Degree &amp; Certificate Document Generation</w:t>
      </w:r>
    </w:p>
    <w:p>
      <w:pPr>
        <w:pStyle w:val="ListParagraph"/>
        <w:numPr>
          <w:ilvl w:val="0"/>
          <w:numId w:val="2"/>
        </w:numPr>
        <w:spacing w:before="46" w:after="46"/>
      </w:pPr>
      <w:r>
        <w:rPr>
          <w:rFonts w:ascii="Arial" w:cs="Arial" w:eastAsia="Arial" w:hAnsi="Arial"/>
          <w:color w:val="0F1B2D"/>
          <w:sz w:val="22"/>
          <w:szCs w:val="22"/>
        </w:rPr>
        <w:t xml:space="preserve">Provisional Certificate: Issued immediately after graduation approval — allows the student to demonstrate their degree completion to employers before the formal degree certificate is ready. Contains: student name, programme, specialisation, final percentage/CGPA, year of passing, and the institute's digital signature.</w:t>
      </w:r>
    </w:p>
    <w:p>
      <w:pPr>
        <w:pStyle w:val="ListParagraph"/>
        <w:numPr>
          <w:ilvl w:val="0"/>
          <w:numId w:val="2"/>
        </w:numPr>
        <w:spacing w:before="46" w:after="46"/>
      </w:pPr>
      <w:r>
        <w:rPr>
          <w:rFonts w:ascii="Arial" w:cs="Arial" w:eastAsia="Arial" w:hAnsi="Arial"/>
          <w:color w:val="0F1B2D"/>
          <w:sz w:val="22"/>
          <w:szCs w:val="22"/>
        </w:rPr>
        <w:t xml:space="preserve">Official Transcript: A comprehensive academic record covering all semesters — every subject, marks obtained, credits earned, backlog history, and CGPA progression. Digitally signed and issued in both PDF (for sharing) and a secure, verifiable digital format.</w:t>
      </w:r>
    </w:p>
    <w:p>
      <w:pPr>
        <w:pStyle w:val="ListParagraph"/>
        <w:numPr>
          <w:ilvl w:val="0"/>
          <w:numId w:val="2"/>
        </w:numPr>
        <w:spacing w:before="46" w:after="46"/>
      </w:pPr>
      <w:r>
        <w:rPr>
          <w:rFonts w:ascii="Arial" w:cs="Arial" w:eastAsia="Arial" w:hAnsi="Arial"/>
          <w:color w:val="0F1B2D"/>
          <w:sz w:val="22"/>
          <w:szCs w:val="22"/>
        </w:rPr>
        <w:t xml:space="preserve">Degree Certificate: The formal, legally recognised degree document — bearing the student's full name (as per national ID), programme title, class/distinction, date of graduation, and the signatures of the Principal and Examination Controller (digital signatures for online copies, physical for printed copies).</w:t>
      </w:r>
    </w:p>
    <w:p>
      <w:pPr>
        <w:pStyle w:val="ListParagraph"/>
        <w:numPr>
          <w:ilvl w:val="0"/>
          <w:numId w:val="2"/>
        </w:numPr>
        <w:spacing w:before="46" w:after="46"/>
      </w:pPr>
      <w:r>
        <w:rPr>
          <w:rFonts w:ascii="Arial" w:cs="Arial" w:eastAsia="Arial" w:hAnsi="Arial"/>
          <w:color w:val="0F1B2D"/>
          <w:sz w:val="22"/>
          <w:szCs w:val="22"/>
        </w:rPr>
        <w:t xml:space="preserve">Migration Certificate: Issued for students who will seek admission to another institution for higher studies.</w:t>
      </w:r>
    </w:p>
    <w:p>
      <w:pPr>
        <w:pStyle w:val="ListParagraph"/>
        <w:numPr>
          <w:ilvl w:val="0"/>
          <w:numId w:val="2"/>
        </w:numPr>
        <w:spacing w:before="46" w:after="46"/>
      </w:pPr>
      <w:r>
        <w:rPr>
          <w:rFonts w:ascii="Arial" w:cs="Arial" w:eastAsia="Arial" w:hAnsi="Arial"/>
          <w:color w:val="0F1B2D"/>
          <w:sz w:val="22"/>
          <w:szCs w:val="22"/>
        </w:rPr>
        <w:t xml:space="preserve">Character Certificate: A formal attestation of the student's conduct during their programme.</w:t>
      </w:r>
    </w:p>
    <w:p>
      <w:pPr>
        <w:pStyle w:val="ListParagraph"/>
        <w:numPr>
          <w:ilvl w:val="0"/>
          <w:numId w:val="2"/>
        </w:numPr>
        <w:spacing w:before="46" w:after="46"/>
      </w:pPr>
      <w:r>
        <w:rPr>
          <w:rFonts w:ascii="Arial" w:cs="Arial" w:eastAsia="Arial" w:hAnsi="Arial"/>
          <w:color w:val="0F1B2D"/>
          <w:sz w:val="22"/>
          <w:szCs w:val="22"/>
        </w:rPr>
        <w:t xml:space="preserve">Document security: All digitally issued documents are signed with RSA-2048, include a unique document ID and QR code verification link, and are stored permanently in the student's document vault.</w:t>
      </w:r>
    </w:p>
    <w:p>
      <w:pPr>
        <w:pStyle w:val="Heading2"/>
        <w:spacing w:before="280" w:after="90"/>
      </w:pPr>
      <w:r>
        <w:rPr>
          <w:rFonts w:ascii="Arial" w:cs="Arial" w:eastAsia="Arial" w:hAnsi="Arial"/>
          <w:b/>
          <w:bCs/>
          <w:color w:val="1157A8"/>
          <w:sz w:val="27"/>
          <w:szCs w:val="27"/>
        </w:rPr>
        <w:t xml:space="preserve">Convocation Ceremony Management</w:t>
      </w:r>
    </w:p>
    <w:p>
      <w:pPr>
        <w:pStyle w:val="ListParagraph"/>
        <w:numPr>
          <w:ilvl w:val="0"/>
          <w:numId w:val="2"/>
        </w:numPr>
        <w:spacing w:before="46" w:after="46"/>
      </w:pPr>
      <w:r>
        <w:rPr>
          <w:rFonts w:ascii="Arial" w:cs="Arial" w:eastAsia="Arial" w:hAnsi="Arial"/>
          <w:color w:val="0F1B2D"/>
          <w:sz w:val="22"/>
          <w:szCs w:val="22"/>
        </w:rPr>
        <w:t xml:space="preserve">Graduation ceremony registration: Graduating students are invited to register for the convocation ceremony — recording their attendance, guest count, gown size, and any special accommodation requirements.</w:t>
      </w:r>
    </w:p>
    <w:p>
      <w:pPr>
        <w:pStyle w:val="ListParagraph"/>
        <w:numPr>
          <w:ilvl w:val="0"/>
          <w:numId w:val="2"/>
        </w:numPr>
        <w:spacing w:before="46" w:after="46"/>
      </w:pPr>
      <w:r>
        <w:rPr>
          <w:rFonts w:ascii="Arial" w:cs="Arial" w:eastAsia="Arial" w:hAnsi="Arial"/>
          <w:color w:val="0F1B2D"/>
          <w:sz w:val="22"/>
          <w:szCs w:val="22"/>
        </w:rPr>
        <w:t xml:space="preserve">Ceremony slot management: For large graduating classes, the system manages staggered ceremony slots — by department, programme, or alphabetical order — ensuring manageable ceremony sizes.</w:t>
      </w:r>
    </w:p>
    <w:p>
      <w:pPr>
        <w:pStyle w:val="ListParagraph"/>
        <w:numPr>
          <w:ilvl w:val="0"/>
          <w:numId w:val="2"/>
        </w:numPr>
        <w:spacing w:before="46" w:after="46"/>
      </w:pPr>
      <w:r>
        <w:rPr>
          <w:rFonts w:ascii="Arial" w:cs="Arial" w:eastAsia="Arial" w:hAnsi="Arial"/>
          <w:color w:val="0F1B2D"/>
          <w:sz w:val="22"/>
          <w:szCs w:val="22"/>
        </w:rPr>
        <w:t xml:space="preserve">Degree-on-stage tracking: The system generates ceremony programmes, stage call order lists, and name pronunciation guides for ceremony organisers.</w:t>
      </w:r>
    </w:p>
    <w:p>
      <w:pPr>
        <w:pStyle w:val="ListParagraph"/>
        <w:numPr>
          <w:ilvl w:val="0"/>
          <w:numId w:val="2"/>
        </w:numPr>
        <w:spacing w:before="46" w:after="46"/>
      </w:pPr>
      <w:r>
        <w:rPr>
          <w:rFonts w:ascii="Arial" w:cs="Arial" w:eastAsia="Arial" w:hAnsi="Arial"/>
          <w:color w:val="0F1B2D"/>
          <w:sz w:val="22"/>
          <w:szCs w:val="22"/>
        </w:rPr>
        <w:t xml:space="preserve">Absentee degree collection: Students unable to attend the ceremony register for postal degree dispatch or in-person collection — the system manages the queue and dispatch tracking.</w:t>
      </w:r>
    </w:p>
    <w:p>
      <w:pPr>
        <w:pStyle w:val="Heading2"/>
        <w:spacing w:before="280" w:after="90"/>
      </w:pPr>
      <w:r>
        <w:rPr>
          <w:rFonts w:ascii="Arial" w:cs="Arial" w:eastAsia="Arial" w:hAnsi="Arial"/>
          <w:b/>
          <w:bCs/>
          <w:color w:val="1157A8"/>
          <w:sz w:val="27"/>
          <w:szCs w:val="27"/>
        </w:rPr>
        <w:t xml:space="preserve">Alumni Record Creation</w:t>
      </w:r>
    </w:p>
    <w:p>
      <w:pPr>
        <w:pStyle w:val="ListParagraph"/>
        <w:numPr>
          <w:ilvl w:val="0"/>
          <w:numId w:val="2"/>
        </w:numPr>
        <w:spacing w:before="46" w:after="46"/>
      </w:pPr>
      <w:r>
        <w:rPr>
          <w:rFonts w:ascii="Arial" w:cs="Arial" w:eastAsia="Arial" w:hAnsi="Arial"/>
          <w:color w:val="0F1B2D"/>
          <w:sz w:val="22"/>
          <w:szCs w:val="22"/>
        </w:rPr>
        <w:t xml:space="preserve">Automatic alumni profile: Upon graduation finalisation, the student's record is transitioned from 'Current Student' to 'Alumni' status — creating a permanent alumni profile.</w:t>
      </w:r>
    </w:p>
    <w:p>
      <w:pPr>
        <w:pStyle w:val="ListParagraph"/>
        <w:numPr>
          <w:ilvl w:val="0"/>
          <w:numId w:val="2"/>
        </w:numPr>
        <w:spacing w:before="46" w:after="46"/>
      </w:pPr>
      <w:r>
        <w:rPr>
          <w:rFonts w:ascii="Arial" w:cs="Arial" w:eastAsia="Arial" w:hAnsi="Arial"/>
          <w:color w:val="0F1B2D"/>
          <w:sz w:val="22"/>
          <w:szCs w:val="22"/>
        </w:rPr>
        <w:t xml:space="preserve">Alumni ID: A unique alumni ID is assigned — distinct from the student ID — for lifelong identification in the institute's alumni network.</w:t>
      </w:r>
    </w:p>
    <w:p>
      <w:pPr>
        <w:pStyle w:val="ListParagraph"/>
        <w:numPr>
          <w:ilvl w:val="0"/>
          <w:numId w:val="2"/>
        </w:numPr>
        <w:spacing w:before="46" w:after="46"/>
      </w:pPr>
      <w:r>
        <w:rPr>
          <w:rFonts w:ascii="Arial" w:cs="Arial" w:eastAsia="Arial" w:hAnsi="Arial"/>
          <w:color w:val="0F1B2D"/>
          <w:sz w:val="22"/>
          <w:szCs w:val="22"/>
        </w:rPr>
        <w:t xml:space="preserve">Placement outcome recording: The alumni record captures the student's first employment details (company, role, CTC — provided voluntarily) for placement statistics.</w:t>
      </w:r>
    </w:p>
    <w:p>
      <w:pPr>
        <w:pStyle w:val="ListParagraph"/>
        <w:numPr>
          <w:ilvl w:val="0"/>
          <w:numId w:val="2"/>
        </w:numPr>
        <w:spacing w:before="46" w:after="46"/>
      </w:pPr>
      <w:r>
        <w:rPr>
          <w:rFonts w:ascii="Arial" w:cs="Arial" w:eastAsia="Arial" w:hAnsi="Arial"/>
          <w:color w:val="0F1B2D"/>
          <w:sz w:val="22"/>
          <w:szCs w:val="22"/>
        </w:rPr>
        <w:t xml:space="preserve">Platform access transition: The student's platform access transitions from academic modules to alumni modules — access to learning resources, job board, and alumni networking features is maintained while administrative and academic modules are archived.</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C.11: Student Attendance Records</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Attendance Records is the comprehensive attendance management system covering the full lifecycle of attendance data — from daily marking through real-time monitoring, parent and student notifications, condonation management, examination eligibility computation, and regulatory reporting. Attendance is both a welfare signal (identifying students who may need support) and a regulatory requirement (minimum attendance thresholds govern examination eligibility in most Indian academic programmes). The module is built for accuracy, transparency, and actionability — every attendance mark is auditable, every student and parent can see the current status in real time, and the system proactively flags students at risk of losing examination eligibility before it is too late to course-correct.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C.11</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Comprehensive Attendance Lifecycle Management System</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Marking Methods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Faculty Portal, Mobile App, Biometric Integration, Proxy Detection</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Faculty (marking), Student (viewing), Parent (notifications), HOD/Admin (reporting)</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Critical — Examination Eligibility Gating; Regulatory Compliance Requirement</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The attendance system operates on a subject-wise, session-wise granularity — attendance is not recorded once per day but for every individual class session of every subject. This granularity enables accurate subject-wise attendance computation (required for subject-level examination eligibility), precise identification of pattern-based absenteeism (e.g., always absent on Mondays, always absent in a specific faculty's class), and meaningful welfare monitoring. The system automatically generates attendance registers, computes running percentages, flags at-risk students, and produces regulatory reports.</w:t>
      </w:r>
    </w:p>
    <w:p>
      <w:pPr>
        <w:pStyle w:val="Heading2"/>
        <w:spacing w:before="280" w:after="90"/>
      </w:pPr>
      <w:r>
        <w:rPr>
          <w:rFonts w:ascii="Arial" w:cs="Arial" w:eastAsia="Arial" w:hAnsi="Arial"/>
          <w:b/>
          <w:bCs/>
          <w:color w:val="1157A8"/>
          <w:sz w:val="27"/>
          <w:szCs w:val="27"/>
        </w:rPr>
        <w:t xml:space="preserve">Attendance Marking Modes</w:t>
      </w:r>
    </w:p>
    <w:p>
      <w:pPr>
        <w:pStyle w:val="ListParagraph"/>
        <w:numPr>
          <w:ilvl w:val="0"/>
          <w:numId w:val="2"/>
        </w:numPr>
        <w:spacing w:before="46" w:after="46"/>
      </w:pPr>
      <w:r>
        <w:rPr>
          <w:rFonts w:ascii="Arial" w:cs="Arial" w:eastAsia="Arial" w:hAnsi="Arial"/>
          <w:color w:val="0F1B2D"/>
          <w:sz w:val="22"/>
          <w:szCs w:val="22"/>
        </w:rPr>
        <w:t xml:space="preserve">Faculty portal marking: Faculty open their class's attendance register in the portal at the start of each session. Students are listed with their photo (to prevent proxy marking). Faculty mark each student as Present, Absent, Late (configurable cutoff — students arriving after N minutes are marked Late, which may count as half-attendance or absent per institute policy), or On Duty (for students absent due to authorised institute activities — sports, events, official duty).</w:t>
      </w:r>
    </w:p>
    <w:p>
      <w:pPr>
        <w:pStyle w:val="ListParagraph"/>
        <w:numPr>
          <w:ilvl w:val="0"/>
          <w:numId w:val="2"/>
        </w:numPr>
        <w:spacing w:before="46" w:after="46"/>
      </w:pPr>
      <w:r>
        <w:rPr>
          <w:rFonts w:ascii="Arial" w:cs="Arial" w:eastAsia="Arial" w:hAnsi="Arial"/>
          <w:color w:val="0F1B2D"/>
          <w:sz w:val="22"/>
          <w:szCs w:val="22"/>
        </w:rPr>
        <w:t xml:space="preserve">Mobile app marking: Faculty can mark attendance via the EcoSkiller mobile app — supporting both individual marking and quick bulk-mark (mark all present, then individually adjust absents) for efficiency.</w:t>
      </w:r>
    </w:p>
    <w:p>
      <w:pPr>
        <w:pStyle w:val="ListParagraph"/>
        <w:numPr>
          <w:ilvl w:val="0"/>
          <w:numId w:val="2"/>
        </w:numPr>
        <w:spacing w:before="46" w:after="46"/>
      </w:pPr>
      <w:r>
        <w:rPr>
          <w:rFonts w:ascii="Arial" w:cs="Arial" w:eastAsia="Arial" w:hAnsi="Arial"/>
          <w:color w:val="0F1B2D"/>
          <w:sz w:val="22"/>
          <w:szCs w:val="22"/>
        </w:rPr>
        <w:t xml:space="preserve">Biometric integration: For institutes with fingerprint or facial recognition biometric systems, attendance data is automatically imported from the biometric system into the platform — faculty verify and can override biometric records if needed.</w:t>
      </w:r>
    </w:p>
    <w:p>
      <w:pPr>
        <w:pStyle w:val="ListParagraph"/>
        <w:numPr>
          <w:ilvl w:val="0"/>
          <w:numId w:val="2"/>
        </w:numPr>
        <w:spacing w:before="46" w:after="46"/>
      </w:pPr>
      <w:r>
        <w:rPr>
          <w:rFonts w:ascii="Arial" w:cs="Arial" w:eastAsia="Arial" w:hAnsi="Arial"/>
          <w:color w:val="0F1B2D"/>
          <w:sz w:val="22"/>
          <w:szCs w:val="22"/>
        </w:rPr>
        <w:t xml:space="preserve">QR code attendance (Experimental): Students scan a time-limited, session-specific QR code displayed by the faculty to record their attendance — the QR code changes every 2 minutes to prevent sharing.</w:t>
      </w:r>
    </w:p>
    <w:p>
      <w:pPr>
        <w:pStyle w:val="ListParagraph"/>
        <w:numPr>
          <w:ilvl w:val="0"/>
          <w:numId w:val="2"/>
        </w:numPr>
        <w:spacing w:before="46" w:after="46"/>
      </w:pPr>
      <w:r>
        <w:rPr>
          <w:rFonts w:ascii="Arial" w:cs="Arial" w:eastAsia="Arial" w:hAnsi="Arial"/>
          <w:color w:val="0F1B2D"/>
          <w:sz w:val="22"/>
          <w:szCs w:val="22"/>
        </w:rPr>
        <w:t xml:space="preserve">Geo-fenced attendance: For field trips or off-campus sessions, GPS geo-fencing can be used — student app must confirm location within the designated geo-fence for the attendance to register as Present.</w:t>
      </w:r>
    </w:p>
    <w:p>
      <w:pPr>
        <w:pStyle w:val="ListParagraph"/>
        <w:numPr>
          <w:ilvl w:val="0"/>
          <w:numId w:val="2"/>
        </w:numPr>
        <w:spacing w:before="46" w:after="46"/>
      </w:pPr>
      <w:r>
        <w:rPr>
          <w:rFonts w:ascii="Arial" w:cs="Arial" w:eastAsia="Arial" w:hAnsi="Arial"/>
          <w:color w:val="0F1B2D"/>
          <w:sz w:val="22"/>
          <w:szCs w:val="22"/>
        </w:rPr>
        <w:t xml:space="preserve">Attendance submission deadline: Faculty must submit attendance within a configurable window after the session end (default 2 hours). Unsubmitted attendance registers are flagged and a reminder is sent to the faculty.</w:t>
      </w:r>
    </w:p>
    <w:p>
      <w:pPr>
        <w:pStyle w:val="Heading2"/>
        <w:spacing w:before="280" w:after="90"/>
      </w:pPr>
      <w:r>
        <w:rPr>
          <w:rFonts w:ascii="Arial" w:cs="Arial" w:eastAsia="Arial" w:hAnsi="Arial"/>
          <w:b/>
          <w:bCs/>
          <w:color w:val="1157A8"/>
          <w:sz w:val="27"/>
          <w:szCs w:val="27"/>
        </w:rPr>
        <w:t xml:space="preserve">Attendance Data Structure</w:t>
      </w:r>
    </w:p>
    <w:p>
      <w:pPr>
        <w:pStyle w:val="ListParagraph"/>
        <w:numPr>
          <w:ilvl w:val="0"/>
          <w:numId w:val="2"/>
        </w:numPr>
        <w:spacing w:before="46" w:after="46"/>
      </w:pPr>
      <w:r>
        <w:rPr>
          <w:rFonts w:ascii="Arial" w:cs="Arial" w:eastAsia="Arial" w:hAnsi="Arial"/>
          <w:color w:val="0F1B2D"/>
          <w:sz w:val="22"/>
          <w:szCs w:val="22"/>
        </w:rPr>
        <w:t xml:space="preserve">Session record: Each attendance entry records — Date, Subject, Session type (Lecture/Tutorial/Lab/Seminar), Session number, Faculty name, Start and end time, Student ID, Status (P/A/L/OD), and marking timestamp.</w:t>
      </w:r>
    </w:p>
    <w:p>
      <w:pPr>
        <w:pStyle w:val="ListParagraph"/>
        <w:numPr>
          <w:ilvl w:val="0"/>
          <w:numId w:val="2"/>
        </w:numPr>
        <w:spacing w:before="46" w:after="46"/>
      </w:pPr>
      <w:r>
        <w:rPr>
          <w:rFonts w:ascii="Arial" w:cs="Arial" w:eastAsia="Arial" w:hAnsi="Arial"/>
          <w:color w:val="0F1B2D"/>
          <w:sz w:val="22"/>
          <w:szCs w:val="22"/>
        </w:rPr>
        <w:t xml:space="preserve">Subject-wise register: A running register per subject per section showing every session with each student's status — the canonical attendance record for examination eligibility computation.</w:t>
      </w:r>
    </w:p>
    <w:p>
      <w:pPr>
        <w:pStyle w:val="ListParagraph"/>
        <w:numPr>
          <w:ilvl w:val="0"/>
          <w:numId w:val="2"/>
        </w:numPr>
        <w:spacing w:before="46" w:after="46"/>
      </w:pPr>
      <w:r>
        <w:rPr>
          <w:rFonts w:ascii="Arial" w:cs="Arial" w:eastAsia="Arial" w:hAnsi="Arial"/>
          <w:color w:val="0F1B2D"/>
          <w:sz w:val="22"/>
          <w:szCs w:val="22"/>
        </w:rPr>
        <w:t xml:space="preserve">Period-wise summary: Weekly, monthly, and semester summaries automatically computed from session records — showing total classes held, total classes attended, and percentage for each student per subject.</w:t>
      </w:r>
    </w:p>
    <w:p>
      <w:pPr>
        <w:pStyle w:val="ListParagraph"/>
        <w:numPr>
          <w:ilvl w:val="0"/>
          <w:numId w:val="2"/>
        </w:numPr>
        <w:spacing w:before="46" w:after="46"/>
      </w:pPr>
      <w:r>
        <w:rPr>
          <w:rFonts w:ascii="Arial" w:cs="Arial" w:eastAsia="Arial" w:hAnsi="Arial"/>
          <w:color w:val="0F1B2D"/>
          <w:sz w:val="22"/>
          <w:szCs w:val="22"/>
        </w:rPr>
        <w:t xml:space="preserve">Audit trail: Any change to a submitted attendance record (corrections by faculty, administrative adjustments) is logged with the original value, new value, changed-by, reason, and timestamp.</w:t>
      </w:r>
    </w:p>
    <w:p>
      <w:pPr>
        <w:pStyle w:val="Heading2"/>
        <w:spacing w:before="280" w:after="90"/>
      </w:pPr>
      <w:r>
        <w:rPr>
          <w:rFonts w:ascii="Arial" w:cs="Arial" w:eastAsia="Arial" w:hAnsi="Arial"/>
          <w:b/>
          <w:bCs/>
          <w:color w:val="1157A8"/>
          <w:sz w:val="27"/>
          <w:szCs w:val="27"/>
        </w:rPr>
        <w:t xml:space="preserve">Real-Time Monitoring &amp; Alerts</w:t>
      </w:r>
    </w:p>
    <w:p>
      <w:pPr>
        <w:pStyle w:val="ListParagraph"/>
        <w:numPr>
          <w:ilvl w:val="0"/>
          <w:numId w:val="2"/>
        </w:numPr>
        <w:spacing w:before="46" w:after="46"/>
      </w:pPr>
      <w:r>
        <w:rPr>
          <w:rFonts w:ascii="Arial" w:cs="Arial" w:eastAsia="Arial" w:hAnsi="Arial"/>
          <w:color w:val="0F1B2D"/>
          <w:sz w:val="22"/>
          <w:szCs w:val="22"/>
        </w:rPr>
        <w:t xml:space="preserve">Student dashboard: Each student sees their current attendance percentage per subject, overall attendance, the number of additional classes they must attend to reach the minimum threshold, and the maximum classes they can miss while staying above the threshold — updated after every session.</w:t>
      </w:r>
    </w:p>
    <w:p>
      <w:pPr>
        <w:pStyle w:val="ListParagraph"/>
        <w:numPr>
          <w:ilvl w:val="0"/>
          <w:numId w:val="2"/>
        </w:numPr>
        <w:spacing w:before="46" w:after="46"/>
      </w:pPr>
      <w:r>
        <w:rPr>
          <w:rFonts w:ascii="Arial" w:cs="Arial" w:eastAsia="Arial" w:hAnsi="Arial"/>
          <w:color w:val="0F1B2D"/>
          <w:sz w:val="22"/>
          <w:szCs w:val="22"/>
        </w:rPr>
        <w:t xml:space="preserve">Parent/Guardian notifications: Configurable automated SMS and email notifications to registered parents/guardians — triggered when a student is marked absent, when attendance drops below a configurable threshold (e.g., 80%), and weekly attendance summaries.</w:t>
      </w:r>
    </w:p>
    <w:p>
      <w:pPr>
        <w:pStyle w:val="ListParagraph"/>
        <w:numPr>
          <w:ilvl w:val="0"/>
          <w:numId w:val="2"/>
        </w:numPr>
        <w:spacing w:before="46" w:after="46"/>
      </w:pPr>
      <w:r>
        <w:rPr>
          <w:rFonts w:ascii="Arial" w:cs="Arial" w:eastAsia="Arial" w:hAnsi="Arial"/>
          <w:color w:val="0F1B2D"/>
          <w:sz w:val="22"/>
          <w:szCs w:val="22"/>
        </w:rPr>
        <w:t xml:space="preserve">Faculty absence pattern detection: The system identifies students who are consistently absent for a specific faculty's sessions — flagged for the class teacher as a potential faculty-student relationship issue needing pastoral intervention.</w:t>
      </w:r>
    </w:p>
    <w:p>
      <w:pPr>
        <w:pStyle w:val="ListParagraph"/>
        <w:numPr>
          <w:ilvl w:val="0"/>
          <w:numId w:val="2"/>
        </w:numPr>
        <w:spacing w:before="46" w:after="46"/>
      </w:pPr>
      <w:r>
        <w:rPr>
          <w:rFonts w:ascii="Arial" w:cs="Arial" w:eastAsia="Arial" w:hAnsi="Arial"/>
          <w:color w:val="0F1B2D"/>
          <w:sz w:val="22"/>
          <w:szCs w:val="22"/>
        </w:rPr>
        <w:t xml:space="preserve">At-risk student alerts: Students whose attendance percentage falls below configurable threshold levels receive tiered alerts: Yellow alert (below 85%), Orange alert (below 80%), Red alert (below 75%) — with appropriate escalations to class teacher, department head, and parents.</w:t>
      </w:r>
    </w:p>
    <w:p>
      <w:pPr>
        <w:pStyle w:val="ListParagraph"/>
        <w:numPr>
          <w:ilvl w:val="0"/>
          <w:numId w:val="2"/>
        </w:numPr>
        <w:spacing w:before="46" w:after="46"/>
      </w:pPr>
      <w:r>
        <w:rPr>
          <w:rFonts w:ascii="Arial" w:cs="Arial" w:eastAsia="Arial" w:hAnsi="Arial"/>
          <w:color w:val="0F1B2D"/>
          <w:sz w:val="22"/>
          <w:szCs w:val="22"/>
        </w:rPr>
        <w:t xml:space="preserve">Head of Department dashboard: HOD sees a section-wise and student-wise attendance overview — with drill-down to identify students at risk and the subjects with lowest class attendance rates.</w:t>
      </w:r>
    </w:p>
    <w:p>
      <w:pPr>
        <w:pStyle w:val="Heading2"/>
        <w:spacing w:before="280" w:after="90"/>
      </w:pPr>
      <w:r>
        <w:rPr>
          <w:rFonts w:ascii="Arial" w:cs="Arial" w:eastAsia="Arial" w:hAnsi="Arial"/>
          <w:b/>
          <w:bCs/>
          <w:color w:val="1157A8"/>
          <w:sz w:val="27"/>
          <w:szCs w:val="27"/>
        </w:rPr>
        <w:t xml:space="preserve">Leave &amp; Condonation Management</w:t>
      </w:r>
    </w:p>
    <w:p>
      <w:pPr>
        <w:pStyle w:val="ListParagraph"/>
        <w:numPr>
          <w:ilvl w:val="0"/>
          <w:numId w:val="2"/>
        </w:numPr>
        <w:spacing w:before="46" w:after="46"/>
      </w:pPr>
      <w:r>
        <w:rPr>
          <w:rFonts w:ascii="Arial" w:cs="Arial" w:eastAsia="Arial" w:hAnsi="Arial"/>
          <w:color w:val="0F1B2D"/>
          <w:sz w:val="22"/>
          <w:szCs w:val="22"/>
        </w:rPr>
        <w:t xml:space="preserve">Medical leave application: Students can submit a medical leave application through the portal — uploading a medical certificate. Approved medical leaves are recorded as 'Medical Absent' (a separate category from plain Absent) and may qualify for condonation under the institute's policy.</w:t>
      </w:r>
    </w:p>
    <w:p>
      <w:pPr>
        <w:pStyle w:val="ListParagraph"/>
        <w:numPr>
          <w:ilvl w:val="0"/>
          <w:numId w:val="2"/>
        </w:numPr>
        <w:spacing w:before="46" w:after="46"/>
      </w:pPr>
      <w:r>
        <w:rPr>
          <w:rFonts w:ascii="Arial" w:cs="Arial" w:eastAsia="Arial" w:hAnsi="Arial"/>
          <w:color w:val="0F1B2D"/>
          <w:sz w:val="22"/>
          <w:szCs w:val="22"/>
        </w:rPr>
        <w:t xml:space="preserve">Condonation calculation: At semester end, students who are below the minimum attendance threshold but have documented grounds for condonation (medical, institutional duty, bereavement) have their attendance recomputed with condonation applied — per the configured condonation rules.</w:t>
      </w:r>
    </w:p>
    <w:p>
      <w:pPr>
        <w:pStyle w:val="ListParagraph"/>
        <w:numPr>
          <w:ilvl w:val="0"/>
          <w:numId w:val="2"/>
        </w:numPr>
        <w:spacing w:before="46" w:after="46"/>
      </w:pPr>
      <w:r>
        <w:rPr>
          <w:rFonts w:ascii="Arial" w:cs="Arial" w:eastAsia="Arial" w:hAnsi="Arial"/>
          <w:color w:val="0F1B2D"/>
          <w:sz w:val="22"/>
          <w:szCs w:val="22"/>
        </w:rPr>
        <w:t xml:space="preserve">Condonation approval: Condonation requests above a threshold (e.g., more than 5% condonation needed) require department head approval. The system routes the request, shows the attendance data and supporting documents, and records the approval decision.</w:t>
      </w:r>
    </w:p>
    <w:p>
      <w:pPr>
        <w:pStyle w:val="ListParagraph"/>
        <w:numPr>
          <w:ilvl w:val="0"/>
          <w:numId w:val="2"/>
        </w:numPr>
        <w:spacing w:before="46" w:after="46"/>
      </w:pPr>
      <w:r>
        <w:rPr>
          <w:rFonts w:ascii="Arial" w:cs="Arial" w:eastAsia="Arial" w:hAnsi="Arial"/>
          <w:color w:val="0F1B2D"/>
          <w:sz w:val="22"/>
          <w:szCs w:val="22"/>
        </w:rPr>
        <w:t xml:space="preserve">On-Duty management: Attendance for students on official duty (representing the institute in events, placement activities, sports) is recorded as OD (On Duty) — counted as present for attendance purposes. OD must be pre-approved by the faculty/administrator responsible for the activity.</w:t>
      </w:r>
    </w:p>
    <w:p>
      <w:pPr>
        <w:pStyle w:val="Heading2"/>
        <w:spacing w:before="280" w:after="90"/>
      </w:pPr>
      <w:r>
        <w:rPr>
          <w:rFonts w:ascii="Arial" w:cs="Arial" w:eastAsia="Arial" w:hAnsi="Arial"/>
          <w:b/>
          <w:bCs/>
          <w:color w:val="1157A8"/>
          <w:sz w:val="27"/>
          <w:szCs w:val="27"/>
        </w:rPr>
        <w:t xml:space="preserve">Examination Eligibility Computation</w:t>
      </w:r>
    </w:p>
    <w:p>
      <w:pPr>
        <w:pStyle w:val="ListParagraph"/>
        <w:numPr>
          <w:ilvl w:val="0"/>
          <w:numId w:val="2"/>
        </w:numPr>
        <w:spacing w:before="46" w:after="46"/>
      </w:pPr>
      <w:r>
        <w:rPr>
          <w:rFonts w:ascii="Arial" w:cs="Arial" w:eastAsia="Arial" w:hAnsi="Arial"/>
          <w:color w:val="0F1B2D"/>
          <w:sz w:val="22"/>
          <w:szCs w:val="22"/>
        </w:rPr>
        <w:t xml:space="preserve">Eligibility rule: Based on the programme's configured minimum attendance percentage (typically 75%), the system computes each student's eligibility for each subject's examination independently.</w:t>
      </w:r>
    </w:p>
    <w:p>
      <w:pPr>
        <w:pStyle w:val="ListParagraph"/>
        <w:numPr>
          <w:ilvl w:val="0"/>
          <w:numId w:val="2"/>
        </w:numPr>
        <w:spacing w:before="46" w:after="46"/>
      </w:pPr>
      <w:r>
        <w:rPr>
          <w:rFonts w:ascii="Arial" w:cs="Arial" w:eastAsia="Arial" w:hAnsi="Arial"/>
          <w:color w:val="0F1B2D"/>
          <w:sz w:val="22"/>
          <w:szCs w:val="22"/>
        </w:rPr>
        <w:t xml:space="preserve">Eligibility report: Generated before the examination registration window opens — showing each student's attendance percentage per subject, their eligibility status (Eligible / Not Eligible / Conditionally Eligible pending condonation), and any subjects they are not eligible to appear in.</w:t>
      </w:r>
    </w:p>
    <w:p>
      <w:pPr>
        <w:pStyle w:val="ListParagraph"/>
        <w:numPr>
          <w:ilvl w:val="0"/>
          <w:numId w:val="2"/>
        </w:numPr>
        <w:spacing w:before="46" w:after="46"/>
      </w:pPr>
      <w:r>
        <w:rPr>
          <w:rFonts w:ascii="Arial" w:cs="Arial" w:eastAsia="Arial" w:hAnsi="Arial"/>
          <w:color w:val="0F1B2D"/>
          <w:sz w:val="22"/>
          <w:szCs w:val="22"/>
        </w:rPr>
        <w:t xml:space="preserve">Detention due to attendance: Students with attendance below the minimum in one or more subjects are prevented from registering for those subjects' examinations — this block cannot be overridden without an approved condonation.</w:t>
      </w:r>
    </w:p>
    <w:p>
      <w:pPr>
        <w:pStyle w:val="ListParagraph"/>
        <w:numPr>
          <w:ilvl w:val="0"/>
          <w:numId w:val="2"/>
        </w:numPr>
        <w:spacing w:before="46" w:after="46"/>
      </w:pPr>
      <w:r>
        <w:rPr>
          <w:rFonts w:ascii="Arial" w:cs="Arial" w:eastAsia="Arial" w:hAnsi="Arial"/>
          <w:color w:val="0F1B2D"/>
          <w:sz w:val="22"/>
          <w:szCs w:val="22"/>
        </w:rPr>
        <w:t xml:space="preserve">Borderline cases: Students within 1% of the eligibility threshold are flagged separately for department head review — enabling a final practical check before examinations begin.</w:t>
      </w:r>
    </w:p>
    <w:p>
      <w:pPr>
        <w:pStyle w:val="Heading2"/>
        <w:spacing w:before="280" w:after="90"/>
      </w:pPr>
      <w:r>
        <w:rPr>
          <w:rFonts w:ascii="Arial" w:cs="Arial" w:eastAsia="Arial" w:hAnsi="Arial"/>
          <w:b/>
          <w:bCs/>
          <w:color w:val="1157A8"/>
          <w:sz w:val="27"/>
          <w:szCs w:val="27"/>
        </w:rPr>
        <w:t xml:space="preserve">Regulatory Reporting</w:t>
      </w:r>
    </w:p>
    <w:p>
      <w:pPr>
        <w:pStyle w:val="ListParagraph"/>
        <w:numPr>
          <w:ilvl w:val="0"/>
          <w:numId w:val="2"/>
        </w:numPr>
        <w:spacing w:before="46" w:after="46"/>
      </w:pPr>
      <w:r>
        <w:rPr>
          <w:rFonts w:ascii="Arial" w:cs="Arial" w:eastAsia="Arial" w:hAnsi="Arial"/>
          <w:color w:val="0F1B2D"/>
          <w:sz w:val="22"/>
          <w:szCs w:val="22"/>
        </w:rPr>
        <w:t xml:space="preserve">Monthly attendance register: The official monthly attendance register (required by most affiliating universities) is auto-generated — formatted to university specifications, signed by the faculty, and submitted digitally or printed for physical submission.</w:t>
      </w:r>
    </w:p>
    <w:p>
      <w:pPr>
        <w:pStyle w:val="ListParagraph"/>
        <w:numPr>
          <w:ilvl w:val="0"/>
          <w:numId w:val="2"/>
        </w:numPr>
        <w:spacing w:before="46" w:after="46"/>
      </w:pPr>
      <w:r>
        <w:rPr>
          <w:rFonts w:ascii="Arial" w:cs="Arial" w:eastAsia="Arial" w:hAnsi="Arial"/>
          <w:color w:val="0F1B2D"/>
          <w:sz w:val="22"/>
          <w:szCs w:val="22"/>
        </w:rPr>
        <w:t xml:space="preserve">Annual attendance report: A comprehensive year-end attendance report for regulatory bodies — aggregate data by programme, year, and subject, with no individual student data (for privacy compliance).</w:t>
      </w:r>
    </w:p>
    <w:p>
      <w:pPr>
        <w:pStyle w:val="ListParagraph"/>
        <w:numPr>
          <w:ilvl w:val="0"/>
          <w:numId w:val="2"/>
        </w:numPr>
        <w:spacing w:before="46" w:after="46"/>
      </w:pPr>
      <w:r>
        <w:rPr>
          <w:rFonts w:ascii="Arial" w:cs="Arial" w:eastAsia="Arial" w:hAnsi="Arial"/>
          <w:color w:val="0F1B2D"/>
          <w:sz w:val="22"/>
          <w:szCs w:val="22"/>
        </w:rPr>
        <w:t xml:space="preserve">NAAC/NBA data: Attendance data feeds directly into accreditation report formats — the system generates the required data tables for NAAC, NBA, and other accreditation bodies in the specified format.</w:t>
      </w:r>
    </w:p>
    <w:p>
      <w:pPr>
        <w:pBdr>
          <w:bottom w:val="single" w:color="0B2B4E" w:sz="6" w:space="1"/>
        </w:pBdr>
        <w:spacing w:before="200" w:after="200"/>
      </w:pPr>
    </w:p>
    <w:p>
      <w:pPr>
        <w:pageBreakBefore/>
      </w:pPr>
    </w:p>
    <w:p>
      <w:pPr>
        <w:pStyle w:val="Heading1"/>
        <w:spacing w:before="480" w:after="150"/>
      </w:pPr>
      <w:r>
        <w:rPr>
          <w:rFonts w:ascii="Arial" w:cs="Arial" w:eastAsia="Arial" w:hAnsi="Arial"/>
          <w:b/>
          <w:bCs/>
          <w:color w:val="0B2B4E"/>
          <w:sz w:val="36"/>
          <w:szCs w:val="36"/>
        </w:rPr>
        <w:t xml:space="preserve">Feature C.12: Student Disciplinary Records</w:t>
      </w:r>
    </w:p>
    <w:p>
      <w:pPr>
        <w:pBdr>
          <w:bottom w:val="single" w:color="1157A8" w:sz="6" w:space="1"/>
        </w:pBdr>
        <w:spacing w:before="200" w:after="200"/>
      </w:pPr>
    </w:p>
    <w:p>
      <w:pPr>
        <w:pStyle w:val="Heading2"/>
        <w:spacing w:before="280" w:after="90"/>
      </w:pPr>
      <w:r>
        <w:rPr>
          <w:rFonts w:ascii="Arial" w:cs="Arial" w:eastAsia="Arial" w:hAnsi="Arial"/>
          <w:b/>
          <w:bCs/>
          <w:color w:val="1157A8"/>
          <w:sz w:val="27"/>
          <w:szCs w:val="27"/>
        </w:rPr>
        <w:t xml:space="preserve">Overview</w:t>
      </w:r>
    </w:p>
    <w:p>
      <w:pPr>
        <w:spacing w:before="60" w:after="60"/>
      </w:pPr>
      <w:r>
        <w:rPr>
          <w:rFonts w:ascii="Arial" w:cs="Arial" w:eastAsia="Arial" w:hAnsi="Arial"/>
          <w:color w:val="0F1B2D"/>
          <w:sz w:val="22"/>
          <w:szCs w:val="22"/>
        </w:rPr>
        <w:t xml:space="preserve">Student Disciplinary Records is the formal case management and documentation system for all disciplinary matters involving students — from minor infractions handled informally by faculty through serious misconduct requiring a formal inquiry and committee decision. The system ensures that every disciplinary incident is recorded, every action taken is documented, all due process requirements are met, and the final resolution is recorded in the student's permanent record with appropriate privacy controls. Disciplinary records must balance two competing imperatives: institutional accountability (disciplinary actions must be documented, consistently applied, and defensible) and student rights (students must have due process protections, appeal rights, and privacy in matters that do not warrant permanent notation).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Feature ID</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C.12</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Module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Student Lifecycle Management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Type</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Disciplinary Case Lifecycle Management — Incident to Resolution</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Case Types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Minor Infraction, Moderate Misconduct, Serious Misconduct, Academic Dishonesty</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Users</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Faculty (reporter), Class Teacher, Discipline Committee, Principal, Student</w:t>
            </w:r>
          </w:p>
        </w:tc>
      </w:tr>
      <w:tr>
        <w:tc>
          <w:tcPr>
            <w:tcW w:type="dxa" w:w="2700"/>
            <w:tcBorders>
              <w:top w:val="single" w:color="9BB6D6" w:sz="1"/>
              <w:left w:val="single" w:color="9BB6D6" w:sz="1"/>
              <w:bottom w:val="single" w:color="9BB6D6" w:sz="1"/>
              <w:right w:val="single" w:color="9BB6D6" w:sz="1"/>
            </w:tcBorders>
            <w:shd w:fill="E9F1FD" w:val="clear"/>
            <w:tcMar>
              <w:top w:type="dxa" w:w="90"/>
              <w:left w:type="dxa" w:w="150"/>
              <w:bottom w:type="dxa" w:w="90"/>
              <w:right w:type="dxa" w:w="150"/>
            </w:tcMar>
          </w:tcPr>
          <w:p>
            <w:r>
              <w:rPr>
                <w:rFonts w:ascii="Arial" w:cs="Arial" w:eastAsia="Arial" w:hAnsi="Arial"/>
                <w:b/>
                <w:bCs/>
                <w:color w:val="0B2B4E"/>
                <w:sz w:val="20"/>
                <w:szCs w:val="20"/>
              </w:rPr>
              <w:t xml:space="preserve">Priority</w:t>
            </w:r>
          </w:p>
        </w:tc>
        <w:tc>
          <w:tcPr>
            <w:tcW w:type="dxa" w:w="6660"/>
            <w:tcBorders>
              <w:top w:val="single" w:color="9BB6D6" w:sz="1"/>
              <w:left w:val="single" w:color="9BB6D6" w:sz="1"/>
              <w:bottom w:val="single" w:color="9BB6D6" w:sz="1"/>
              <w:right w:val="single" w:color="9BB6D6" w:sz="1"/>
            </w:tcBorders>
            <w:tcMar>
              <w:top w:type="dxa" w:w="90"/>
              <w:left w:type="dxa" w:w="150"/>
              <w:bottom w:type="dxa" w:w="90"/>
              <w:right w:type="dxa" w:w="150"/>
            </w:tcMar>
          </w:tcPr>
          <w:p>
            <w:r>
              <w:rPr>
                <w:rFonts w:ascii="Arial" w:cs="Arial" w:eastAsia="Arial" w:hAnsi="Arial"/>
                <w:color w:val="0F1B2D"/>
                <w:sz w:val="20"/>
                <w:szCs w:val="20"/>
              </w:rPr>
              <w:t xml:space="preserve">High — Legal &amp; Ethical Sensitivity; Requires Strict Due Process &amp; Audit Controls</w:t>
            </w:r>
          </w:p>
        </w:tc>
      </w:tr>
    </w:tbl>
    <w:p>
      <w:pPr>
        <w:pStyle w:val="Heading2"/>
        <w:spacing w:before="280" w:after="90"/>
      </w:pPr>
      <w:r>
        <w:rPr>
          <w:rFonts w:ascii="Arial" w:cs="Arial" w:eastAsia="Arial" w:hAnsi="Arial"/>
          <w:b/>
          <w:bCs/>
          <w:color w:val="1157A8"/>
          <w:sz w:val="27"/>
          <w:szCs w:val="27"/>
        </w:rPr>
        <w:t xml:space="preserve">Detailed Description</w:t>
      </w:r>
    </w:p>
    <w:p>
      <w:pPr>
        <w:spacing w:before="60" w:after="60"/>
      </w:pPr>
      <w:r>
        <w:rPr>
          <w:rFonts w:ascii="Arial" w:cs="Arial" w:eastAsia="Arial" w:hAnsi="Arial"/>
          <w:color w:val="0F1B2D"/>
          <w:sz w:val="22"/>
          <w:szCs w:val="22"/>
        </w:rPr>
        <w:t xml:space="preserve">The Disciplinary Records module operates as a case management system — every disciplinary matter is a 'case' with a unique case ID, a defined lifecycle (Report → Investigation → Hearing → Decision → Action → Resolution), and complete documentation at every stage. The module enforces due process requirements — specific steps cannot be skipped, minimum notice periods must be observed, and certain actions (like suspension or expulsion) require multiple levels of authorisation. All case data is stored permanently and is subject to configured access controls — ensuring that only authorised personnel see sensitive disciplinary information.</w:t>
      </w:r>
    </w:p>
    <w:p>
      <w:pPr>
        <w:pStyle w:val="Heading2"/>
        <w:spacing w:before="280" w:after="90"/>
      </w:pPr>
      <w:r>
        <w:rPr>
          <w:rFonts w:ascii="Arial" w:cs="Arial" w:eastAsia="Arial" w:hAnsi="Arial"/>
          <w:b/>
          <w:bCs/>
          <w:color w:val="1157A8"/>
          <w:sz w:val="27"/>
          <w:szCs w:val="27"/>
        </w:rPr>
        <w:t xml:space="preserve">Disciplinary Case Types &amp; Severity Levels</w:t>
      </w:r>
    </w:p>
    <w:p>
      <w:pPr>
        <w:pStyle w:val="ListParagraph"/>
        <w:numPr>
          <w:ilvl w:val="0"/>
          <w:numId w:val="2"/>
        </w:numPr>
        <w:spacing w:before="46" w:after="46"/>
      </w:pPr>
      <w:r>
        <w:rPr>
          <w:rFonts w:ascii="Arial" w:cs="Arial" w:eastAsia="Arial" w:hAnsi="Arial"/>
          <w:color w:val="0F1B2D"/>
          <w:sz w:val="22"/>
          <w:szCs w:val="22"/>
        </w:rPr>
        <w:t xml:space="preserve">Level 1 — Minor Infraction: First-time, low-severity violations handled informally. Examples: minor classroom disruption, uniform violation, late submission of assignment without excuse, mobile phone use in class. Handled by class teacher or faculty. Outcome: verbal or written warning. Record: Logged internally but not in formal disciplinary record unless repeated.</w:t>
      </w:r>
    </w:p>
    <w:p>
      <w:pPr>
        <w:pStyle w:val="ListParagraph"/>
        <w:numPr>
          <w:ilvl w:val="0"/>
          <w:numId w:val="2"/>
        </w:numPr>
        <w:spacing w:before="46" w:after="46"/>
      </w:pPr>
      <w:r>
        <w:rPr>
          <w:rFonts w:ascii="Arial" w:cs="Arial" w:eastAsia="Arial" w:hAnsi="Arial"/>
          <w:color w:val="0F1B2D"/>
          <w:sz w:val="22"/>
          <w:szCs w:val="22"/>
        </w:rPr>
        <w:t xml:space="preserve">Level 2 — Moderate Misconduct: Repeated minor infractions or first-time moderate violations. Examples: habitual absenteeism, disrespectful behaviour toward faculty, minor property damage, unauthorised absence from campus event. Handled by class teacher + department head. Outcome: written warning, fine, community service. Formal disciplinary record entry created.</w:t>
      </w:r>
    </w:p>
    <w:p>
      <w:pPr>
        <w:pStyle w:val="ListParagraph"/>
        <w:numPr>
          <w:ilvl w:val="0"/>
          <w:numId w:val="2"/>
        </w:numPr>
        <w:spacing w:before="46" w:after="46"/>
      </w:pPr>
      <w:r>
        <w:rPr>
          <w:rFonts w:ascii="Arial" w:cs="Arial" w:eastAsia="Arial" w:hAnsi="Arial"/>
          <w:color w:val="0F1B2D"/>
          <w:sz w:val="22"/>
          <w:szCs w:val="22"/>
        </w:rPr>
        <w:t xml:space="preserve">Level 3 — Serious Misconduct: First-time serious violations or escalated moderate misconduct. Examples: bullying/harassment of peers, cheating in internal assessments, substance possession, significant property damage, threatening behaviour. Requires formal Discipline Committee hearing. Outcome: suspension, expulsion, police complaint. Full formal record with committee proceedings.</w:t>
      </w:r>
    </w:p>
    <w:p>
      <w:pPr>
        <w:pStyle w:val="ListParagraph"/>
        <w:numPr>
          <w:ilvl w:val="0"/>
          <w:numId w:val="2"/>
        </w:numPr>
        <w:spacing w:before="46" w:after="46"/>
      </w:pPr>
      <w:r>
        <w:rPr>
          <w:rFonts w:ascii="Arial" w:cs="Arial" w:eastAsia="Arial" w:hAnsi="Arial"/>
          <w:color w:val="0F1B2D"/>
          <w:sz w:val="22"/>
          <w:szCs w:val="22"/>
        </w:rPr>
        <w:t xml:space="preserve">Level 4 — Academic Dishonesty: A specific category for academic integrity violations — plagiarism, examination fraud, impersonation, data fabrication, submission of purchased assignments. Handled by the Examination Office in conjunction with the Discipline Committee. Outcomes can include grade penalty, course failure, suspension, or expulsion depending on severity.</w:t>
      </w:r>
    </w:p>
    <w:p>
      <w:pPr>
        <w:pStyle w:val="Heading2"/>
        <w:spacing w:before="280" w:after="90"/>
      </w:pPr>
      <w:r>
        <w:rPr>
          <w:rFonts w:ascii="Arial" w:cs="Arial" w:eastAsia="Arial" w:hAnsi="Arial"/>
          <w:b/>
          <w:bCs/>
          <w:color w:val="1157A8"/>
          <w:sz w:val="27"/>
          <w:szCs w:val="27"/>
        </w:rPr>
        <w:t xml:space="preserve">Incident Reporting</w:t>
      </w:r>
    </w:p>
    <w:p>
      <w:pPr>
        <w:pStyle w:val="ListParagraph"/>
        <w:numPr>
          <w:ilvl w:val="0"/>
          <w:numId w:val="2"/>
        </w:numPr>
        <w:spacing w:before="46" w:after="46"/>
      </w:pPr>
      <w:r>
        <w:rPr>
          <w:rFonts w:ascii="Arial" w:cs="Arial" w:eastAsia="Arial" w:hAnsi="Arial"/>
          <w:color w:val="0F1B2D"/>
          <w:sz w:val="22"/>
          <w:szCs w:val="22"/>
        </w:rPr>
        <w:t xml:space="preserve">Reporter: Any faculty member, staff member, or administrator can report a disciplinary incident. Students can also report incidents involving peers (for harassment, bullying, or safety concerns) — with identity protection for student reporters.</w:t>
      </w:r>
    </w:p>
    <w:p>
      <w:pPr>
        <w:pStyle w:val="ListParagraph"/>
        <w:numPr>
          <w:ilvl w:val="0"/>
          <w:numId w:val="2"/>
        </w:numPr>
        <w:spacing w:before="46" w:after="46"/>
      </w:pPr>
      <w:r>
        <w:rPr>
          <w:rFonts w:ascii="Arial" w:cs="Arial" w:eastAsia="Arial" w:hAnsi="Arial"/>
          <w:color w:val="0F1B2D"/>
          <w:sz w:val="22"/>
          <w:szCs w:val="22"/>
        </w:rPr>
        <w:t xml:space="preserve">Incident report form: Captures — Date, time, and location of incident; Student(s) involved; Reporter's name and role; Description of the incident (narrative); Category and severity level assessment; Witnesses (if any); Supporting evidence references (CCTV footage, documents, witness statements); and Immediate action taken (if any).</w:t>
      </w:r>
    </w:p>
    <w:p>
      <w:pPr>
        <w:pStyle w:val="ListParagraph"/>
        <w:numPr>
          <w:ilvl w:val="0"/>
          <w:numId w:val="2"/>
        </w:numPr>
        <w:spacing w:before="46" w:after="46"/>
      </w:pPr>
      <w:r>
        <w:rPr>
          <w:rFonts w:ascii="Arial" w:cs="Arial" w:eastAsia="Arial" w:hAnsi="Arial"/>
          <w:color w:val="0F1B2D"/>
          <w:sz w:val="22"/>
          <w:szCs w:val="22"/>
        </w:rPr>
        <w:t xml:space="preserve">Anonymous reporting: For sensitive incidents (harassment, substance issues, safety threats), an anonymous reporting channel is available — the incident is received by the student welfare officer without revealing the reporter's identity.</w:t>
      </w:r>
    </w:p>
    <w:p>
      <w:pPr>
        <w:pStyle w:val="ListParagraph"/>
        <w:numPr>
          <w:ilvl w:val="0"/>
          <w:numId w:val="2"/>
        </w:numPr>
        <w:spacing w:before="46" w:after="46"/>
      </w:pPr>
      <w:r>
        <w:rPr>
          <w:rFonts w:ascii="Arial" w:cs="Arial" w:eastAsia="Arial" w:hAnsi="Arial"/>
          <w:color w:val="0F1B2D"/>
          <w:sz w:val="22"/>
          <w:szCs w:val="22"/>
        </w:rPr>
        <w:t xml:space="preserve">Incident acknowledgement: The reporter receives an automatic acknowledgement with a case ID within 15 minutes of submission — confirming the report has been received and is under review.</w:t>
      </w:r>
    </w:p>
    <w:p>
      <w:pPr>
        <w:pStyle w:val="Heading2"/>
        <w:spacing w:before="280" w:after="90"/>
      </w:pPr>
      <w:r>
        <w:rPr>
          <w:rFonts w:ascii="Arial" w:cs="Arial" w:eastAsia="Arial" w:hAnsi="Arial"/>
          <w:b/>
          <w:bCs/>
          <w:color w:val="1157A8"/>
          <w:sz w:val="27"/>
          <w:szCs w:val="27"/>
        </w:rPr>
        <w:t xml:space="preserve">Case Assignment &amp; Investigation</w:t>
      </w:r>
    </w:p>
    <w:p>
      <w:pPr>
        <w:pStyle w:val="ListParagraph"/>
        <w:numPr>
          <w:ilvl w:val="0"/>
          <w:numId w:val="2"/>
        </w:numPr>
        <w:spacing w:before="46" w:after="46"/>
      </w:pPr>
      <w:r>
        <w:rPr>
          <w:rFonts w:ascii="Arial" w:cs="Arial" w:eastAsia="Arial" w:hAnsi="Arial"/>
          <w:color w:val="0F1B2D"/>
          <w:sz w:val="22"/>
          <w:szCs w:val="22"/>
        </w:rPr>
        <w:t xml:space="preserve">Case routing: Cases are automatically routed based on severity level — Level 1 to the class teacher, Level 2 to the department head, Levels 3 and 4 to the Discipline Committee.</w:t>
      </w:r>
    </w:p>
    <w:p>
      <w:pPr>
        <w:pStyle w:val="ListParagraph"/>
        <w:numPr>
          <w:ilvl w:val="0"/>
          <w:numId w:val="2"/>
        </w:numPr>
        <w:spacing w:before="46" w:after="46"/>
      </w:pPr>
      <w:r>
        <w:rPr>
          <w:rFonts w:ascii="Arial" w:cs="Arial" w:eastAsia="Arial" w:hAnsi="Arial"/>
          <w:color w:val="0F1B2D"/>
          <w:sz w:val="22"/>
          <w:szCs w:val="22"/>
        </w:rPr>
        <w:t xml:space="preserve">Case officer assignment: A specific case officer is assigned responsibility for each case — accountable for ensuring the case progresses through its workflow within defined timelines.</w:t>
      </w:r>
    </w:p>
    <w:p>
      <w:pPr>
        <w:pStyle w:val="ListParagraph"/>
        <w:numPr>
          <w:ilvl w:val="0"/>
          <w:numId w:val="2"/>
        </w:numPr>
        <w:spacing w:before="46" w:after="46"/>
      </w:pPr>
      <w:r>
        <w:rPr>
          <w:rFonts w:ascii="Arial" w:cs="Arial" w:eastAsia="Arial" w:hAnsi="Arial"/>
          <w:color w:val="0F1B2D"/>
          <w:sz w:val="22"/>
          <w:szCs w:val="22"/>
        </w:rPr>
        <w:t xml:space="preserve">Investigation phase: For Level 3 and 4 cases, a formal investigation is conducted — gathering evidence, interviewing witnesses, and preparing a findings report. The investigation must be completed within a configurable window (default 10 working days).</w:t>
      </w:r>
    </w:p>
    <w:p>
      <w:pPr>
        <w:pStyle w:val="ListParagraph"/>
        <w:numPr>
          <w:ilvl w:val="0"/>
          <w:numId w:val="2"/>
        </w:numPr>
        <w:spacing w:before="46" w:after="46"/>
      </w:pPr>
      <w:r>
        <w:rPr>
          <w:rFonts w:ascii="Arial" w:cs="Arial" w:eastAsia="Arial" w:hAnsi="Arial"/>
          <w:color w:val="0F1B2D"/>
          <w:sz w:val="22"/>
          <w:szCs w:val="22"/>
        </w:rPr>
        <w:t xml:space="preserve">Evidence management: All evidence related to the case — documents, photographs, correspondence, witness statements — is uploaded and stored within the case record. Evidence is time-stamped and access-logged.</w:t>
      </w:r>
    </w:p>
    <w:p>
      <w:pPr>
        <w:pStyle w:val="ListParagraph"/>
        <w:numPr>
          <w:ilvl w:val="0"/>
          <w:numId w:val="2"/>
        </w:numPr>
        <w:spacing w:before="46" w:after="46"/>
      </w:pPr>
      <w:r>
        <w:rPr>
          <w:rFonts w:ascii="Arial" w:cs="Arial" w:eastAsia="Arial" w:hAnsi="Arial"/>
          <w:color w:val="0F1B2D"/>
          <w:sz w:val="22"/>
          <w:szCs w:val="22"/>
        </w:rPr>
        <w:t xml:space="preserve">Student notification: The student is formally notified of the case against them within 3 working days of case creation — receiving the incident report (with witness identities redacted if necessary) and information about the process and their rights.</w:t>
      </w:r>
    </w:p>
    <w:p>
      <w:pPr>
        <w:pStyle w:val="Heading2"/>
        <w:spacing w:before="280" w:after="90"/>
      </w:pPr>
      <w:r>
        <w:rPr>
          <w:rFonts w:ascii="Arial" w:cs="Arial" w:eastAsia="Arial" w:hAnsi="Arial"/>
          <w:b/>
          <w:bCs/>
          <w:color w:val="1157A8"/>
          <w:sz w:val="27"/>
          <w:szCs w:val="27"/>
        </w:rPr>
        <w:t xml:space="preserve">Hearing &amp; Decision Process</w:t>
      </w:r>
    </w:p>
    <w:p>
      <w:pPr>
        <w:pStyle w:val="ListParagraph"/>
        <w:numPr>
          <w:ilvl w:val="0"/>
          <w:numId w:val="2"/>
        </w:numPr>
        <w:spacing w:before="46" w:after="46"/>
      </w:pPr>
      <w:r>
        <w:rPr>
          <w:rFonts w:ascii="Arial" w:cs="Arial" w:eastAsia="Arial" w:hAnsi="Arial"/>
          <w:color w:val="0F1B2D"/>
          <w:sz w:val="22"/>
          <w:szCs w:val="22"/>
        </w:rPr>
        <w:t xml:space="preserve">Hearing notice: For Level 2, 3, and 4 cases, a formal hearing is scheduled. The student receives at least 5 working days' notice of the hearing date, the charges, the evidence to be considered, and the right to be accompanied by a faculty advisor.</w:t>
      </w:r>
    </w:p>
    <w:p>
      <w:pPr>
        <w:pStyle w:val="ListParagraph"/>
        <w:numPr>
          <w:ilvl w:val="0"/>
          <w:numId w:val="2"/>
        </w:numPr>
        <w:spacing w:before="46" w:after="46"/>
      </w:pPr>
      <w:r>
        <w:rPr>
          <w:rFonts w:ascii="Arial" w:cs="Arial" w:eastAsia="Arial" w:hAnsi="Arial"/>
          <w:color w:val="0F1B2D"/>
          <w:sz w:val="22"/>
          <w:szCs w:val="22"/>
        </w:rPr>
        <w:t xml:space="preserve">Hearing conduct: The hearing is conducted by the Discipline Committee. The case officer presents the findings. The student is given an opportunity to present their version and respond to the evidence. Minutes of the hearing are recorded.</w:t>
      </w:r>
    </w:p>
    <w:p>
      <w:pPr>
        <w:pStyle w:val="ListParagraph"/>
        <w:numPr>
          <w:ilvl w:val="0"/>
          <w:numId w:val="2"/>
        </w:numPr>
        <w:spacing w:before="46" w:after="46"/>
      </w:pPr>
      <w:r>
        <w:rPr>
          <w:rFonts w:ascii="Arial" w:cs="Arial" w:eastAsia="Arial" w:hAnsi="Arial"/>
          <w:color w:val="0F1B2D"/>
          <w:sz w:val="22"/>
          <w:szCs w:val="22"/>
        </w:rPr>
        <w:t xml:space="preserve">Decision documentation: The Committee's decision — guilty/not guilty, and if guilty the specific sanction imposed — is documented as a formal Committee Decision Record. The decision must specify: the finding, the evidence relied upon, the sanction, the rationale, and the appeal rights.</w:t>
      </w:r>
    </w:p>
    <w:p>
      <w:pPr>
        <w:pStyle w:val="ListParagraph"/>
        <w:numPr>
          <w:ilvl w:val="0"/>
          <w:numId w:val="2"/>
        </w:numPr>
        <w:spacing w:before="46" w:after="46"/>
      </w:pPr>
      <w:r>
        <w:rPr>
          <w:rFonts w:ascii="Arial" w:cs="Arial" w:eastAsia="Arial" w:hAnsi="Arial"/>
          <w:color w:val="0F1B2D"/>
          <w:sz w:val="22"/>
          <w:szCs w:val="22"/>
        </w:rPr>
        <w:t xml:space="preserve">Sanction types: Verbal warning (Level 1), Written warning (Level 1/2), Fine, Community service, Suspension from classes, Suspension from campus, Withholding of academic result, Cancellation of examination result, Expulsion (requires Governing Body approval), and Police complaint filing.</w:t>
      </w:r>
    </w:p>
    <w:p>
      <w:pPr>
        <w:pStyle w:val="ListParagraph"/>
        <w:numPr>
          <w:ilvl w:val="0"/>
          <w:numId w:val="2"/>
        </w:numPr>
        <w:spacing w:before="46" w:after="46"/>
      </w:pPr>
      <w:r>
        <w:rPr>
          <w:rFonts w:ascii="Arial" w:cs="Arial" w:eastAsia="Arial" w:hAnsi="Arial"/>
          <w:color w:val="0F1B2D"/>
          <w:sz w:val="22"/>
          <w:szCs w:val="22"/>
        </w:rPr>
        <w:t xml:space="preserve">Multi-student cases: When multiple students are involved in the same incident, separate case records are maintained per student — ensuring each student's due process rights are individually observed.</w:t>
      </w:r>
    </w:p>
    <w:p>
      <w:pPr>
        <w:pStyle w:val="Heading2"/>
        <w:spacing w:before="280" w:after="90"/>
      </w:pPr>
      <w:r>
        <w:rPr>
          <w:rFonts w:ascii="Arial" w:cs="Arial" w:eastAsia="Arial" w:hAnsi="Arial"/>
          <w:b/>
          <w:bCs/>
          <w:color w:val="1157A8"/>
          <w:sz w:val="27"/>
          <w:szCs w:val="27"/>
        </w:rPr>
        <w:t xml:space="preserve">Record Management &amp; Privacy</w:t>
      </w:r>
    </w:p>
    <w:p>
      <w:pPr>
        <w:pStyle w:val="ListParagraph"/>
        <w:numPr>
          <w:ilvl w:val="0"/>
          <w:numId w:val="2"/>
        </w:numPr>
        <w:spacing w:before="46" w:after="46"/>
      </w:pPr>
      <w:r>
        <w:rPr>
          <w:rFonts w:ascii="Arial" w:cs="Arial" w:eastAsia="Arial" w:hAnsi="Arial"/>
          <w:color w:val="0F1B2D"/>
          <w:sz w:val="22"/>
          <w:szCs w:val="22"/>
        </w:rPr>
        <w:t xml:space="preserve">Permanent record: All Level 2, 3, and 4 disciplinary records are permanent — they cannot be deleted, only sealed. Sealing (restricting visibility) requires formal petition and approval after a defined period of exemplary conduct.</w:t>
      </w:r>
    </w:p>
    <w:p>
      <w:pPr>
        <w:pStyle w:val="ListParagraph"/>
        <w:numPr>
          <w:ilvl w:val="0"/>
          <w:numId w:val="2"/>
        </w:numPr>
        <w:spacing w:before="46" w:after="46"/>
      </w:pPr>
      <w:r>
        <w:rPr>
          <w:rFonts w:ascii="Arial" w:cs="Arial" w:eastAsia="Arial" w:hAnsi="Arial"/>
          <w:color w:val="0F1B2D"/>
          <w:sz w:val="22"/>
          <w:szCs w:val="22"/>
        </w:rPr>
        <w:t xml:space="preserve">Graduated visibility: Level 1 records are visible only to the class teacher and department head. Level 2 records are visible to faculty and department administration. Level 3 and 4 records are visible to senior administration only. No disciplinary record is visible to recruiters or external parties without explicit student consent and applicable court order.</w:t>
      </w:r>
    </w:p>
    <w:p>
      <w:pPr>
        <w:pStyle w:val="ListParagraph"/>
        <w:numPr>
          <w:ilvl w:val="0"/>
          <w:numId w:val="2"/>
        </w:numPr>
        <w:spacing w:before="46" w:after="46"/>
      </w:pPr>
      <w:r>
        <w:rPr>
          <w:rFonts w:ascii="Arial" w:cs="Arial" w:eastAsia="Arial" w:hAnsi="Arial"/>
          <w:color w:val="0F1B2D"/>
          <w:sz w:val="22"/>
          <w:szCs w:val="22"/>
        </w:rPr>
        <w:t xml:space="preserve">Student access: Students can view their own disciplinary records — they are entitled to a copy of their full case record upon request.</w:t>
      </w:r>
    </w:p>
    <w:p>
      <w:pPr>
        <w:pStyle w:val="ListParagraph"/>
        <w:numPr>
          <w:ilvl w:val="0"/>
          <w:numId w:val="2"/>
        </w:numPr>
        <w:spacing w:before="46" w:after="46"/>
      </w:pPr>
      <w:r>
        <w:rPr>
          <w:rFonts w:ascii="Arial" w:cs="Arial" w:eastAsia="Arial" w:hAnsi="Arial"/>
          <w:color w:val="0F1B2D"/>
          <w:sz w:val="22"/>
          <w:szCs w:val="22"/>
        </w:rPr>
        <w:t xml:space="preserve">Expungement eligibility: For Level 2 minor misconduct where the student had an exemplary record for 2+ years after the incident, they may petition for expungement (removal from the visible record). The petition is reviewed by the Academic Registrar. If approved, the record is sealed from administrative view but preserved in the immutable audit log.</w:t>
      </w:r>
    </w:p>
    <w:p>
      <w:pPr>
        <w:pStyle w:val="ListParagraph"/>
        <w:numPr>
          <w:ilvl w:val="0"/>
          <w:numId w:val="2"/>
        </w:numPr>
        <w:spacing w:before="46" w:after="46"/>
      </w:pPr>
      <w:r>
        <w:rPr>
          <w:rFonts w:ascii="Arial" w:cs="Arial" w:eastAsia="Arial" w:hAnsi="Arial"/>
          <w:color w:val="0F1B2D"/>
          <w:sz w:val="22"/>
          <w:szCs w:val="22"/>
        </w:rPr>
        <w:t xml:space="preserve">Data retention: Disciplinary records are retained for a minimum of 7 years after graduation (or 7 years after the student leaves the institute without graduating) — in compliance with applicable education record retention regulations.</w:t>
      </w:r>
    </w:p>
    <w:p>
      <w:pPr>
        <w:pStyle w:val="ListParagraph"/>
        <w:numPr>
          <w:ilvl w:val="0"/>
          <w:numId w:val="2"/>
        </w:numPr>
        <w:spacing w:before="46" w:after="46"/>
      </w:pPr>
      <w:r>
        <w:rPr>
          <w:rFonts w:ascii="Arial" w:cs="Arial" w:eastAsia="Arial" w:hAnsi="Arial"/>
          <w:color w:val="0F1B2D"/>
          <w:sz w:val="22"/>
          <w:szCs w:val="22"/>
        </w:rPr>
        <w:t xml:space="preserve">Regulatory reporting: Certain types of disciplinary actions (e.g., cases resulting in police complaints) must be reported to regulatory bodies. The system generates the required regulatory report format on demand.</w:t>
      </w:r>
    </w:p>
    <w:p>
      <w:pPr>
        <w:pStyle w:val="Heading2"/>
        <w:spacing w:before="280" w:after="90"/>
      </w:pPr>
      <w:r>
        <w:rPr>
          <w:rFonts w:ascii="Arial" w:cs="Arial" w:eastAsia="Arial" w:hAnsi="Arial"/>
          <w:b/>
          <w:bCs/>
          <w:color w:val="1157A8"/>
          <w:sz w:val="27"/>
          <w:szCs w:val="27"/>
        </w:rPr>
        <w:t xml:space="preserve">Appeal Process</w:t>
      </w:r>
    </w:p>
    <w:p>
      <w:pPr>
        <w:pStyle w:val="ListParagraph"/>
        <w:numPr>
          <w:ilvl w:val="0"/>
          <w:numId w:val="2"/>
        </w:numPr>
        <w:spacing w:before="46" w:after="46"/>
      </w:pPr>
      <w:r>
        <w:rPr>
          <w:rFonts w:ascii="Arial" w:cs="Arial" w:eastAsia="Arial" w:hAnsi="Arial"/>
          <w:color w:val="0F1B2D"/>
          <w:sz w:val="22"/>
          <w:szCs w:val="22"/>
        </w:rPr>
        <w:t xml:space="preserve">Appeal right: Every student who receives a disciplinary sanction at Level 2 or above has the right to appeal — this right is stated in every decision communication and the system enforces the appeal pathway.</w:t>
      </w:r>
    </w:p>
    <w:p>
      <w:pPr>
        <w:pStyle w:val="ListParagraph"/>
        <w:numPr>
          <w:ilvl w:val="0"/>
          <w:numId w:val="2"/>
        </w:numPr>
        <w:spacing w:before="46" w:after="46"/>
      </w:pPr>
      <w:r>
        <w:rPr>
          <w:rFonts w:ascii="Arial" w:cs="Arial" w:eastAsia="Arial" w:hAnsi="Arial"/>
          <w:color w:val="0F1B2D"/>
          <w:sz w:val="22"/>
          <w:szCs w:val="22"/>
        </w:rPr>
        <w:t xml:space="preserve">Appeal timeline: Appeals must be filed within 10 working days of the decision communication. The system enforces this deadline — late appeals can only be accepted with formal waiver by the Governing Body.</w:t>
      </w:r>
    </w:p>
    <w:p>
      <w:pPr>
        <w:pStyle w:val="ListParagraph"/>
        <w:numPr>
          <w:ilvl w:val="0"/>
          <w:numId w:val="2"/>
        </w:numPr>
        <w:spacing w:before="46" w:after="46"/>
      </w:pPr>
      <w:r>
        <w:rPr>
          <w:rFonts w:ascii="Arial" w:cs="Arial" w:eastAsia="Arial" w:hAnsi="Arial"/>
          <w:color w:val="0F1B2D"/>
          <w:sz w:val="22"/>
          <w:szCs w:val="22"/>
        </w:rPr>
        <w:t xml:space="preserve">Appeal authority: Level 2 decisions are appealed to the Principal. Level 3 and 4 decisions are appealed to the Grievance Redressal Committee (a separate body from the Discipline Committee). Expulsion decisions are appealable to the Governing Body.</w:t>
      </w:r>
    </w:p>
    <w:p>
      <w:pPr>
        <w:pStyle w:val="ListParagraph"/>
        <w:numPr>
          <w:ilvl w:val="0"/>
          <w:numId w:val="2"/>
        </w:numPr>
        <w:spacing w:before="46" w:after="46"/>
      </w:pPr>
      <w:r>
        <w:rPr>
          <w:rFonts w:ascii="Arial" w:cs="Arial" w:eastAsia="Arial" w:hAnsi="Arial"/>
          <w:color w:val="0F1B2D"/>
          <w:sz w:val="22"/>
          <w:szCs w:val="22"/>
        </w:rPr>
        <w:t xml:space="preserve">Appeal resolution SLA: The appellate authority must issue a decision within 15 working days of receiving the appeal. The system tracks this SLA and escalates to the next level if breached.</w:t>
      </w:r>
    </w:p>
    <w:p>
      <w:pPr>
        <w:pStyle w:val="ListParagraph"/>
        <w:numPr>
          <w:ilvl w:val="0"/>
          <w:numId w:val="2"/>
        </w:numPr>
        <w:spacing w:before="46" w:after="46"/>
      </w:pPr>
      <w:r>
        <w:rPr>
          <w:rFonts w:ascii="Arial" w:cs="Arial" w:eastAsia="Arial" w:hAnsi="Arial"/>
          <w:color w:val="0F1B2D"/>
          <w:sz w:val="22"/>
          <w:szCs w:val="22"/>
        </w:rPr>
        <w:t xml:space="preserve">Appeal outcomes: The appellate authority can — uphold the original decision, reduce the sanction, increase the sanction (if evidence of additional misconduct is found), or overturn the decision and expunge the record. All appeal outcomes are recorded in the case file and communicated to the student.</w:t>
      </w:r>
    </w:p>
    <w:p>
      <w:pPr>
        <w:pBdr>
          <w:bottom w:val="single" w:color="0B2B4E" w:sz="6" w:space="1"/>
        </w:pBdr>
        <w:spacing w:before="200" w:after="200"/>
      </w:pPr>
    </w:p>
    <w:p>
      <w:pPr>
        <w:pageBreakBefore/>
      </w:pPr>
    </w:p>
    <w:p>
      <w:pPr>
        <w:spacing w:before="400" w:after="0"/>
        <w:jc w:val="center"/>
      </w:pPr>
      <w:r>
        <w:rPr>
          <w:rFonts w:ascii="Arial" w:cs="Arial" w:eastAsia="Arial" w:hAnsi="Arial"/>
          <w:i/>
          <w:iCs/>
          <w:color w:val="5E7080"/>
          <w:sz w:val="22"/>
          <w:szCs w:val="22"/>
        </w:rPr>
        <w:t xml:space="preserve">— End of Module C: Student Lifecycle Management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157A8" w:sz="4" w:space="1"/>
      </w:pBdr>
      <w:tabs>
        <w:tab w:val="right" w:pos="9026"/>
      </w:tabs>
    </w:pPr>
    <w:r>
      <w:rPr>
        <w:rFonts w:ascii="Arial" w:cs="Arial" w:eastAsia="Arial" w:hAnsi="Arial"/>
        <w:color w:val="5E7080"/>
        <w:sz w:val="16"/>
        <w:szCs w:val="16"/>
      </w:rPr>
      <w:t xml:space="preserve">Confidential | EcoSkiller Platform</w:t>
    </w:r>
    <w:r>
      <w:rPr>
        <w:rFonts w:ascii="Arial" w:cs="Arial" w:eastAsia="Arial" w:hAnsi="Arial"/>
        <w:color w:val="5E7080"/>
        <w:sz w:val="16"/>
        <w:szCs w:val="16"/>
      </w:rPr>
      <w:t xml:space="preserve">	Page </w:t>
    </w:r>
    <w:r>
      <w:rPr>
        <w:rFonts w:ascii="Arial" w:cs="Arial" w:eastAsia="Arial" w:hAnsi="Arial"/>
        <w:color w:val="1157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57A8" w:sz="4" w:space="1"/>
      </w:pBdr>
    </w:pPr>
    <w:r>
      <w:rPr>
        <w:rFonts w:ascii="Arial" w:cs="Arial" w:eastAsia="Arial" w:hAnsi="Arial"/>
        <w:color w:val="5E7080"/>
        <w:sz w:val="18"/>
        <w:szCs w:val="18"/>
      </w:rPr>
      <w:t xml:space="preserve">EcoSkiller IMS — Module C: Student Lifecycle Management Feature Spec (Part 1: C.1–C.6)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B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50"/>
      <w:outlineLvl w:val="0"/>
    </w:pPr>
    <w:rPr>
      <w:rFonts w:ascii="Arial" w:cs="Arial" w:eastAsia="Arial" w:hAnsi="Arial"/>
      <w:b/>
      <w:bCs/>
      <w:color w:val="0B2B4E"/>
      <w:sz w:val="36"/>
      <w:szCs w:val="36"/>
    </w:rPr>
  </w:style>
  <w:style w:type="paragraph" w:styleId="Heading2">
    <w:name w:val="Heading 2"/>
    <w:basedOn w:val="Normal"/>
    <w:next w:val="Normal"/>
    <w:qFormat/>
    <w:pPr>
      <w:spacing w:before="280" w:after="90"/>
      <w:outlineLvl w:val="1"/>
    </w:pPr>
    <w:rPr>
      <w:rFonts w:ascii="Arial" w:cs="Arial" w:eastAsia="Arial" w:hAnsi="Arial"/>
      <w:b/>
      <w:bCs/>
      <w:color w:val="1157A8"/>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2026-03-09T10:58:46.539Z</dcterms:created>
  <dcterms:modified xsi:type="dcterms:W3CDTF">2026-03-09T10:58:46.539Z</dcterms:modified>
</cp:coreProperties>
</file>

<file path=docProps/custom.xml><?xml version="1.0" encoding="utf-8"?>
<Properties xmlns="http://schemas.openxmlformats.org/officeDocument/2006/custom-properties" xmlns:vt="http://schemas.openxmlformats.org/officeDocument/2006/docPropsVTypes"/>
</file>