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0"/>
      </w:pPr>
      <w:r>
        <w:t xml:space="preserve"/>
      </w:r>
    </w:p>
    <w:p>
      <w:pPr>
        <w:spacing w:before="0" w:after="100"/>
        <w:jc w:val="center"/>
      </w:pPr>
      <w:r>
        <w:rPr>
          <w:rFonts w:ascii="Arial" w:cs="Arial" w:eastAsia="Arial" w:hAnsi="Arial"/>
          <w:b/>
          <w:bCs/>
          <w:caps/>
          <w:color w:val="0B3D91"/>
          <w:sz w:val="26"/>
          <w:szCs w:val="26"/>
        </w:rPr>
        <w:t xml:space="preserve">SCHOOL MANAGEMENT PLATFORM</w:t>
      </w:r>
    </w:p>
    <w:p>
      <w:pPr>
        <w:spacing w:before="0" w:after="100"/>
        <w:jc w:val="center"/>
      </w:pPr>
      <w:r>
        <w:rPr>
          <w:rFonts w:ascii="Arial" w:cs="Arial" w:eastAsia="Arial" w:hAnsi="Arial"/>
          <w:b/>
          <w:bCs/>
          <w:color w:val="111827"/>
          <w:sz w:val="58"/>
          <w:szCs w:val="58"/>
        </w:rPr>
        <w:t xml:space="preserve">Product Feature Specification</w:t>
      </w:r>
    </w:p>
    <w:p>
      <w:pPr>
        <w:spacing w:before="0" w:after="700"/>
        <w:jc w:val="center"/>
      </w:pPr>
      <w:r>
        <w:rPr>
          <w:rFonts w:ascii="Arial" w:cs="Arial" w:eastAsia="Arial" w:hAnsi="Arial"/>
          <w:b/>
          <w:bCs/>
          <w:color w:val="1A5276"/>
          <w:sz w:val="34"/>
          <w:szCs w:val="34"/>
        </w:rPr>
        <w:t xml:space="preserve">Module C: Student Management</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tblGrid>
      <w:tr>
        <w:tc>
          <w:tcPr>
            <w:tcW w:type="dxa" w:w="3100"/>
            <w:tcBorders>
              <w:top w:val="single" w:color="CBD5E0" w:sz="1"/>
              <w:left w:val="single" w:color="CBD5E0" w:sz="1"/>
              <w:bottom w:val="single" w:color="CBD5E0" w:sz="1"/>
              <w:right w:val="single" w:color="CBD5E0" w:sz="1"/>
            </w:tcBorders>
            <w:shd w:fill="0B3D91" w:val="clear"/>
            <w:tcMar>
              <w:top w:type="dxa" w:w="120"/>
              <w:left w:type="dxa" w:w="200"/>
              <w:bottom w:type="dxa" w:w="120"/>
              <w:right w:type="dxa" w:w="200"/>
            </w:tcMar>
          </w:tcPr>
          <w:p>
            <w:r>
              <w:rPr>
                <w:rFonts w:ascii="Arial" w:cs="Arial" w:eastAsia="Arial" w:hAnsi="Arial"/>
                <w:b/>
                <w:bCs/>
                <w:color w:val="FFFFFF"/>
                <w:sz w:val="21"/>
                <w:szCs w:val="21"/>
              </w:rPr>
              <w:t xml:space="preserve">Document Version</w:t>
            </w:r>
          </w:p>
        </w:tc>
        <w:tc>
          <w:tcPr>
            <w:tcW w:type="dxa" w:w="3100"/>
            <w:tcBorders>
              <w:top w:val="single" w:color="CBD5E0" w:sz="1"/>
              <w:left w:val="single" w:color="CBD5E0" w:sz="1"/>
              <w:bottom w:val="single" w:color="CBD5E0" w:sz="1"/>
              <w:right w:val="single" w:color="CBD5E0" w:sz="1"/>
            </w:tcBorders>
            <w:shd w:fill="D6E4F7" w:val="clear"/>
            <w:tcMar>
              <w:top w:type="dxa" w:w="120"/>
              <w:left w:type="dxa" w:w="200"/>
              <w:bottom w:type="dxa" w:w="120"/>
              <w:right w:type="dxa" w:w="200"/>
            </w:tcMar>
          </w:tcPr>
          <w:p>
            <w:r>
              <w:rPr>
                <w:rFonts w:ascii="Arial" w:cs="Arial" w:eastAsia="Arial" w:hAnsi="Arial"/>
                <w:color w:val="111827"/>
                <w:sz w:val="21"/>
                <w:szCs w:val="21"/>
              </w:rPr>
              <w:t xml:space="preserve">1.0</w:t>
            </w:r>
          </w:p>
        </w:tc>
      </w:tr>
      <w:tr>
        <w:tc>
          <w:tcPr>
            <w:tcW w:type="dxa" w:w="3100"/>
            <w:tcBorders>
              <w:top w:val="single" w:color="CBD5E0" w:sz="1"/>
              <w:left w:val="single" w:color="CBD5E0" w:sz="1"/>
              <w:bottom w:val="single" w:color="CBD5E0" w:sz="1"/>
              <w:right w:val="single" w:color="CBD5E0" w:sz="1"/>
            </w:tcBorders>
            <w:shd w:fill="0B3D91" w:val="clear"/>
            <w:tcMar>
              <w:top w:type="dxa" w:w="120"/>
              <w:left w:type="dxa" w:w="200"/>
              <w:bottom w:type="dxa" w:w="120"/>
              <w:right w:type="dxa" w:w="200"/>
            </w:tcMar>
          </w:tcPr>
          <w:p>
            <w:r>
              <w:rPr>
                <w:rFonts w:ascii="Arial" w:cs="Arial" w:eastAsia="Arial" w:hAnsi="Arial"/>
                <w:b/>
                <w:bCs/>
                <w:color w:val="FFFFFF"/>
                <w:sz w:val="21"/>
                <w:szCs w:val="21"/>
              </w:rPr>
              <w:t xml:space="preserve">Date</w:t>
            </w:r>
          </w:p>
        </w:tc>
        <w:tc>
          <w:tcPr>
            <w:tcW w:type="dxa" w:w="3100"/>
            <w:tcBorders>
              <w:top w:val="single" w:color="CBD5E0" w:sz="1"/>
              <w:left w:val="single" w:color="CBD5E0" w:sz="1"/>
              <w:bottom w:val="single" w:color="CBD5E0" w:sz="1"/>
              <w:right w:val="single" w:color="CBD5E0" w:sz="1"/>
            </w:tcBorders>
            <w:shd w:fill="D6E4F7" w:val="clear"/>
            <w:tcMar>
              <w:top w:type="dxa" w:w="120"/>
              <w:left w:type="dxa" w:w="200"/>
              <w:bottom w:type="dxa" w:w="120"/>
              <w:right w:type="dxa" w:w="200"/>
            </w:tcMar>
          </w:tcPr>
          <w:p>
            <w:r>
              <w:rPr>
                <w:rFonts w:ascii="Arial" w:cs="Arial" w:eastAsia="Arial" w:hAnsi="Arial"/>
                <w:color w:val="111827"/>
                <w:sz w:val="21"/>
                <w:szCs w:val="21"/>
              </w:rPr>
              <w:t xml:space="preserve">March 2026</w:t>
            </w:r>
          </w:p>
        </w:tc>
      </w:tr>
      <w:tr>
        <w:tc>
          <w:tcPr>
            <w:tcW w:type="dxa" w:w="3100"/>
            <w:tcBorders>
              <w:top w:val="single" w:color="CBD5E0" w:sz="1"/>
              <w:left w:val="single" w:color="CBD5E0" w:sz="1"/>
              <w:bottom w:val="single" w:color="CBD5E0" w:sz="1"/>
              <w:right w:val="single" w:color="CBD5E0" w:sz="1"/>
            </w:tcBorders>
            <w:shd w:fill="0B3D91" w:val="clear"/>
            <w:tcMar>
              <w:top w:type="dxa" w:w="120"/>
              <w:left w:type="dxa" w:w="200"/>
              <w:bottom w:type="dxa" w:w="120"/>
              <w:right w:type="dxa" w:w="200"/>
            </w:tcMar>
          </w:tcPr>
          <w:p>
            <w:r>
              <w:rPr>
                <w:rFonts w:ascii="Arial" w:cs="Arial" w:eastAsia="Arial" w:hAnsi="Arial"/>
                <w:b/>
                <w:bCs/>
                <w:color w:val="FFFFFF"/>
                <w:sz w:val="21"/>
                <w:szCs w:val="21"/>
              </w:rPr>
              <w:t xml:space="preserve">Module</w:t>
            </w:r>
          </w:p>
        </w:tc>
        <w:tc>
          <w:tcPr>
            <w:tcW w:type="dxa" w:w="3100"/>
            <w:tcBorders>
              <w:top w:val="single" w:color="CBD5E0" w:sz="1"/>
              <w:left w:val="single" w:color="CBD5E0" w:sz="1"/>
              <w:bottom w:val="single" w:color="CBD5E0" w:sz="1"/>
              <w:right w:val="single" w:color="CBD5E0" w:sz="1"/>
            </w:tcBorders>
            <w:shd w:fill="D6E4F7" w:val="clear"/>
            <w:tcMar>
              <w:top w:type="dxa" w:w="120"/>
              <w:left w:type="dxa" w:w="200"/>
              <w:bottom w:type="dxa" w:w="120"/>
              <w:right w:type="dxa" w:w="200"/>
            </w:tcMar>
          </w:tcPr>
          <w:p>
            <w:r>
              <w:rPr>
                <w:rFonts w:ascii="Arial" w:cs="Arial" w:eastAsia="Arial" w:hAnsi="Arial"/>
                <w:color w:val="111827"/>
                <w:sz w:val="21"/>
                <w:szCs w:val="21"/>
              </w:rPr>
              <w:t xml:space="preserve">C — Student Management</w:t>
            </w:r>
          </w:p>
        </w:tc>
      </w:tr>
      <w:tr>
        <w:tc>
          <w:tcPr>
            <w:tcW w:type="dxa" w:w="3100"/>
            <w:tcBorders>
              <w:top w:val="single" w:color="CBD5E0" w:sz="1"/>
              <w:left w:val="single" w:color="CBD5E0" w:sz="1"/>
              <w:bottom w:val="single" w:color="CBD5E0" w:sz="1"/>
              <w:right w:val="single" w:color="CBD5E0" w:sz="1"/>
            </w:tcBorders>
            <w:shd w:fill="0B3D91" w:val="clear"/>
            <w:tcMar>
              <w:top w:type="dxa" w:w="120"/>
              <w:left w:type="dxa" w:w="200"/>
              <w:bottom w:type="dxa" w:w="120"/>
              <w:right w:type="dxa" w:w="200"/>
            </w:tcMar>
          </w:tcPr>
          <w:p>
            <w:r>
              <w:rPr>
                <w:rFonts w:ascii="Arial" w:cs="Arial" w:eastAsia="Arial" w:hAnsi="Arial"/>
                <w:b/>
                <w:bCs/>
                <w:color w:val="FFFFFF"/>
                <w:sz w:val="21"/>
                <w:szCs w:val="21"/>
              </w:rPr>
              <w:t xml:space="preserve">Total Features</w:t>
            </w:r>
          </w:p>
        </w:tc>
        <w:tc>
          <w:tcPr>
            <w:tcW w:type="dxa" w:w="3100"/>
            <w:tcBorders>
              <w:top w:val="single" w:color="CBD5E0" w:sz="1"/>
              <w:left w:val="single" w:color="CBD5E0" w:sz="1"/>
              <w:bottom w:val="single" w:color="CBD5E0" w:sz="1"/>
              <w:right w:val="single" w:color="CBD5E0" w:sz="1"/>
            </w:tcBorders>
            <w:shd w:fill="D6E4F7" w:val="clear"/>
            <w:tcMar>
              <w:top w:type="dxa" w:w="120"/>
              <w:left w:type="dxa" w:w="200"/>
              <w:bottom w:type="dxa" w:w="120"/>
              <w:right w:type="dxa" w:w="200"/>
            </w:tcMar>
          </w:tcPr>
          <w:p>
            <w:r>
              <w:rPr>
                <w:rFonts w:ascii="Arial" w:cs="Arial" w:eastAsia="Arial" w:hAnsi="Arial"/>
                <w:color w:val="111827"/>
                <w:sz w:val="21"/>
                <w:szCs w:val="21"/>
              </w:rPr>
              <w:t xml:space="preserve">8</w:t>
            </w:r>
          </w:p>
        </w:tc>
      </w:tr>
      <w:tr>
        <w:tc>
          <w:tcPr>
            <w:tcW w:type="dxa" w:w="3100"/>
            <w:tcBorders>
              <w:top w:val="single" w:color="CBD5E0" w:sz="1"/>
              <w:left w:val="single" w:color="CBD5E0" w:sz="1"/>
              <w:bottom w:val="single" w:color="CBD5E0" w:sz="1"/>
              <w:right w:val="single" w:color="CBD5E0" w:sz="1"/>
            </w:tcBorders>
            <w:shd w:fill="0B3D91" w:val="clear"/>
            <w:tcMar>
              <w:top w:type="dxa" w:w="120"/>
              <w:left w:type="dxa" w:w="200"/>
              <w:bottom w:type="dxa" w:w="120"/>
              <w:right w:type="dxa" w:w="200"/>
            </w:tcMar>
          </w:tcPr>
          <w:p>
            <w:r>
              <w:rPr>
                <w:rFonts w:ascii="Arial" w:cs="Arial" w:eastAsia="Arial" w:hAnsi="Arial"/>
                <w:b/>
                <w:bCs/>
                <w:color w:val="FFFFFF"/>
                <w:sz w:val="21"/>
                <w:szCs w:val="21"/>
              </w:rPr>
              <w:t xml:space="preserve">Status</w:t>
            </w:r>
          </w:p>
        </w:tc>
        <w:tc>
          <w:tcPr>
            <w:tcW w:type="dxa" w:w="3100"/>
            <w:tcBorders>
              <w:top w:val="single" w:color="CBD5E0" w:sz="1"/>
              <w:left w:val="single" w:color="CBD5E0" w:sz="1"/>
              <w:bottom w:val="single" w:color="CBD5E0" w:sz="1"/>
              <w:right w:val="single" w:color="CBD5E0" w:sz="1"/>
            </w:tcBorders>
            <w:shd w:fill="D6E4F7" w:val="clear"/>
            <w:tcMar>
              <w:top w:type="dxa" w:w="120"/>
              <w:left w:type="dxa" w:w="200"/>
              <w:bottom w:type="dxa" w:w="120"/>
              <w:right w:type="dxa" w:w="200"/>
            </w:tcMar>
          </w:tcPr>
          <w:p>
            <w:r>
              <w:rPr>
                <w:rFonts w:ascii="Arial" w:cs="Arial" w:eastAsia="Arial" w:hAnsi="Arial"/>
                <w:color w:val="111827"/>
                <w:sz w:val="21"/>
                <w:szCs w:val="21"/>
              </w:rPr>
              <w:t xml:space="preserve">Final Draft</w:t>
            </w:r>
          </w:p>
        </w:tc>
      </w:tr>
    </w:tbl>
    <w:p>
      <w:r>
        <w:br w:type="page"/>
      </w:r>
    </w:p>
    <w:p>
      <w:pPr>
        <w:pBdr>
          <w:bottom w:val="single" w:color="0B3D91" w:sz="10" w:space="6"/>
        </w:pBdr>
        <w:spacing w:before="480" w:after="220"/>
      </w:pPr>
      <w:r>
        <w:rPr>
          <w:rFonts w:ascii="Arial" w:cs="Arial" w:eastAsia="Arial" w:hAnsi="Arial"/>
          <w:b/>
          <w:bCs/>
          <w:color w:val="111827"/>
          <w:sz w:val="40"/>
          <w:szCs w:val="40"/>
        </w:rPr>
        <w:t xml:space="preserve">C. Student Management — Feature Details</w:t>
      </w:r>
    </w:p>
    <w:p>
      <w:pPr>
        <w:spacing w:before="80" w:after="380"/>
      </w:pPr>
      <w:r>
        <w:rPr>
          <w:rFonts w:ascii="Arial" w:cs="Arial" w:eastAsia="Arial" w:hAnsi="Arial"/>
          <w:i/>
          <w:iCs/>
          <w:color w:val="1F2937"/>
          <w:sz w:val="22"/>
          <w:szCs w:val="22"/>
        </w:rPr>
        <w:t xml:space="preserve">Student Management is the operational backbone of the platform — governing every aspect of a student's journey from initial enrollment through daily activity tracking. The eight features in this module collectively ensure that student data is accurate, complete, securely governed, and deeply actionable. Each feature below is described in full functional depth, covering workflows, data architecture, access controls, and stakeholder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0B3D91" w:val="clear"/>
            <w:tcMar>
              <w:top w:type="dxa" w:w="150"/>
              <w:left w:type="dxa" w:w="240"/>
              <w:bottom w:type="dxa" w:w="150"/>
              <w:right w:type="dxa" w:w="240"/>
            </w:tcMar>
          </w:tcPr>
          <w:p>
            <w:r>
              <w:rPr>
                <w:rFonts w:ascii="Arial" w:cs="Arial" w:eastAsia="Arial" w:hAnsi="Arial"/>
                <w:b/>
                <w:bCs/>
                <w:color w:val="FFFFFF"/>
                <w:sz w:val="24"/>
                <w:szCs w:val="24"/>
              </w:rPr>
              <w:t xml:space="preserve">1.  </w:t>
            </w:r>
            <w:r>
              <w:rPr>
                <w:rFonts w:ascii="Arial" w:cs="Arial" w:eastAsia="Arial" w:hAnsi="Arial"/>
                <w:b/>
                <w:bCs/>
                <w:color w:val="FFFFFF"/>
                <w:sz w:val="32"/>
                <w:szCs w:val="32"/>
              </w:rPr>
              <w:t xml:space="preserve">Student Enrollment</w:t>
            </w:r>
          </w:p>
        </w:tc>
      </w:tr>
      <w:tr>
        <w:tc>
          <w:tcPr>
            <w:tcW w:type="dxa" w:w="9360"/>
            <w:tcBorders>
              <w:top w:val="single" w:color="CBD5E0" w:sz="1"/>
              <w:left w:val="single" w:color="CBD5E0" w:sz="1"/>
              <w:bottom w:val="single" w:color="CBD5E0" w:sz="1"/>
              <w:right w:val="single" w:color="CBD5E0" w:sz="1"/>
            </w:tcBorders>
            <w:shd w:fill="D6E4F7" w:val="clear"/>
            <w:tcMar>
              <w:top w:type="dxa" w:w="110"/>
              <w:left w:type="dxa" w:w="240"/>
              <w:bottom w:type="dxa" w:w="110"/>
              <w:right w:type="dxa" w:w="240"/>
            </w:tcMar>
          </w:tcPr>
          <w:p>
            <w:r>
              <w:rPr>
                <w:rFonts w:ascii="Arial" w:cs="Arial" w:eastAsia="Arial" w:hAnsi="Arial"/>
                <w:b/>
                <w:bCs/>
                <w:color w:val="0B3D91"/>
                <w:sz w:val="21"/>
                <w:szCs w:val="21"/>
              </w:rPr>
              <w:t xml:space="preserve">Overview  </w:t>
            </w:r>
            <w:r>
              <w:rPr>
                <w:rFonts w:ascii="Arial" w:cs="Arial" w:eastAsia="Arial" w:hAnsi="Arial"/>
                <w:i/>
                <w:iCs/>
                <w:color w:val="1F2937"/>
                <w:sz w:val="21"/>
                <w:szCs w:val="21"/>
              </w:rPr>
              <w:t xml:space="preserve">The formal process through which a new student is onboarded into the institution on the platform — capturing admissions decisions, seat allocation, fee commitment, document submission, and activation of the student's digital academic record from day one.</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1A5276"/>
                <w:sz w:val="21"/>
                <w:szCs w:val="21"/>
              </w:rPr>
              <w:t xml:space="preserve">Admission Application Intake</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Online admission form supporting structured data entry across six sections: Personal Details, Guardian Information, Previous Academic Record, Medical &amp; Health Disclosures, Document Uploads, and Preferences (stream, language, optional subjects).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Multi-channel application acceptance: direct portal submission, school front-desk assisted entry, API intake from third-party admission management systems, and QR-code-based mobile form for walk-in applicants.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Application fee payment integration (Razorpay / PayU / Stripe) with automatic receipt generation and ledger posting to the school's finance module.</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Age eligibility validation: system cross-checks the student's date of birth against grade-level age criteria defined by the affiliated board, flagging under-age or over-age applications for admin review.</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Application acknowledgement: auto-generated application number, confirmation SMS/email to parent, and real-time application status tracker accessible via a public portal link without requiring login.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Duplicate applicant detection: system scans for existing records with matching name, date of birth, and parent mobile number to prevent double applications and data fragmentation.</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1A5276"/>
                <w:sz w:val="21"/>
                <w:szCs w:val="21"/>
              </w:rPr>
              <w:t xml:space="preserve">Admission Decision &amp; Seat Allocation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Merit list generation for competitive admissions: configurable weightage formula combining previous academic marks, entrance test scores, co-curricular achievements, and distance from school.</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Lottery-based seat allocation module for RTE quota and government-mandated random selection admissions — fully auditable with timestamped randomisation logs.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Waiting list management: automatic rank-ordered waiting list maintained per admission category; seat offers are auto-triggered when a confirmed student withdraws.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Conditional admission workflow: ability to mark admissions as 'Provisional' pending document verification or fee payment — automatically converts to 'Confirmed' upon condition fulfilment.</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Sibling preference module: automatic priority flagging for applicants with existing siblings in the school, with configurable bonus points or direct shortlisting options.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Admission offer letter auto-generation: branded, digitally signed PDF offer letter dispatched to parent upon selection, with a deadline-bound acceptance link.</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1A5276"/>
                <w:sz w:val="21"/>
                <w:szCs w:val="21"/>
              </w:rPr>
              <w:t xml:space="preserve">Document Collection &amp; Verification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Mandatory document checklist auto-generated based on grade level, admission category (fresh/transfer/NRI/RTE), and board affiliation — student cannot complete enrollment without uploading all mandatory items.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Document types supported: Birth Certificate, Aadhaar Card, Previous Class Mark Sheet/Report Card, Transfer Certificate (TC), Migration Certificate (for board changes), Caste/Income Certificate, Medical Fitness Certificate, and Passport-size Photographs.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AI-assisted document authenticity check: OCR extraction of key fields (name, date, issuing authority) from uploaded documents with cross-validation against form-filled data — mismatches are flagged for manual review.</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Physical document submission tracking: admin can mark physical originals as 'Received and Verified' separately from digital uploads, maintaining a dual-track verification log.</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Transfer Certificate (TC) number registry: system maintains a searchable TC registry to prevent fraudulent re-use of the same TC for multiple enrollments across schools on the platform.</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1A5276"/>
                <w:sz w:val="21"/>
                <w:szCs w:val="21"/>
              </w:rPr>
              <w:t xml:space="preserve">Enrollment Confirmation &amp; Activation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Fee structure assignment: upon enrollment confirmation, the student's account is automatically linked to the applicable fee plan (grade-wise, category-wise, hostel/day-scholar), generating the first-term fee demand.</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Student portal account activation: login credentials auto-generated and dispatched to the parent's registered mobile/email upon enrollment confirmation — first-login password change enforced.</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Academic record initialisation: the system creates a blank academic ledger for the student, pre-populated with the current academic year's subject list, timetable, and examination schedule.</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Class and section pre-assignment: enrollment can optionally pre-assign the student to a class and section based on available capacity, or defer to the Class Allocation module for batch processing.</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B3D91"/>
                <w:sz w:val="20"/>
                <w:szCs w:val="20"/>
              </w:rPr>
              <w:t xml:space="preserve">▸  </w:t>
            </w:r>
            <w:r>
              <w:rPr>
                <w:rFonts w:ascii="Arial" w:cs="Arial" w:eastAsia="Arial" w:hAnsi="Arial"/>
                <w:color w:val="1F2937"/>
                <w:sz w:val="20"/>
                <w:szCs w:val="20"/>
              </w:rPr>
              <w:t xml:space="preserve">Welcome kit dispatch trigger: enrollment confirmation automatically triggers the school's welcome communication workflow — welcome letter, school handbook PDF, uniform requisition form, and bus route details.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0A6640" w:val="clear"/>
            <w:tcMar>
              <w:top w:type="dxa" w:w="150"/>
              <w:left w:type="dxa" w:w="240"/>
              <w:bottom w:type="dxa" w:w="150"/>
              <w:right w:type="dxa" w:w="240"/>
            </w:tcMar>
          </w:tcPr>
          <w:p>
            <w:r>
              <w:rPr>
                <w:rFonts w:ascii="Arial" w:cs="Arial" w:eastAsia="Arial" w:hAnsi="Arial"/>
                <w:b/>
                <w:bCs/>
                <w:color w:val="FFFFFF"/>
                <w:sz w:val="24"/>
                <w:szCs w:val="24"/>
              </w:rPr>
              <w:t xml:space="preserve">2.  </w:t>
            </w:r>
            <w:r>
              <w:rPr>
                <w:rFonts w:ascii="Arial" w:cs="Arial" w:eastAsia="Arial" w:hAnsi="Arial"/>
                <w:b/>
                <w:bCs/>
                <w:color w:val="FFFFFF"/>
                <w:sz w:val="32"/>
                <w:szCs w:val="32"/>
              </w:rPr>
              <w:t xml:space="preserve">Student Bulk Import (Excel / API)</w:t>
            </w:r>
          </w:p>
        </w:tc>
      </w:tr>
      <w:tr>
        <w:tc>
          <w:tcPr>
            <w:tcW w:type="dxa" w:w="9360"/>
            <w:tcBorders>
              <w:top w:val="single" w:color="CBD5E0" w:sz="1"/>
              <w:left w:val="single" w:color="CBD5E0" w:sz="1"/>
              <w:bottom w:val="single" w:color="CBD5E0" w:sz="1"/>
              <w:right w:val="single" w:color="CBD5E0" w:sz="1"/>
            </w:tcBorders>
            <w:shd w:fill="D4EDDA" w:val="clear"/>
            <w:tcMar>
              <w:top w:type="dxa" w:w="110"/>
              <w:left w:type="dxa" w:w="240"/>
              <w:bottom w:type="dxa" w:w="110"/>
              <w:right w:type="dxa" w:w="240"/>
            </w:tcMar>
          </w:tcPr>
          <w:p>
            <w:r>
              <w:rPr>
                <w:rFonts w:ascii="Arial" w:cs="Arial" w:eastAsia="Arial" w:hAnsi="Arial"/>
                <w:b/>
                <w:bCs/>
                <w:color w:val="0A6640"/>
                <w:sz w:val="21"/>
                <w:szCs w:val="21"/>
              </w:rPr>
              <w:t xml:space="preserve">Overview  </w:t>
            </w:r>
            <w:r>
              <w:rPr>
                <w:rFonts w:ascii="Arial" w:cs="Arial" w:eastAsia="Arial" w:hAnsi="Arial"/>
                <w:i/>
                <w:iCs/>
                <w:color w:val="1F2937"/>
                <w:sz w:val="21"/>
                <w:szCs w:val="21"/>
              </w:rPr>
              <w:t xml:space="preserve">Enables schools to onboard large cohorts of students simultaneously through structured data file uploads or programmatic API integration — critical for new school go-lives, academic year rollovers, and migration from legacy systems.</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0E8A4A"/>
                <w:sz w:val="21"/>
                <w:szCs w:val="21"/>
              </w:rPr>
              <w:t xml:space="preserve">Excel / CSV Import Workflow</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Downloadable master import template (XLSX) with colour-coded mandatory vs. optional columns, inline data validation rules, dropdown lists for categorical fields (gender, category, religion), and an embedded field-by-field guide sheet.</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Pre-import validation engine: upon file upload, the system performs 25+ automated checks including: empty mandatory fields, date format consistency, duplicate registration numbers, invalid email formats, out-of-range age values, and unrecognised board/class codes.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Validation report generated before any data is written — displays a row-by-row error and warning list with column-level error codes, allowing the uploader to fix the source file and re-upload without partial data corruption.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Partial import support: rows that pass all validations are imported immediately while failed rows are quarantined in an error queue for correction and re-processing — preventing a single bad row from blocking an entire batch.</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Import progress dashboard: real-time progress bar showing records processed, records succeeded, records failed, and estimated time to completion for large files (10,000+ rows).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Post-import summary report: downloadable PDF/Excel listing all successfully created student records with assigned Student IDs, and all failed records with specific error reasons — serves as an audit document.</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0E8A4A"/>
                <w:sz w:val="21"/>
                <w:szCs w:val="21"/>
              </w:rPr>
              <w:t xml:space="preserve">API Integration &amp; Automation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RESTful API with JSON payloads supporting full CRUD (Create, Read, Update, Delete) operations on student records — documented via Swagger/OpenAPI 3.0 specification.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Webhook support: schools or third-party systems can subscribe to enrollment events (student.created, student.updated, student.transferred) to trigger downstream workflows in their own systems in real time.</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Authentication via OAuth 2.0 client credentials flow — each integrated system is issued a unique API key with configurable rate limits and IP whitelist restrictions.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Idempotency key support on POST requests ensures that retried API calls due to network failures do not create duplicate student records.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Bulk API endpoint accepting arrays of up to 500 student objects per request, with asynchronous processing and a job ID returned immediately — status polled via a separate jobs endpoint.</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Pre-built connectors available for popular school ERP systems (Fedena, SchoolTool, iGurus, Classpro) enabling plug-and-play migration without custom development.</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0E8A4A"/>
                <w:sz w:val="21"/>
                <w:szCs w:val="21"/>
              </w:rPr>
              <w:t xml:space="preserve">Data Mapping &amp; Transformation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Field mapping studio: a drag-and-drop UI allowing admins to map columns from their source file to platform fields — handles non-standard column names, merged cells, and legacy formats without requiring source file restructuring.</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Data transformation rules: configurable auto-corrections applied during import — e.g., auto-capitalise names, standardise date formats to ISO 8601, convert regional language characters to Unicode, and strip leading/trailing whitespace.</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Custom field support: schools with non-standard data requirements (e.g., tribal district codes, minority institution codes) can create custom student profile fields that are importable via additional columns in the template.</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Historical data import: supports back-dated enrollment records for schools migrating years of historical student data — timestamps are preserved accurately rather than defaulting to import date.</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Photo bulk import: supports a companion ZIP file upload containing student photographs named by roll number or application number — system automatically links photos to matching student records.</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0E8A4A"/>
                <w:sz w:val="21"/>
                <w:szCs w:val="21"/>
              </w:rPr>
              <w:t xml:space="preserve">Governance &amp; Rollback</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Import session log: every bulk import operation is recorded with uploader identity, timestamp, file hash (SHA-256), record count, and outcome — stored for 7 years for audit purposes.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Rollback capability: within 24 hours of a bulk import, an admin can initiate a full rollback of that import session — all records created in that session are deleted, restoring the database to its pre-import state.</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Approval workflow option: large imports (above a configurable threshold, e.g., 200 records) can be configured to require a second-level admin sign-off before records are activated.</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A6640"/>
                <w:sz w:val="20"/>
                <w:szCs w:val="20"/>
              </w:rPr>
              <w:t xml:space="preserve">▸  </w:t>
            </w:r>
            <w:r>
              <w:rPr>
                <w:rFonts w:ascii="Arial" w:cs="Arial" w:eastAsia="Arial" w:hAnsi="Arial"/>
                <w:color w:val="1F2937"/>
                <w:sz w:val="20"/>
                <w:szCs w:val="20"/>
              </w:rPr>
              <w:t xml:space="preserve">Duplicate resolution policy: configurable school-level setting for handling duplicates detected during bulk import — options include Skip (ignore duplicate row), Overwrite (update existing record), or Flag (create record in draft status for manual review).</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8B1A1A" w:val="clear"/>
            <w:tcMar>
              <w:top w:type="dxa" w:w="150"/>
              <w:left w:type="dxa" w:w="240"/>
              <w:bottom w:type="dxa" w:w="150"/>
              <w:right w:type="dxa" w:w="240"/>
            </w:tcMar>
          </w:tcPr>
          <w:p>
            <w:r>
              <w:rPr>
                <w:rFonts w:ascii="Arial" w:cs="Arial" w:eastAsia="Arial" w:hAnsi="Arial"/>
                <w:b/>
                <w:bCs/>
                <w:color w:val="FFFFFF"/>
                <w:sz w:val="24"/>
                <w:szCs w:val="24"/>
              </w:rPr>
              <w:t xml:space="preserve">3.  </w:t>
            </w:r>
            <w:r>
              <w:rPr>
                <w:rFonts w:ascii="Arial" w:cs="Arial" w:eastAsia="Arial" w:hAnsi="Arial"/>
                <w:b/>
                <w:bCs/>
                <w:color w:val="FFFFFF"/>
                <w:sz w:val="32"/>
                <w:szCs w:val="32"/>
              </w:rPr>
              <w:t xml:space="preserve">Student Profile Creation</w:t>
            </w:r>
          </w:p>
        </w:tc>
      </w:tr>
      <w:tr>
        <w:tc>
          <w:tcPr>
            <w:tcW w:type="dxa" w:w="9360"/>
            <w:tcBorders>
              <w:top w:val="single" w:color="CBD5E0" w:sz="1"/>
              <w:left w:val="single" w:color="CBD5E0" w:sz="1"/>
              <w:bottom w:val="single" w:color="CBD5E0" w:sz="1"/>
              <w:right w:val="single" w:color="CBD5E0" w:sz="1"/>
            </w:tcBorders>
            <w:shd w:fill="FAE0E0" w:val="clear"/>
            <w:tcMar>
              <w:top w:type="dxa" w:w="110"/>
              <w:left w:type="dxa" w:w="240"/>
              <w:bottom w:type="dxa" w:w="110"/>
              <w:right w:type="dxa" w:w="240"/>
            </w:tcMar>
          </w:tcPr>
          <w:p>
            <w:r>
              <w:rPr>
                <w:rFonts w:ascii="Arial" w:cs="Arial" w:eastAsia="Arial" w:hAnsi="Arial"/>
                <w:b/>
                <w:bCs/>
                <w:color w:val="8B1A1A"/>
                <w:sz w:val="21"/>
                <w:szCs w:val="21"/>
              </w:rPr>
              <w:t xml:space="preserve">Overview  </w:t>
            </w:r>
            <w:r>
              <w:rPr>
                <w:rFonts w:ascii="Arial" w:cs="Arial" w:eastAsia="Arial" w:hAnsi="Arial"/>
                <w:i/>
                <w:iCs/>
                <w:color w:val="1F2937"/>
                <w:sz w:val="21"/>
                <w:szCs w:val="21"/>
              </w:rPr>
              <w:t xml:space="preserve">The central digital dossier for each student — a rich, multi-sectioned record that aggregates personal, academic, medical, behavioural, and family information into a single authoritative source of truth accessible to authorised stakeholders.</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A93226"/>
                <w:sz w:val="21"/>
                <w:szCs w:val="21"/>
              </w:rPr>
              <w:t xml:space="preserve">Personal &amp; Demographic Information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8B1A1A"/>
                <w:sz w:val="20"/>
                <w:szCs w:val="20"/>
              </w:rPr>
              <w:t xml:space="preserve">▸  </w:t>
            </w:r>
            <w:r>
              <w:rPr>
                <w:rFonts w:ascii="Arial" w:cs="Arial" w:eastAsia="Arial" w:hAnsi="Arial"/>
                <w:color w:val="1F2937"/>
                <w:sz w:val="20"/>
                <w:szCs w:val="20"/>
              </w:rPr>
              <w:t xml:space="preserve">Full legal name (first, middle, last), preferred name/nickname, date of birth, gender identity (with inclusive options), nationality, mother tongue, and religion — all captured with appropriate sensitivity and privacy settings.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8B1A1A"/>
                <w:sz w:val="20"/>
                <w:szCs w:val="20"/>
              </w:rPr>
              <w:t xml:space="preserve">▸  </w:t>
            </w:r>
            <w:r>
              <w:rPr>
                <w:rFonts w:ascii="Arial" w:cs="Arial" w:eastAsia="Arial" w:hAnsi="Arial"/>
                <w:color w:val="1F2937"/>
                <w:sz w:val="20"/>
                <w:szCs w:val="20"/>
              </w:rPr>
              <w:t xml:space="preserve">Aadhaar number (masked display, encrypted storage) or equivalent national ID, linked to DigiLocker for real-time document verification where infrastructure is available.</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8B1A1A"/>
                <w:sz w:val="20"/>
                <w:szCs w:val="20"/>
              </w:rPr>
              <w:t xml:space="preserve">▸  </w:t>
            </w:r>
            <w:r>
              <w:rPr>
                <w:rFonts w:ascii="Arial" w:cs="Arial" w:eastAsia="Arial" w:hAnsi="Arial"/>
                <w:color w:val="1F2937"/>
                <w:sz w:val="20"/>
                <w:szCs w:val="20"/>
              </w:rPr>
              <w:t xml:space="preserve">Contact details: residential address with PIN code (auto-mapped to district and state), current address if different from permanent, and GPS coordinates for bus route assignment.</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8B1A1A"/>
                <w:sz w:val="20"/>
                <w:szCs w:val="20"/>
              </w:rPr>
              <w:t xml:space="preserve">▸  </w:t>
            </w:r>
            <w:r>
              <w:rPr>
                <w:rFonts w:ascii="Arial" w:cs="Arial" w:eastAsia="Arial" w:hAnsi="Arial"/>
                <w:color w:val="1F2937"/>
                <w:sz w:val="20"/>
                <w:szCs w:val="20"/>
              </w:rPr>
              <w:t xml:space="preserve">Photograph: profile photo upload with auto-cropping to standard dimensions, background removal assistance, and low-resolution fallback generation for printed ID cards.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8B1A1A"/>
                <w:sz w:val="20"/>
                <w:szCs w:val="20"/>
              </w:rPr>
              <w:t xml:space="preserve">▸  </w:t>
            </w:r>
            <w:r>
              <w:rPr>
                <w:rFonts w:ascii="Arial" w:cs="Arial" w:eastAsia="Arial" w:hAnsi="Arial"/>
                <w:color w:val="1F2937"/>
                <w:sz w:val="20"/>
                <w:szCs w:val="20"/>
              </w:rPr>
              <w:t xml:space="preserve">Blood group, height, weight (updated annually by school health staff), and primary language of instruction preference.</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A93226"/>
                <w:sz w:val="21"/>
                <w:szCs w:val="21"/>
              </w:rPr>
              <w:t xml:space="preserve">Family &amp; Guardian Information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8B1A1A"/>
                <w:sz w:val="20"/>
                <w:szCs w:val="20"/>
              </w:rPr>
              <w:t xml:space="preserve">▸  </w:t>
            </w:r>
            <w:r>
              <w:rPr>
                <w:rFonts w:ascii="Arial" w:cs="Arial" w:eastAsia="Arial" w:hAnsi="Arial"/>
                <w:color w:val="1F2937"/>
                <w:sz w:val="20"/>
                <w:szCs w:val="20"/>
              </w:rPr>
              <w:t xml:space="preserve">Primary guardian profile: name, relationship, highest education qualification, occupation, employer name, annual income bracket, mobile number, email, and Aadhaar (optional).</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8B1A1A"/>
                <w:sz w:val="20"/>
                <w:szCs w:val="20"/>
              </w:rPr>
              <w:t xml:space="preserve">▸  </w:t>
            </w:r>
            <w:r>
              <w:rPr>
                <w:rFonts w:ascii="Arial" w:cs="Arial" w:eastAsia="Arial" w:hAnsi="Arial"/>
                <w:color w:val="1F2937"/>
                <w:sz w:val="20"/>
                <w:szCs w:val="20"/>
              </w:rPr>
              <w:t xml:space="preserve">Secondary guardian profile: same fields as primary — supports single-parent, joint-custody, and guardian-type (grandparent, legal guardian, state institution) scenarios.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8B1A1A"/>
                <w:sz w:val="20"/>
                <w:szCs w:val="20"/>
              </w:rPr>
              <w:t xml:space="preserve">▸  </w:t>
            </w:r>
            <w:r>
              <w:rPr>
                <w:rFonts w:ascii="Arial" w:cs="Arial" w:eastAsia="Arial" w:hAnsi="Arial"/>
                <w:color w:val="1F2937"/>
                <w:sz w:val="20"/>
                <w:szCs w:val="20"/>
              </w:rPr>
              <w:t xml:space="preserve">Emergency contacts: up to three emergency contacts beyond guardians with name, relationship, and mobile number — displayed prominently on the student's profile for quick access during incidents.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8B1A1A"/>
                <w:sz w:val="20"/>
                <w:szCs w:val="20"/>
              </w:rPr>
              <w:t xml:space="preserve">▸  </w:t>
            </w:r>
            <w:r>
              <w:rPr>
                <w:rFonts w:ascii="Arial" w:cs="Arial" w:eastAsia="Arial" w:hAnsi="Arial"/>
                <w:color w:val="1F2937"/>
                <w:sz w:val="20"/>
                <w:szCs w:val="20"/>
              </w:rPr>
              <w:t xml:space="preserve">Parent digital literacy flag: marks whether parents have completed portal onboarding — triggers simplified onboarding workflows (SMS-first communication, voice call support) for digitally underserved families.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8B1A1A"/>
                <w:sz w:val="20"/>
                <w:szCs w:val="20"/>
              </w:rPr>
              <w:t xml:space="preserve">▸  </w:t>
            </w:r>
            <w:r>
              <w:rPr>
                <w:rFonts w:ascii="Arial" w:cs="Arial" w:eastAsia="Arial" w:hAnsi="Arial"/>
                <w:color w:val="1F2937"/>
                <w:sz w:val="20"/>
                <w:szCs w:val="20"/>
              </w:rPr>
              <w:t xml:space="preserve">Socio-economic indicator fields: BPL (Below Poverty Line) card number, ration card number, and disability certificate reference — used for welfare scheme eligibility determination.</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A93226"/>
                <w:sz w:val="21"/>
                <w:szCs w:val="21"/>
              </w:rPr>
              <w:t xml:space="preserve">Academic History &amp; Records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8B1A1A"/>
                <w:sz w:val="20"/>
                <w:szCs w:val="20"/>
              </w:rPr>
              <w:t xml:space="preserve">▸  </w:t>
            </w:r>
            <w:r>
              <w:rPr>
                <w:rFonts w:ascii="Arial" w:cs="Arial" w:eastAsia="Arial" w:hAnsi="Arial"/>
                <w:color w:val="1F2937"/>
                <w:sz w:val="20"/>
                <w:szCs w:val="20"/>
              </w:rPr>
              <w:t xml:space="preserve">Previous school name, board, class last attended, year of passing, and reason for transfer — validated against the uploaded Transfer Certificate.</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8B1A1A"/>
                <w:sz w:val="20"/>
                <w:szCs w:val="20"/>
              </w:rPr>
              <w:t xml:space="preserve">▸  </w:t>
            </w:r>
            <w:r>
              <w:rPr>
                <w:rFonts w:ascii="Arial" w:cs="Arial" w:eastAsia="Arial" w:hAnsi="Arial"/>
                <w:color w:val="1F2937"/>
                <w:sz w:val="20"/>
                <w:szCs w:val="20"/>
              </w:rPr>
              <w:t xml:space="preserve">Previous academic performance: marks/grades from last class imported or manually entered — forms the baseline for learning gap assessment and initial class placement.</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8B1A1A"/>
                <w:sz w:val="20"/>
                <w:szCs w:val="20"/>
              </w:rPr>
              <w:t xml:space="preserve">▸  </w:t>
            </w:r>
            <w:r>
              <w:rPr>
                <w:rFonts w:ascii="Arial" w:cs="Arial" w:eastAsia="Arial" w:hAnsi="Arial"/>
                <w:color w:val="1F2937"/>
                <w:sz w:val="20"/>
                <w:szCs w:val="20"/>
              </w:rPr>
              <w:t xml:space="preserve">Scholarship and fee concession history: records of any scholarships, government grants, or school-awarded fee waivers linked to the student's financial profile.</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8B1A1A"/>
                <w:sz w:val="20"/>
                <w:szCs w:val="20"/>
              </w:rPr>
              <w:t xml:space="preserve">▸  </w:t>
            </w:r>
            <w:r>
              <w:rPr>
                <w:rFonts w:ascii="Arial" w:cs="Arial" w:eastAsia="Arial" w:hAnsi="Arial"/>
                <w:color w:val="1F2937"/>
                <w:sz w:val="20"/>
                <w:szCs w:val="20"/>
              </w:rPr>
              <w:t xml:space="preserve">Extracurricular history from previous school: sports, arts, leadership roles, and certifications — feeds into the student's cumulative co-curricular profile on the platform.</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8B1A1A"/>
                <w:sz w:val="20"/>
                <w:szCs w:val="20"/>
              </w:rPr>
              <w:t xml:space="preserve">▸  </w:t>
            </w:r>
            <w:r>
              <w:rPr>
                <w:rFonts w:ascii="Arial" w:cs="Arial" w:eastAsia="Arial" w:hAnsi="Arial"/>
                <w:color w:val="1F2937"/>
                <w:sz w:val="20"/>
                <w:szCs w:val="20"/>
              </w:rPr>
              <w:t xml:space="preserve">Special educational needs (SEN) declaration: type of learning support required, previous IEP (Individualised Education Plan) documents, and assessments from educational psychologists — access restricted to authorised staff.</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A93226"/>
                <w:sz w:val="21"/>
                <w:szCs w:val="21"/>
              </w:rPr>
              <w:t xml:space="preserve">Medical &amp; Wellness Profile</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8B1A1A"/>
                <w:sz w:val="20"/>
                <w:szCs w:val="20"/>
              </w:rPr>
              <w:t xml:space="preserve">▸  </w:t>
            </w:r>
            <w:r>
              <w:rPr>
                <w:rFonts w:ascii="Arial" w:cs="Arial" w:eastAsia="Arial" w:hAnsi="Arial"/>
                <w:color w:val="1F2937"/>
                <w:sz w:val="20"/>
                <w:szCs w:val="20"/>
              </w:rPr>
              <w:t xml:space="preserve">Known medical conditions, chronic illnesses, and diagnosed disabilities — entered by parent and countersigned by school health staff after physical verification.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8B1A1A"/>
                <w:sz w:val="20"/>
                <w:szCs w:val="20"/>
              </w:rPr>
              <w:t xml:space="preserve">▸  </w:t>
            </w:r>
            <w:r>
              <w:rPr>
                <w:rFonts w:ascii="Arial" w:cs="Arial" w:eastAsia="Arial" w:hAnsi="Arial"/>
                <w:color w:val="1F2937"/>
                <w:sz w:val="20"/>
                <w:szCs w:val="20"/>
              </w:rPr>
              <w:t xml:space="preserve">Allergy registry: food allergies, medication allergies, and environmental allergies with severity level (Mild / Moderate / Severe / Anaphylactic) and emergency protocol instructions.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8B1A1A"/>
                <w:sz w:val="20"/>
                <w:szCs w:val="20"/>
              </w:rPr>
              <w:t xml:space="preserve">▸  </w:t>
            </w:r>
            <w:r>
              <w:rPr>
                <w:rFonts w:ascii="Arial" w:cs="Arial" w:eastAsia="Arial" w:hAnsi="Arial"/>
                <w:color w:val="1F2937"/>
                <w:sz w:val="20"/>
                <w:szCs w:val="20"/>
              </w:rPr>
              <w:t xml:space="preserve">Vaccination record: list of immunisations received with dates — cross-referenced against the national immunisation schedule to flag overdue vaccinations.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8B1A1A"/>
                <w:sz w:val="20"/>
                <w:szCs w:val="20"/>
              </w:rPr>
              <w:t xml:space="preserve">▸  </w:t>
            </w:r>
            <w:r>
              <w:rPr>
                <w:rFonts w:ascii="Arial" w:cs="Arial" w:eastAsia="Arial" w:hAnsi="Arial"/>
                <w:color w:val="1F2937"/>
                <w:sz w:val="20"/>
                <w:szCs w:val="20"/>
              </w:rPr>
              <w:t xml:space="preserve">Medications administered at school: any prescription medications that need to be administered during school hours, with dosage, schedule, and authorising doctor's details.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8B1A1A"/>
                <w:sz w:val="20"/>
                <w:szCs w:val="20"/>
              </w:rPr>
              <w:t xml:space="preserve">▸  </w:t>
            </w:r>
            <w:r>
              <w:rPr>
                <w:rFonts w:ascii="Arial" w:cs="Arial" w:eastAsia="Arial" w:hAnsi="Arial"/>
                <w:color w:val="1F2937"/>
                <w:sz w:val="20"/>
                <w:szCs w:val="20"/>
              </w:rPr>
              <w:t xml:space="preserve">Counselling and mental health notes: accessible only to school counsellors and principal — maintains a confidential log of welfare check-ins, concerns raised, and support provided.</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4A235A" w:val="clear"/>
            <w:tcMar>
              <w:top w:type="dxa" w:w="150"/>
              <w:left w:type="dxa" w:w="240"/>
              <w:bottom w:type="dxa" w:w="150"/>
              <w:right w:type="dxa" w:w="240"/>
            </w:tcMar>
          </w:tcPr>
          <w:p>
            <w:r>
              <w:rPr>
                <w:rFonts w:ascii="Arial" w:cs="Arial" w:eastAsia="Arial" w:hAnsi="Arial"/>
                <w:b/>
                <w:bCs/>
                <w:color w:val="FFFFFF"/>
                <w:sz w:val="24"/>
                <w:szCs w:val="24"/>
              </w:rPr>
              <w:t xml:space="preserve">4.  </w:t>
            </w:r>
            <w:r>
              <w:rPr>
                <w:rFonts w:ascii="Arial" w:cs="Arial" w:eastAsia="Arial" w:hAnsi="Arial"/>
                <w:b/>
                <w:bCs/>
                <w:color w:val="FFFFFF"/>
                <w:sz w:val="32"/>
                <w:szCs w:val="32"/>
              </w:rPr>
              <w:t xml:space="preserve">Student Profile Editing</w:t>
            </w:r>
          </w:p>
        </w:tc>
      </w:tr>
      <w:tr>
        <w:tc>
          <w:tcPr>
            <w:tcW w:type="dxa" w:w="9360"/>
            <w:tcBorders>
              <w:top w:val="single" w:color="CBD5E0" w:sz="1"/>
              <w:left w:val="single" w:color="CBD5E0" w:sz="1"/>
              <w:bottom w:val="single" w:color="CBD5E0" w:sz="1"/>
              <w:right w:val="single" w:color="CBD5E0" w:sz="1"/>
            </w:tcBorders>
            <w:shd w:fill="F0E6FA" w:val="clear"/>
            <w:tcMar>
              <w:top w:type="dxa" w:w="110"/>
              <w:left w:type="dxa" w:w="240"/>
              <w:bottom w:type="dxa" w:w="110"/>
              <w:right w:type="dxa" w:w="240"/>
            </w:tcMar>
          </w:tcPr>
          <w:p>
            <w:r>
              <w:rPr>
                <w:rFonts w:ascii="Arial" w:cs="Arial" w:eastAsia="Arial" w:hAnsi="Arial"/>
                <w:b/>
                <w:bCs/>
                <w:color w:val="4A235A"/>
                <w:sz w:val="21"/>
                <w:szCs w:val="21"/>
              </w:rPr>
              <w:t xml:space="preserve">Overview  </w:t>
            </w:r>
            <w:r>
              <w:rPr>
                <w:rFonts w:ascii="Arial" w:cs="Arial" w:eastAsia="Arial" w:hAnsi="Arial"/>
                <w:i/>
                <w:iCs/>
                <w:color w:val="1F2937"/>
                <w:sz w:val="21"/>
                <w:szCs w:val="21"/>
              </w:rPr>
              <w:t xml:space="preserve">Provides a structured, access-controlled workflow for updating student profile information — balancing the need for accurate, current records with governance safeguards against unauthorised or erroneous changes to critical academic data.</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7D3C98"/>
                <w:sz w:val="21"/>
                <w:szCs w:val="21"/>
              </w:rPr>
              <w:t xml:space="preserve">Edit Access Control &amp; Permissions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4A235A"/>
                <w:sz w:val="20"/>
                <w:szCs w:val="20"/>
              </w:rPr>
              <w:t xml:space="preserve">▸  </w:t>
            </w:r>
            <w:r>
              <w:rPr>
                <w:rFonts w:ascii="Arial" w:cs="Arial" w:eastAsia="Arial" w:hAnsi="Arial"/>
                <w:color w:val="1F2937"/>
                <w:sz w:val="20"/>
                <w:szCs w:val="20"/>
              </w:rPr>
              <w:t xml:space="preserve">Role-based edit permissions matrix: Super Admin (full edit access to all fields), Class Teacher (limited to academic and behavioural fields), Parent/Guardian (limited to contact and medical fields), Student (limited to preference and communication settings only).</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4A235A"/>
                <w:sz w:val="20"/>
                <w:szCs w:val="20"/>
              </w:rPr>
              <w:t xml:space="preserve">▸  </w:t>
            </w:r>
            <w:r>
              <w:rPr>
                <w:rFonts w:ascii="Arial" w:cs="Arial" w:eastAsia="Arial" w:hAnsi="Arial"/>
                <w:color w:val="1F2937"/>
                <w:sz w:val="20"/>
                <w:szCs w:val="20"/>
              </w:rPr>
              <w:t xml:space="preserve">Field-level locking: critical fields such as Student Name, Date of Birth, Aadhaar Number, and Enrollment Date are locked post-verification and require a formal change request with supporting documentation to modify.</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4A235A"/>
                <w:sz w:val="20"/>
                <w:szCs w:val="20"/>
              </w:rPr>
              <w:t xml:space="preserve">▸  </w:t>
            </w:r>
            <w:r>
              <w:rPr>
                <w:rFonts w:ascii="Arial" w:cs="Arial" w:eastAsia="Arial" w:hAnsi="Arial"/>
                <w:color w:val="1F2937"/>
                <w:sz w:val="20"/>
                <w:szCs w:val="20"/>
              </w:rPr>
              <w:t xml:space="preserve">Bulk edit mode: admin can select multiple student records and update a common field (e.g., update bus route for all students in a locality, or update class teacher assignment for a section) in a single operation.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4A235A"/>
                <w:sz w:val="20"/>
                <w:szCs w:val="20"/>
              </w:rPr>
              <w:t xml:space="preserve">▸  </w:t>
            </w:r>
            <w:r>
              <w:rPr>
                <w:rFonts w:ascii="Arial" w:cs="Arial" w:eastAsia="Arial" w:hAnsi="Arial"/>
                <w:color w:val="1F2937"/>
                <w:sz w:val="20"/>
                <w:szCs w:val="20"/>
              </w:rPr>
              <w:t xml:space="preserve">Edit expiry windows: certain fields (e.g., subject elective selection, optional language) have edit-allowed periods aligned to academic milestones — outside these windows, the fields are automatically locked.</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4A235A"/>
                <w:sz w:val="20"/>
                <w:szCs w:val="20"/>
              </w:rPr>
              <w:t xml:space="preserve">▸  </w:t>
            </w:r>
            <w:r>
              <w:rPr>
                <w:rFonts w:ascii="Arial" w:cs="Arial" w:eastAsia="Arial" w:hAnsi="Arial"/>
                <w:color w:val="1F2937"/>
                <w:sz w:val="20"/>
                <w:szCs w:val="20"/>
              </w:rPr>
              <w:t xml:space="preserve">Delegation controls: class teachers can be granted temporary elevated edit permissions for a specific period (e.g., during admission updates) by the admin, with automatic permission revocation on the set expiry date.</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7D3C98"/>
                <w:sz w:val="21"/>
                <w:szCs w:val="21"/>
              </w:rPr>
              <w:t xml:space="preserve">Change Request &amp; Approval Workflow</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4A235A"/>
                <w:sz w:val="20"/>
                <w:szCs w:val="20"/>
              </w:rPr>
              <w:t xml:space="preserve">▸  </w:t>
            </w:r>
            <w:r>
              <w:rPr>
                <w:rFonts w:ascii="Arial" w:cs="Arial" w:eastAsia="Arial" w:hAnsi="Arial"/>
                <w:color w:val="1F2937"/>
                <w:sz w:val="20"/>
                <w:szCs w:val="20"/>
              </w:rPr>
              <w:t xml:space="preserve">For locked-field edits, a formal Change Request is raised by the editing party — specifying the field, current value, proposed value, reason for change, and supporting document upload.</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4A235A"/>
                <w:sz w:val="20"/>
                <w:szCs w:val="20"/>
              </w:rPr>
              <w:t xml:space="preserve">▸  </w:t>
            </w:r>
            <w:r>
              <w:rPr>
                <w:rFonts w:ascii="Arial" w:cs="Arial" w:eastAsia="Arial" w:hAnsi="Arial"/>
                <w:color w:val="1F2937"/>
                <w:sz w:val="20"/>
                <w:szCs w:val="20"/>
              </w:rPr>
              <w:t xml:space="preserve">Approval routing: change requests are routed to the appropriate approver based on field sensitivity — name corrections go to Admin, grade changes go to Academic Coordinator, medical updates go to School Nurse/Health Admin.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4A235A"/>
                <w:sz w:val="20"/>
                <w:szCs w:val="20"/>
              </w:rPr>
              <w:t xml:space="preserve">▸  </w:t>
            </w:r>
            <w:r>
              <w:rPr>
                <w:rFonts w:ascii="Arial" w:cs="Arial" w:eastAsia="Arial" w:hAnsi="Arial"/>
                <w:color w:val="1F2937"/>
                <w:sz w:val="20"/>
                <w:szCs w:val="20"/>
              </w:rPr>
              <w:t xml:space="preserve">SLA-based escalation: if a change request is not actioned within the defined SLA (e.g., 48 hours for contact updates, 5 days for academic record changes), it automatically escalates to the next authority level.</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4A235A"/>
                <w:sz w:val="20"/>
                <w:szCs w:val="20"/>
              </w:rPr>
              <w:t xml:space="preserve">▸  </w:t>
            </w:r>
            <w:r>
              <w:rPr>
                <w:rFonts w:ascii="Arial" w:cs="Arial" w:eastAsia="Arial" w:hAnsi="Arial"/>
                <w:color w:val="1F2937"/>
                <w:sz w:val="20"/>
                <w:szCs w:val="20"/>
              </w:rPr>
              <w:t xml:space="preserve">Parent-initiated corrections: parents can flag a data discrepancy directly from their portal view — this creates a pre-populated change request for admin review without requiring the parent to contact the school separately.</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4A235A"/>
                <w:sz w:val="20"/>
                <w:szCs w:val="20"/>
              </w:rPr>
              <w:t xml:space="preserve">▸  </w:t>
            </w:r>
            <w:r>
              <w:rPr>
                <w:rFonts w:ascii="Arial" w:cs="Arial" w:eastAsia="Arial" w:hAnsi="Arial"/>
                <w:color w:val="1F2937"/>
                <w:sz w:val="20"/>
                <w:szCs w:val="20"/>
              </w:rPr>
              <w:t xml:space="preserve">Approval audit trail: every approved or rejected change request is permanently logged with approver identity, decision timestamp, and comments — non-deletable for compliance purposes.</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7D3C98"/>
                <w:sz w:val="21"/>
                <w:szCs w:val="21"/>
              </w:rPr>
              <w:t xml:space="preserve">Version History &amp; Audit Log</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4A235A"/>
                <w:sz w:val="20"/>
                <w:szCs w:val="20"/>
              </w:rPr>
              <w:t xml:space="preserve">▸  </w:t>
            </w:r>
            <w:r>
              <w:rPr>
                <w:rFonts w:ascii="Arial" w:cs="Arial" w:eastAsia="Arial" w:hAnsi="Arial"/>
                <w:color w:val="1F2937"/>
                <w:sz w:val="20"/>
                <w:szCs w:val="20"/>
              </w:rPr>
              <w:t xml:space="preserve">Complete edit history maintained for every student profile field — displaying old value, new value, edited by, edited on, and approval chain for each change.</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4A235A"/>
                <w:sz w:val="20"/>
                <w:szCs w:val="20"/>
              </w:rPr>
              <w:t xml:space="preserve">▸  </w:t>
            </w:r>
            <w:r>
              <w:rPr>
                <w:rFonts w:ascii="Arial" w:cs="Arial" w:eastAsia="Arial" w:hAnsi="Arial"/>
                <w:color w:val="1F2937"/>
                <w:sz w:val="20"/>
                <w:szCs w:val="20"/>
              </w:rPr>
              <w:t xml:space="preserve">Point-in-time profile reconstruction: admins can view the exact state of a student's profile at any past date — critical for resolving disputes about information provided during board exam registration or scholarship applications.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4A235A"/>
                <w:sz w:val="20"/>
                <w:szCs w:val="20"/>
              </w:rPr>
              <w:t xml:space="preserve">▸  </w:t>
            </w:r>
            <w:r>
              <w:rPr>
                <w:rFonts w:ascii="Arial" w:cs="Arial" w:eastAsia="Arial" w:hAnsi="Arial"/>
                <w:color w:val="1F2937"/>
                <w:sz w:val="20"/>
                <w:szCs w:val="20"/>
              </w:rPr>
              <w:t xml:space="preserve">Bulk change log: a dedicated log for changes made via bulk import or bulk edit operations, separate from individual edit logs, for cleaner audit trails.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4A235A"/>
                <w:sz w:val="20"/>
                <w:szCs w:val="20"/>
              </w:rPr>
              <w:t xml:space="preserve">▸  </w:t>
            </w:r>
            <w:r>
              <w:rPr>
                <w:rFonts w:ascii="Arial" w:cs="Arial" w:eastAsia="Arial" w:hAnsi="Arial"/>
                <w:color w:val="1F2937"/>
                <w:sz w:val="20"/>
                <w:szCs w:val="20"/>
              </w:rPr>
              <w:t xml:space="preserve">Change frequency anomaly detection: system flags profiles that have been edited more than a configurable threshold (e.g., 5 times in 30 days) and alerts the principal for review.</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4A235A"/>
                <w:sz w:val="20"/>
                <w:szCs w:val="20"/>
              </w:rPr>
              <w:t xml:space="preserve">▸  </w:t>
            </w:r>
            <w:r>
              <w:rPr>
                <w:rFonts w:ascii="Arial" w:cs="Arial" w:eastAsia="Arial" w:hAnsi="Arial"/>
                <w:color w:val="1F2937"/>
                <w:sz w:val="20"/>
                <w:szCs w:val="20"/>
              </w:rPr>
              <w:t xml:space="preserve">Export of change history: full edit log for any student record can be exported as a signed PDF for inclusion in legal proceedings, board inquiries, or school inspection evidence.</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7D3C98"/>
                <w:sz w:val="21"/>
                <w:szCs w:val="21"/>
              </w:rPr>
              <w:t xml:space="preserve">Data Integrity &amp; Validation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4A235A"/>
                <w:sz w:val="20"/>
                <w:szCs w:val="20"/>
              </w:rPr>
              <w:t xml:space="preserve">▸  </w:t>
            </w:r>
            <w:r>
              <w:rPr>
                <w:rFonts w:ascii="Arial" w:cs="Arial" w:eastAsia="Arial" w:hAnsi="Arial"/>
                <w:color w:val="1F2937"/>
                <w:sz w:val="20"/>
                <w:szCs w:val="20"/>
              </w:rPr>
              <w:t xml:space="preserve">Real-time field-level validation on all editable inputs: format checks (email, phone, PIN code, Aadhaar), range checks (age, marks), and referential integrity checks (class codes, subject codes must exist in the system).</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4A235A"/>
                <w:sz w:val="20"/>
                <w:szCs w:val="20"/>
              </w:rPr>
              <w:t xml:space="preserve">▸  </w:t>
            </w:r>
            <w:r>
              <w:rPr>
                <w:rFonts w:ascii="Arial" w:cs="Arial" w:eastAsia="Arial" w:hAnsi="Arial"/>
                <w:color w:val="1F2937"/>
                <w:sz w:val="20"/>
                <w:szCs w:val="20"/>
              </w:rPr>
              <w:t xml:space="preserve">Cross-record consistency checks triggered on save: e.g., if date of birth is edited, age-grade consistency is re-validated and a warning is raised if the student would be significantly over/under-age for their current class.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4A235A"/>
                <w:sz w:val="20"/>
                <w:szCs w:val="20"/>
              </w:rPr>
              <w:t xml:space="preserve">▸  </w:t>
            </w:r>
            <w:r>
              <w:rPr>
                <w:rFonts w:ascii="Arial" w:cs="Arial" w:eastAsia="Arial" w:hAnsi="Arial"/>
                <w:color w:val="1F2937"/>
                <w:sz w:val="20"/>
                <w:szCs w:val="20"/>
              </w:rPr>
              <w:t xml:space="preserve">Duplicate detection on key field edits: editing a mobile number or email triggers a check for whether the new value already exists on another profile, preventing accidental contact information overlap.</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4A235A"/>
                <w:sz w:val="20"/>
                <w:szCs w:val="20"/>
              </w:rPr>
              <w:t xml:space="preserve">▸  </w:t>
            </w:r>
            <w:r>
              <w:rPr>
                <w:rFonts w:ascii="Arial" w:cs="Arial" w:eastAsia="Arial" w:hAnsi="Arial"/>
                <w:color w:val="1F2937"/>
                <w:sz w:val="20"/>
                <w:szCs w:val="20"/>
              </w:rPr>
              <w:t xml:space="preserve">Mandatory re-verification trigger: editing certain high-value fields (Aadhaar, date of birth, parent mobile) automatically places the updated value in 'Pending Verification' status until an OTP confirmation or document re-upload is completed.</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0E6655" w:val="clear"/>
            <w:tcMar>
              <w:top w:type="dxa" w:w="150"/>
              <w:left w:type="dxa" w:w="240"/>
              <w:bottom w:type="dxa" w:w="150"/>
              <w:right w:type="dxa" w:w="240"/>
            </w:tcMar>
          </w:tcPr>
          <w:p>
            <w:r>
              <w:rPr>
                <w:rFonts w:ascii="Arial" w:cs="Arial" w:eastAsia="Arial" w:hAnsi="Arial"/>
                <w:b/>
                <w:bCs/>
                <w:color w:val="FFFFFF"/>
                <w:sz w:val="24"/>
                <w:szCs w:val="24"/>
              </w:rPr>
              <w:t xml:space="preserve">5.  </w:t>
            </w:r>
            <w:r>
              <w:rPr>
                <w:rFonts w:ascii="Arial" w:cs="Arial" w:eastAsia="Arial" w:hAnsi="Arial"/>
                <w:b/>
                <w:bCs/>
                <w:color w:val="FFFFFF"/>
                <w:sz w:val="32"/>
                <w:szCs w:val="32"/>
              </w:rPr>
              <w:t xml:space="preserve">Class Allocation</w:t>
            </w:r>
          </w:p>
        </w:tc>
      </w:tr>
      <w:tr>
        <w:tc>
          <w:tcPr>
            <w:tcW w:type="dxa" w:w="9360"/>
            <w:tcBorders>
              <w:top w:val="single" w:color="CBD5E0" w:sz="1"/>
              <w:left w:val="single" w:color="CBD5E0" w:sz="1"/>
              <w:bottom w:val="single" w:color="CBD5E0" w:sz="1"/>
              <w:right w:val="single" w:color="CBD5E0" w:sz="1"/>
            </w:tcBorders>
            <w:shd w:fill="D0EDE8" w:val="clear"/>
            <w:tcMar>
              <w:top w:type="dxa" w:w="110"/>
              <w:left w:type="dxa" w:w="240"/>
              <w:bottom w:type="dxa" w:w="110"/>
              <w:right w:type="dxa" w:w="240"/>
            </w:tcMar>
          </w:tcPr>
          <w:p>
            <w:r>
              <w:rPr>
                <w:rFonts w:ascii="Arial" w:cs="Arial" w:eastAsia="Arial" w:hAnsi="Arial"/>
                <w:b/>
                <w:bCs/>
                <w:color w:val="0E6655"/>
                <w:sz w:val="21"/>
                <w:szCs w:val="21"/>
              </w:rPr>
              <w:t xml:space="preserve">Overview  </w:t>
            </w:r>
            <w:r>
              <w:rPr>
                <w:rFonts w:ascii="Arial" w:cs="Arial" w:eastAsia="Arial" w:hAnsi="Arial"/>
                <w:i/>
                <w:iCs/>
                <w:color w:val="1F2937"/>
                <w:sz w:val="21"/>
                <w:szCs w:val="21"/>
              </w:rPr>
              <w:t xml:space="preserve">The intelligent process of assigning enrolled students to specific grades and classes — balancing section strength, demographic equity, academic distribution, and special needs accommodations to create well-composed, manageable class groups.</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148F77"/>
                <w:sz w:val="21"/>
                <w:szCs w:val="21"/>
              </w:rPr>
              <w:t xml:space="preserve">Allocation Rules Engine</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E6655"/>
                <w:sz w:val="20"/>
                <w:szCs w:val="20"/>
              </w:rPr>
              <w:t xml:space="preserve">▸  </w:t>
            </w:r>
            <w:r>
              <w:rPr>
                <w:rFonts w:ascii="Arial" w:cs="Arial" w:eastAsia="Arial" w:hAnsi="Arial"/>
                <w:color w:val="1F2937"/>
                <w:sz w:val="20"/>
                <w:szCs w:val="20"/>
              </w:rPr>
              <w:t xml:space="preserve">Configurable allocation policies at the school level: Pure Capacity Fill (fill sections sequentially), Random Distribution (lottery-based for fairness), Merit-Based Streaming (group by academic performance), or Mixed/Balanced (distribute performance bands evenly across sections).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E6655"/>
                <w:sz w:val="20"/>
                <w:szCs w:val="20"/>
              </w:rPr>
              <w:t xml:space="preserve">▸  </w:t>
            </w:r>
            <w:r>
              <w:rPr>
                <w:rFonts w:ascii="Arial" w:cs="Arial" w:eastAsia="Arial" w:hAnsi="Arial"/>
                <w:color w:val="1F2937"/>
                <w:sz w:val="20"/>
                <w:szCs w:val="20"/>
              </w:rPr>
              <w:t xml:space="preserve">Gender balance constraints: configurable target ratios per section — e.g., maintain 45–55% gender ratio — with automatic redistribution suggestions when allocations drift outside the defined band.</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E6655"/>
                <w:sz w:val="20"/>
                <w:szCs w:val="20"/>
              </w:rPr>
              <w:t xml:space="preserve">▸  </w:t>
            </w:r>
            <w:r>
              <w:rPr>
                <w:rFonts w:ascii="Arial" w:cs="Arial" w:eastAsia="Arial" w:hAnsi="Arial"/>
                <w:color w:val="1F2937"/>
                <w:sz w:val="20"/>
                <w:szCs w:val="20"/>
              </w:rPr>
              <w:t xml:space="preserve">Special needs accommodation: students with declared SEN or physical disabilities are preferentially allocated to sections with ground-floor classrooms, smaller section strength, or shadow teacher availability.</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E6655"/>
                <w:sz w:val="20"/>
                <w:szCs w:val="20"/>
              </w:rPr>
              <w:t xml:space="preserve">▸  </w:t>
            </w:r>
            <w:r>
              <w:rPr>
                <w:rFonts w:ascii="Arial" w:cs="Arial" w:eastAsia="Arial" w:hAnsi="Arial"/>
                <w:color w:val="1F2937"/>
                <w:sz w:val="20"/>
                <w:szCs w:val="20"/>
              </w:rPr>
              <w:t xml:space="preserve">Sibling co-location preference: configurable option to place siblings in the same or different sections — useful for schools managing familial dynamics or pooled transport.</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E6655"/>
                <w:sz w:val="20"/>
                <w:szCs w:val="20"/>
              </w:rPr>
              <w:t xml:space="preserve">▸  </w:t>
            </w:r>
            <w:r>
              <w:rPr>
                <w:rFonts w:ascii="Arial" w:cs="Arial" w:eastAsia="Arial" w:hAnsi="Arial"/>
                <w:color w:val="1F2937"/>
                <w:sz w:val="20"/>
                <w:szCs w:val="20"/>
              </w:rPr>
              <w:t xml:space="preserve">Teacher-student continuity: option to follow a class cohort with the same form teacher for multiple years (loop teaching model) — allocation engine respects teacher-class continuity rules where configured.</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E6655"/>
                <w:sz w:val="20"/>
                <w:szCs w:val="20"/>
              </w:rPr>
              <w:t xml:space="preserve">▸  </w:t>
            </w:r>
            <w:r>
              <w:rPr>
                <w:rFonts w:ascii="Arial" w:cs="Arial" w:eastAsia="Arial" w:hAnsi="Arial"/>
                <w:color w:val="1F2937"/>
                <w:sz w:val="20"/>
                <w:szCs w:val="20"/>
              </w:rPr>
              <w:t xml:space="preserve">Manual override with justification: admins can override any algorithm-suggested allocation, but must provide a reason — overrides are flagged in the allocation report for transparency.</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148F77"/>
                <w:sz w:val="21"/>
                <w:szCs w:val="21"/>
              </w:rPr>
              <w:t xml:space="preserve">Capacity &amp; Section Management</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E6655"/>
                <w:sz w:val="20"/>
                <w:szCs w:val="20"/>
              </w:rPr>
              <w:t xml:space="preserve">▸  </w:t>
            </w:r>
            <w:r>
              <w:rPr>
                <w:rFonts w:ascii="Arial" w:cs="Arial" w:eastAsia="Arial" w:hAnsi="Arial"/>
                <w:color w:val="1F2937"/>
                <w:sz w:val="20"/>
                <w:szCs w:val="20"/>
              </w:rPr>
              <w:t xml:space="preserve">Section capacity dashboard: real-time view of current strength vs. sanctioned strength for every section — sections at &gt;95% capacity are highlighted in amber, &gt;100% in red.</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E6655"/>
                <w:sz w:val="20"/>
                <w:szCs w:val="20"/>
              </w:rPr>
              <w:t xml:space="preserve">▸  </w:t>
            </w:r>
            <w:r>
              <w:rPr>
                <w:rFonts w:ascii="Arial" w:cs="Arial" w:eastAsia="Arial" w:hAnsi="Arial"/>
                <w:color w:val="1F2937"/>
                <w:sz w:val="20"/>
                <w:szCs w:val="20"/>
              </w:rPr>
              <w:t xml:space="preserve">Auto-balance trigger: when a section exceeds its capacity threshold, the system automatically suggests rebalancing moves (shifting the most recently enrolled students to under-utilised sections) for admin approval.</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E6655"/>
                <w:sz w:val="20"/>
                <w:szCs w:val="20"/>
              </w:rPr>
              <w:t xml:space="preserve">▸  </w:t>
            </w:r>
            <w:r>
              <w:rPr>
                <w:rFonts w:ascii="Arial" w:cs="Arial" w:eastAsia="Arial" w:hAnsi="Arial"/>
                <w:color w:val="1F2937"/>
                <w:sz w:val="20"/>
                <w:szCs w:val="20"/>
              </w:rPr>
              <w:t xml:space="preserve">Section split workflow: guided workflow for splitting an over-subscribed section into two — generates a proposed split list, creates the new section, and re-assigns affected students, timetables, and teacher assignments in one operation.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E6655"/>
                <w:sz w:val="20"/>
                <w:szCs w:val="20"/>
              </w:rPr>
              <w:t xml:space="preserve">▸  </w:t>
            </w:r>
            <w:r>
              <w:rPr>
                <w:rFonts w:ascii="Arial" w:cs="Arial" w:eastAsia="Arial" w:hAnsi="Arial"/>
                <w:color w:val="1F2937"/>
                <w:sz w:val="20"/>
                <w:szCs w:val="20"/>
              </w:rPr>
              <w:t xml:space="preserve">Cross-grade allocation support: for bridge courses, remedial streams, or multi-grade classrooms (common in rural schools), students can be allocated to a different grade's section for specific subjects.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E6655"/>
                <w:sz w:val="20"/>
                <w:szCs w:val="20"/>
              </w:rPr>
              <w:t xml:space="preserve">▸  </w:t>
            </w:r>
            <w:r>
              <w:rPr>
                <w:rFonts w:ascii="Arial" w:cs="Arial" w:eastAsia="Arial" w:hAnsi="Arial"/>
                <w:color w:val="1F2937"/>
                <w:sz w:val="20"/>
                <w:szCs w:val="20"/>
              </w:rPr>
              <w:t xml:space="preserve">Historical allocation records: stores the complete allocation history for every student — section movements across academic years visible in a timeline view on the student profile.</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148F77"/>
                <w:sz w:val="21"/>
                <w:szCs w:val="21"/>
              </w:rPr>
              <w:t xml:space="preserve">Allocation Workflow &amp; Approvals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E6655"/>
                <w:sz w:val="20"/>
                <w:szCs w:val="20"/>
              </w:rPr>
              <w:t xml:space="preserve">▸  </w:t>
            </w:r>
            <w:r>
              <w:rPr>
                <w:rFonts w:ascii="Arial" w:cs="Arial" w:eastAsia="Arial" w:hAnsi="Arial"/>
                <w:color w:val="1F2937"/>
                <w:sz w:val="20"/>
                <w:szCs w:val="20"/>
              </w:rPr>
              <w:t xml:space="preserve">Batch allocation wizard: step-by-step guided workflow for allocating all newly enrolled students at the start of an academic year — runs the rules engine and presents a proposed allocation table for admin review before finalising.</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E6655"/>
                <w:sz w:val="20"/>
                <w:szCs w:val="20"/>
              </w:rPr>
              <w:t xml:space="preserve">▸  </w:t>
            </w:r>
            <w:r>
              <w:rPr>
                <w:rFonts w:ascii="Arial" w:cs="Arial" w:eastAsia="Arial" w:hAnsi="Arial"/>
                <w:color w:val="1F2937"/>
                <w:sz w:val="20"/>
                <w:szCs w:val="20"/>
              </w:rPr>
              <w:t xml:space="preserve">Mid-year reallocation request workflow: class teachers or parents can request a section change — request goes through a formal approval chain (class teacher → coordinator → principal) before the allocation is updated.</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E6655"/>
                <w:sz w:val="20"/>
                <w:szCs w:val="20"/>
              </w:rPr>
              <w:t xml:space="preserve">▸  </w:t>
            </w:r>
            <w:r>
              <w:rPr>
                <w:rFonts w:ascii="Arial" w:cs="Arial" w:eastAsia="Arial" w:hAnsi="Arial"/>
                <w:color w:val="1F2937"/>
                <w:sz w:val="20"/>
                <w:szCs w:val="20"/>
              </w:rPr>
              <w:t xml:space="preserve">Impact assessment before reallocation: any mid-year section change shows a side-by-side impact preview — effect on section strength, gender ratio, and teacher workload before the change is confirmed.</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E6655"/>
                <w:sz w:val="20"/>
                <w:szCs w:val="20"/>
              </w:rPr>
              <w:t xml:space="preserve">▸  </w:t>
            </w:r>
            <w:r>
              <w:rPr>
                <w:rFonts w:ascii="Arial" w:cs="Arial" w:eastAsia="Arial" w:hAnsi="Arial"/>
                <w:color w:val="1F2937"/>
                <w:sz w:val="20"/>
                <w:szCs w:val="20"/>
              </w:rPr>
              <w:t xml:space="preserve">Allocation lock: once the academic year allocation is finalised and classes commence, it is locked against bulk changes — only individual change requests with approvals can modify it.</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0E6655"/>
                <w:sz w:val="20"/>
                <w:szCs w:val="20"/>
              </w:rPr>
              <w:t xml:space="preserve">▸  </w:t>
            </w:r>
            <w:r>
              <w:rPr>
                <w:rFonts w:ascii="Arial" w:cs="Arial" w:eastAsia="Arial" w:hAnsi="Arial"/>
                <w:color w:val="1F2937"/>
                <w:sz w:val="20"/>
                <w:szCs w:val="20"/>
              </w:rPr>
              <w:t xml:space="preserve">Notification cascade: allocation finalisation triggers automated notifications to students and parents (section assigned), class teachers (roster updated), and the timetabling module (class composition confirmed).</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7D5A00" w:val="clear"/>
            <w:tcMar>
              <w:top w:type="dxa" w:w="150"/>
              <w:left w:type="dxa" w:w="240"/>
              <w:bottom w:type="dxa" w:w="150"/>
              <w:right w:type="dxa" w:w="240"/>
            </w:tcMar>
          </w:tcPr>
          <w:p>
            <w:r>
              <w:rPr>
                <w:rFonts w:ascii="Arial" w:cs="Arial" w:eastAsia="Arial" w:hAnsi="Arial"/>
                <w:b/>
                <w:bCs/>
                <w:color w:val="FFFFFF"/>
                <w:sz w:val="24"/>
                <w:szCs w:val="24"/>
              </w:rPr>
              <w:t xml:space="preserve">6.  </w:t>
            </w:r>
            <w:r>
              <w:rPr>
                <w:rFonts w:ascii="Arial" w:cs="Arial" w:eastAsia="Arial" w:hAnsi="Arial"/>
                <w:b/>
                <w:bCs/>
                <w:color w:val="FFFFFF"/>
                <w:sz w:val="32"/>
                <w:szCs w:val="32"/>
              </w:rPr>
              <w:t xml:space="preserve">Section Management</w:t>
            </w:r>
          </w:p>
        </w:tc>
      </w:tr>
      <w:tr>
        <w:tc>
          <w:tcPr>
            <w:tcW w:type="dxa" w:w="9360"/>
            <w:tcBorders>
              <w:top w:val="single" w:color="CBD5E0" w:sz="1"/>
              <w:left w:val="single" w:color="CBD5E0" w:sz="1"/>
              <w:bottom w:val="single" w:color="CBD5E0" w:sz="1"/>
              <w:right w:val="single" w:color="CBD5E0" w:sz="1"/>
            </w:tcBorders>
            <w:shd w:fill="FEF3CD" w:val="clear"/>
            <w:tcMar>
              <w:top w:type="dxa" w:w="110"/>
              <w:left w:type="dxa" w:w="240"/>
              <w:bottom w:type="dxa" w:w="110"/>
              <w:right w:type="dxa" w:w="240"/>
            </w:tcMar>
          </w:tcPr>
          <w:p>
            <w:r>
              <w:rPr>
                <w:rFonts w:ascii="Arial" w:cs="Arial" w:eastAsia="Arial" w:hAnsi="Arial"/>
                <w:b/>
                <w:bCs/>
                <w:color w:val="7D5A00"/>
                <w:sz w:val="21"/>
                <w:szCs w:val="21"/>
              </w:rPr>
              <w:t xml:space="preserve">Overview  </w:t>
            </w:r>
            <w:r>
              <w:rPr>
                <w:rFonts w:ascii="Arial" w:cs="Arial" w:eastAsia="Arial" w:hAnsi="Arial"/>
                <w:i/>
                <w:iCs/>
                <w:color w:val="1F2937"/>
                <w:sz w:val="21"/>
                <w:szCs w:val="21"/>
              </w:rPr>
              <w:t xml:space="preserve">Provides full lifecycle management of academic sections — from creation and configuration through timetabling, staffing, and eventual closure or merger — ensuring sections are administratively and academically coherent units.</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9A6F00"/>
                <w:sz w:val="21"/>
                <w:szCs w:val="21"/>
              </w:rPr>
              <w:t xml:space="preserve">Section Creation &amp; Configuration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7D5A00"/>
                <w:sz w:val="20"/>
                <w:szCs w:val="20"/>
              </w:rPr>
              <w:t xml:space="preserve">▸  </w:t>
            </w:r>
            <w:r>
              <w:rPr>
                <w:rFonts w:ascii="Arial" w:cs="Arial" w:eastAsia="Arial" w:hAnsi="Arial"/>
                <w:color w:val="1F2937"/>
                <w:sz w:val="20"/>
                <w:szCs w:val="20"/>
              </w:rPr>
              <w:t xml:space="preserve">Section creation wizard: define section identifier (e.g., 8C), assign to a grade, set sanctioned strength, designate a classroom (linked to school infrastructure module), and assign a form teacher.</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7D5A00"/>
                <w:sz w:val="20"/>
                <w:szCs w:val="20"/>
              </w:rPr>
              <w:t xml:space="preserve">▸  </w:t>
            </w:r>
            <w:r>
              <w:rPr>
                <w:rFonts w:ascii="Arial" w:cs="Arial" w:eastAsia="Arial" w:hAnsi="Arial"/>
                <w:color w:val="1F2937"/>
                <w:sz w:val="20"/>
                <w:szCs w:val="20"/>
              </w:rPr>
              <w:t xml:space="preserve">Section type flags: Regular, Special Needs (inclusive section with enhanced support), Remedial (below-grade-level intervention group), Gifted &amp; Talented, or Vocational — each type unlocks specific resource allocations and curriculum configurations.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7D5A00"/>
                <w:sz w:val="20"/>
                <w:szCs w:val="20"/>
              </w:rPr>
              <w:t xml:space="preserve">▸  </w:t>
            </w:r>
            <w:r>
              <w:rPr>
                <w:rFonts w:ascii="Arial" w:cs="Arial" w:eastAsia="Arial" w:hAnsi="Arial"/>
                <w:color w:val="1F2937"/>
                <w:sz w:val="20"/>
                <w:szCs w:val="20"/>
              </w:rPr>
              <w:t xml:space="preserve">Language medium assignment per section: supports multi-medium schools where different sections of the same grade are taught in different languages (e.g., English medium 7A vs. Hindi medium 7B).</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7D5A00"/>
                <w:sz w:val="20"/>
                <w:szCs w:val="20"/>
              </w:rPr>
              <w:t xml:space="preserve">▸  </w:t>
            </w:r>
            <w:r>
              <w:rPr>
                <w:rFonts w:ascii="Arial" w:cs="Arial" w:eastAsia="Arial" w:hAnsi="Arial"/>
                <w:color w:val="1F2937"/>
                <w:sz w:val="20"/>
                <w:szCs w:val="20"/>
              </w:rPr>
              <w:t xml:space="preserve">Optional subject groupings: for senior grades with elective options, sections can be tagged with their specific subject combination (e.g., PCM, PCB, Commerce with Math, Commerce without Math) — driving timetable and teacher assignment logic.</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7D5A00"/>
                <w:sz w:val="20"/>
                <w:szCs w:val="20"/>
              </w:rPr>
              <w:t xml:space="preserve">▸  </w:t>
            </w:r>
            <w:r>
              <w:rPr>
                <w:rFonts w:ascii="Arial" w:cs="Arial" w:eastAsia="Arial" w:hAnsi="Arial"/>
                <w:color w:val="1F2937"/>
                <w:sz w:val="20"/>
                <w:szCs w:val="20"/>
              </w:rPr>
              <w:t xml:space="preserve">Virtual/hybrid section support: sections can be designated as fully online, hybrid (some students physical, some remote), or physical — determines how attendance and content delivery are configured.</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9A6F00"/>
                <w:sz w:val="21"/>
                <w:szCs w:val="21"/>
              </w:rPr>
              <w:t xml:space="preserve">Staffing &amp; Subject Assignment</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7D5A00"/>
                <w:sz w:val="20"/>
                <w:szCs w:val="20"/>
              </w:rPr>
              <w:t xml:space="preserve">▸  </w:t>
            </w:r>
            <w:r>
              <w:rPr>
                <w:rFonts w:ascii="Arial" w:cs="Arial" w:eastAsia="Arial" w:hAnsi="Arial"/>
                <w:color w:val="1F2937"/>
                <w:sz w:val="20"/>
                <w:szCs w:val="20"/>
              </w:rPr>
              <w:t xml:space="preserve">Subject teacher mapping: each subject taught in a section is linked to a specific teacher — platform validates that no teacher is assigned more periods per week than their contracted workload allows.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7D5A00"/>
                <w:sz w:val="20"/>
                <w:szCs w:val="20"/>
              </w:rPr>
              <w:t xml:space="preserve">▸  </w:t>
            </w:r>
            <w:r>
              <w:rPr>
                <w:rFonts w:ascii="Arial" w:cs="Arial" w:eastAsia="Arial" w:hAnsi="Arial"/>
                <w:color w:val="1F2937"/>
                <w:sz w:val="20"/>
                <w:szCs w:val="20"/>
              </w:rPr>
              <w:t xml:space="preserve">Form teacher (class teacher) assignment: the designated form teacher receives additional access to that section's student welfare data, pastoral notes, and parent communication thread.</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7D5A00"/>
                <w:sz w:val="20"/>
                <w:szCs w:val="20"/>
              </w:rPr>
              <w:t xml:space="preserve">▸  </w:t>
            </w:r>
            <w:r>
              <w:rPr>
                <w:rFonts w:ascii="Arial" w:cs="Arial" w:eastAsia="Arial" w:hAnsi="Arial"/>
                <w:color w:val="1F2937"/>
                <w:sz w:val="20"/>
                <w:szCs w:val="20"/>
              </w:rPr>
              <w:t xml:space="preserve">Substitute teacher management: when a teacher is on leave, admin can designate a substitute for the section — substitute temporarily inherits attendance marking and content delivery duties for that section.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7D5A00"/>
                <w:sz w:val="20"/>
                <w:szCs w:val="20"/>
              </w:rPr>
              <w:t xml:space="preserve">▸  </w:t>
            </w:r>
            <w:r>
              <w:rPr>
                <w:rFonts w:ascii="Arial" w:cs="Arial" w:eastAsia="Arial" w:hAnsi="Arial"/>
                <w:color w:val="1F2937"/>
                <w:sz w:val="20"/>
                <w:szCs w:val="20"/>
              </w:rPr>
              <w:t xml:space="preserve">Co-teacher and shadow teacher assignments for SEN sections: multiple teachers can be concurrently assigned to a section with differentiated roles and access levels.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7D5A00"/>
                <w:sz w:val="20"/>
                <w:szCs w:val="20"/>
              </w:rPr>
              <w:t xml:space="preserve">▸  </w:t>
            </w:r>
            <w:r>
              <w:rPr>
                <w:rFonts w:ascii="Arial" w:cs="Arial" w:eastAsia="Arial" w:hAnsi="Arial"/>
                <w:color w:val="1F2937"/>
                <w:sz w:val="20"/>
                <w:szCs w:val="20"/>
              </w:rPr>
              <w:t xml:space="preserve">Teacher workload balancing dashboard: visual heatmap of all teachers showing periods assigned per week — flagging overloaded teachers (above defined threshold) and underutilised teachers for equitable redistribution.</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9A6F00"/>
                <w:sz w:val="21"/>
                <w:szCs w:val="21"/>
              </w:rPr>
              <w:t xml:space="preserve">Section Analytics &amp; Health Monitoring</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7D5A00"/>
                <w:sz w:val="20"/>
                <w:szCs w:val="20"/>
              </w:rPr>
              <w:t xml:space="preserve">▸  </w:t>
            </w:r>
            <w:r>
              <w:rPr>
                <w:rFonts w:ascii="Arial" w:cs="Arial" w:eastAsia="Arial" w:hAnsi="Arial"/>
                <w:color w:val="1F2937"/>
                <w:sz w:val="20"/>
                <w:szCs w:val="20"/>
              </w:rPr>
              <w:t xml:space="preserve">Section health scorecard: a composite metric combining attendance rate, average academic performance, homework submission rate, disciplinary incidents, and parent engagement — updated weekly.</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7D5A00"/>
                <w:sz w:val="20"/>
                <w:szCs w:val="20"/>
              </w:rPr>
              <w:t xml:space="preserve">▸  </w:t>
            </w:r>
            <w:r>
              <w:rPr>
                <w:rFonts w:ascii="Arial" w:cs="Arial" w:eastAsia="Arial" w:hAnsi="Arial"/>
                <w:color w:val="1F2937"/>
                <w:sz w:val="20"/>
                <w:szCs w:val="20"/>
              </w:rPr>
              <w:t xml:space="preserve">Inter-section performance comparison: side-by-side metrics for all sections of the same grade — revealing systemic differences that may reflect teacher effectiveness, section composition, or resource disparities.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7D5A00"/>
                <w:sz w:val="20"/>
                <w:szCs w:val="20"/>
              </w:rPr>
              <w:t xml:space="preserve">▸  </w:t>
            </w:r>
            <w:r>
              <w:rPr>
                <w:rFonts w:ascii="Arial" w:cs="Arial" w:eastAsia="Arial" w:hAnsi="Arial"/>
                <w:color w:val="1F2937"/>
                <w:sz w:val="20"/>
                <w:szCs w:val="20"/>
              </w:rPr>
              <w:t xml:space="preserve">Section timeline view: a visual history of the section from its creation — showing changes in student roster, teacher assignments, classroom allocations, and performance trend over the academic year.</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7D5A00"/>
                <w:sz w:val="20"/>
                <w:szCs w:val="20"/>
              </w:rPr>
              <w:t xml:space="preserve">▸  </w:t>
            </w:r>
            <w:r>
              <w:rPr>
                <w:rFonts w:ascii="Arial" w:cs="Arial" w:eastAsia="Arial" w:hAnsi="Arial"/>
                <w:color w:val="1F2937"/>
                <w:sz w:val="20"/>
                <w:szCs w:val="20"/>
              </w:rPr>
              <w:t xml:space="preserve">Section merge workflow: for sections that fall below minimum viable strength mid-year, a guided merge workflow redistributes students and resources to a surviving section with full audit trail.</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7D5A00"/>
                <w:sz w:val="20"/>
                <w:szCs w:val="20"/>
              </w:rPr>
              <w:t xml:space="preserve">▸  </w:t>
            </w:r>
            <w:r>
              <w:rPr>
                <w:rFonts w:ascii="Arial" w:cs="Arial" w:eastAsia="Arial" w:hAnsi="Arial"/>
                <w:color w:val="1F2937"/>
                <w:sz w:val="20"/>
                <w:szCs w:val="20"/>
              </w:rPr>
              <w:t xml:space="preserve">Graduation and promotion processing: at year-end, section management facilitates bulk promotion of all students in a section to the next grade — with options to retain specific students and handle failed-grade scenarios.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1B2A3B" w:val="clear"/>
            <w:tcMar>
              <w:top w:type="dxa" w:w="150"/>
              <w:left w:type="dxa" w:w="240"/>
              <w:bottom w:type="dxa" w:w="150"/>
              <w:right w:type="dxa" w:w="240"/>
            </w:tcMar>
          </w:tcPr>
          <w:p>
            <w:r>
              <w:rPr>
                <w:rFonts w:ascii="Arial" w:cs="Arial" w:eastAsia="Arial" w:hAnsi="Arial"/>
                <w:b/>
                <w:bCs/>
                <w:color w:val="FFFFFF"/>
                <w:sz w:val="24"/>
                <w:szCs w:val="24"/>
              </w:rPr>
              <w:t xml:space="preserve">7.  </w:t>
            </w:r>
            <w:r>
              <w:rPr>
                <w:rFonts w:ascii="Arial" w:cs="Arial" w:eastAsia="Arial" w:hAnsi="Arial"/>
                <w:b/>
                <w:bCs/>
                <w:color w:val="FFFFFF"/>
                <w:sz w:val="32"/>
                <w:szCs w:val="32"/>
              </w:rPr>
              <w:t xml:space="preserve">Student ID Generation</w:t>
            </w:r>
          </w:p>
        </w:tc>
      </w:tr>
      <w:tr>
        <w:tc>
          <w:tcPr>
            <w:tcW w:type="dxa" w:w="9360"/>
            <w:tcBorders>
              <w:top w:val="single" w:color="CBD5E0" w:sz="1"/>
              <w:left w:val="single" w:color="CBD5E0" w:sz="1"/>
              <w:bottom w:val="single" w:color="CBD5E0" w:sz="1"/>
              <w:right w:val="single" w:color="CBD5E0" w:sz="1"/>
            </w:tcBorders>
            <w:shd w:fill="E2EAF2" w:val="clear"/>
            <w:tcMar>
              <w:top w:type="dxa" w:w="110"/>
              <w:left w:type="dxa" w:w="240"/>
              <w:bottom w:type="dxa" w:w="110"/>
              <w:right w:type="dxa" w:w="240"/>
            </w:tcMar>
          </w:tcPr>
          <w:p>
            <w:r>
              <w:rPr>
                <w:rFonts w:ascii="Arial" w:cs="Arial" w:eastAsia="Arial" w:hAnsi="Arial"/>
                <w:b/>
                <w:bCs/>
                <w:color w:val="1B2A3B"/>
                <w:sz w:val="21"/>
                <w:szCs w:val="21"/>
              </w:rPr>
              <w:t xml:space="preserve">Overview  </w:t>
            </w:r>
            <w:r>
              <w:rPr>
                <w:rFonts w:ascii="Arial" w:cs="Arial" w:eastAsia="Arial" w:hAnsi="Arial"/>
                <w:i/>
                <w:iCs/>
                <w:color w:val="1F2937"/>
                <w:sz w:val="21"/>
                <w:szCs w:val="21"/>
              </w:rPr>
              <w:t xml:space="preserve">Automatically creates unique, persistent, human-readable, and machine-readable student identifiers — supporting physical ID card production, digital identity verification, access control, and lifetime academic record linkage.</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2E4057"/>
                <w:sz w:val="21"/>
                <w:szCs w:val="21"/>
              </w:rPr>
              <w:t xml:space="preserve">ID Numbering Architecture</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B2A3B"/>
                <w:sz w:val="20"/>
                <w:szCs w:val="20"/>
              </w:rPr>
              <w:t xml:space="preserve">▸  </w:t>
            </w:r>
            <w:r>
              <w:rPr>
                <w:rFonts w:ascii="Arial" w:cs="Arial" w:eastAsia="Arial" w:hAnsi="Arial"/>
                <w:color w:val="1F2937"/>
                <w:sz w:val="20"/>
                <w:szCs w:val="20"/>
              </w:rPr>
              <w:t xml:space="preserve">Platform-wide unique Student ID (SID) generated at the point of enrollment confirmation — guaranteed globally unique across all schools on the platform using a UUID-backed generation algorithm with a human-readable prefix layer.</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B2A3B"/>
                <w:sz w:val="20"/>
                <w:szCs w:val="20"/>
              </w:rPr>
              <w:t xml:space="preserve">▸  </w:t>
            </w:r>
            <w:r>
              <w:rPr>
                <w:rFonts w:ascii="Arial" w:cs="Arial" w:eastAsia="Arial" w:hAnsi="Arial"/>
                <w:color w:val="1F2937"/>
                <w:sz w:val="20"/>
                <w:szCs w:val="20"/>
              </w:rPr>
              <w:t xml:space="preserve">Configurable ID format per school: schools define their own ID structure using a format builder — e.g., {SchoolCode}/{AcademicYear}/{GradeCode}/{SequenceNumber} → GVS/2026/09/0042 — with collision detection on generation.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B2A3B"/>
                <w:sz w:val="20"/>
                <w:szCs w:val="20"/>
              </w:rPr>
              <w:t xml:space="preserve">▸  </w:t>
            </w:r>
            <w:r>
              <w:rPr>
                <w:rFonts w:ascii="Arial" w:cs="Arial" w:eastAsia="Arial" w:hAnsi="Arial"/>
                <w:color w:val="1F2937"/>
                <w:sz w:val="20"/>
                <w:szCs w:val="20"/>
              </w:rPr>
              <w:t xml:space="preserve">Permanent ID vs. annual roll number separation: the SID is permanent and never changes even if the student changes grade, section, or school (within the platform). Annual roll numbers are separately assigned and linked to the SID.</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B2A3B"/>
                <w:sz w:val="20"/>
                <w:szCs w:val="20"/>
              </w:rPr>
              <w:t xml:space="preserve">▸  </w:t>
            </w:r>
            <w:r>
              <w:rPr>
                <w:rFonts w:ascii="Arial" w:cs="Arial" w:eastAsia="Arial" w:hAnsi="Arial"/>
                <w:color w:val="1F2937"/>
                <w:sz w:val="20"/>
                <w:szCs w:val="20"/>
              </w:rPr>
              <w:t xml:space="preserve">ID reservation: IDs are reserved (not just generated) at the point of application — ensuring that an applicant who withdraws before enrollment does not leave gaps in the ID sequence that could cause confusion.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B2A3B"/>
                <w:sz w:val="20"/>
                <w:szCs w:val="20"/>
              </w:rPr>
              <w:t xml:space="preserve">▸  </w:t>
            </w:r>
            <w:r>
              <w:rPr>
                <w:rFonts w:ascii="Arial" w:cs="Arial" w:eastAsia="Arial" w:hAnsi="Arial"/>
                <w:color w:val="1F2937"/>
                <w:sz w:val="20"/>
                <w:szCs w:val="20"/>
              </w:rPr>
              <w:t xml:space="preserve">Legacy ID import: for schools migrating from existing systems, old ID numbers are stored as an alias field alongside the new SID — all platform search tools accept both the SID and the legacy ID as valid lookup keys.</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2E4057"/>
                <w:sz w:val="21"/>
                <w:szCs w:val="21"/>
              </w:rPr>
              <w:t xml:space="preserve">Physical ID Card Production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B2A3B"/>
                <w:sz w:val="20"/>
                <w:szCs w:val="20"/>
              </w:rPr>
              <w:t xml:space="preserve">▸  </w:t>
            </w:r>
            <w:r>
              <w:rPr>
                <w:rFonts w:ascii="Arial" w:cs="Arial" w:eastAsia="Arial" w:hAnsi="Arial"/>
                <w:color w:val="1F2937"/>
                <w:sz w:val="20"/>
                <w:szCs w:val="20"/>
              </w:rPr>
              <w:t xml:space="preserve">ID card design studio: drag-and-drop card layout editor where schools customise the physical card design — placing student photo, name, SID, grade, section, blood group, emergency contact, school logo, and validity year.</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B2A3B"/>
                <w:sz w:val="20"/>
                <w:szCs w:val="20"/>
              </w:rPr>
              <w:t xml:space="preserve">▸  </w:t>
            </w:r>
            <w:r>
              <w:rPr>
                <w:rFonts w:ascii="Arial" w:cs="Arial" w:eastAsia="Arial" w:hAnsi="Arial"/>
                <w:color w:val="1F2937"/>
                <w:sz w:val="20"/>
                <w:szCs w:val="20"/>
              </w:rPr>
              <w:t xml:space="preserve">Print-ready output: individual and batch card generation as PDF (Avery label-compatible layouts) or direct integration with ID card printers via platform print server agent (supports Zebra, HID Fargo, Evolis card printers).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B2A3B"/>
                <w:sz w:val="20"/>
                <w:szCs w:val="20"/>
              </w:rPr>
              <w:t xml:space="preserve">▸  </w:t>
            </w:r>
            <w:r>
              <w:rPr>
                <w:rFonts w:ascii="Arial" w:cs="Arial" w:eastAsia="Arial" w:hAnsi="Arial"/>
                <w:color w:val="1F2937"/>
                <w:sz w:val="20"/>
                <w:szCs w:val="20"/>
              </w:rPr>
              <w:t xml:space="preserve">Barcode and QR code embedding: every ID card contains a scannable QR code encoding the SID — used for library check-out, lab access, cafeteria billing, attendance marking, and exam hall entry verification.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B2A3B"/>
                <w:sz w:val="20"/>
                <w:szCs w:val="20"/>
              </w:rPr>
              <w:t xml:space="preserve">▸  </w:t>
            </w:r>
            <w:r>
              <w:rPr>
                <w:rFonts w:ascii="Arial" w:cs="Arial" w:eastAsia="Arial" w:hAnsi="Arial"/>
                <w:color w:val="1F2937"/>
                <w:sz w:val="20"/>
                <w:szCs w:val="20"/>
              </w:rPr>
              <w:t xml:space="preserve">ID card validity and renewal: cards issued with a printed validity year — system automatically flags IDs expiring in the next 30 days and queues bulk card renewal printing jobs before the new academic year.</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B2A3B"/>
                <w:sz w:val="20"/>
                <w:szCs w:val="20"/>
              </w:rPr>
              <w:t xml:space="preserve">▸  </w:t>
            </w:r>
            <w:r>
              <w:rPr>
                <w:rFonts w:ascii="Arial" w:cs="Arial" w:eastAsia="Arial" w:hAnsi="Arial"/>
                <w:color w:val="1F2937"/>
                <w:sz w:val="20"/>
                <w:szCs w:val="20"/>
              </w:rPr>
              <w:t xml:space="preserve">Lost/damaged card replacement workflow: student or parent submits a replacement request via portal — admin approves, a replacement fee is billed to the student's account, and a new card is queued for printing with a 'Duplicate' watermark and new serial number.</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2E4057"/>
                <w:sz w:val="21"/>
                <w:szCs w:val="21"/>
              </w:rPr>
              <w:t xml:space="preserve">Digital Identity &amp; Access Integration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B2A3B"/>
                <w:sz w:val="20"/>
                <w:szCs w:val="20"/>
              </w:rPr>
              <w:t xml:space="preserve">▸  </w:t>
            </w:r>
            <w:r>
              <w:rPr>
                <w:rFonts w:ascii="Arial" w:cs="Arial" w:eastAsia="Arial" w:hAnsi="Arial"/>
                <w:color w:val="1F2937"/>
                <w:sz w:val="20"/>
                <w:szCs w:val="20"/>
              </w:rPr>
              <w:t xml:space="preserve">Digital ID card: a mobile-accessible digital version of the physical ID card stored in the student's app — displays live attendance status, validity, and a rotating QR code that refreshes every 30 seconds to prevent screenshots being used for impersonation.</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B2A3B"/>
                <w:sz w:val="20"/>
                <w:szCs w:val="20"/>
              </w:rPr>
              <w:t xml:space="preserve">▸  </w:t>
            </w:r>
            <w:r>
              <w:rPr>
                <w:rFonts w:ascii="Arial" w:cs="Arial" w:eastAsia="Arial" w:hAnsi="Arial"/>
                <w:color w:val="1F2937"/>
                <w:sz w:val="20"/>
                <w:szCs w:val="20"/>
              </w:rPr>
              <w:t xml:space="preserve">Single Sign-On (SSO) integration: the SID serves as the base identity for the student's login across all platform modules — library, labs, cafeteria, exam portal, and learning management system.</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B2A3B"/>
                <w:sz w:val="20"/>
                <w:szCs w:val="20"/>
              </w:rPr>
              <w:t xml:space="preserve">▸  </w:t>
            </w:r>
            <w:r>
              <w:rPr>
                <w:rFonts w:ascii="Arial" w:cs="Arial" w:eastAsia="Arial" w:hAnsi="Arial"/>
                <w:color w:val="1F2937"/>
                <w:sz w:val="20"/>
                <w:szCs w:val="20"/>
              </w:rPr>
              <w:t xml:space="preserve">NFC-enabled card support: for schools with NFC infrastructure (smart gates, lab doors), the SID is encoded on an NFC chip embedded in the physical card — enabling tap-based access and attendance.</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B2A3B"/>
                <w:sz w:val="20"/>
                <w:szCs w:val="20"/>
              </w:rPr>
              <w:t xml:space="preserve">▸  </w:t>
            </w:r>
            <w:r>
              <w:rPr>
                <w:rFonts w:ascii="Arial" w:cs="Arial" w:eastAsia="Arial" w:hAnsi="Arial"/>
                <w:color w:val="1F2937"/>
                <w:sz w:val="20"/>
                <w:szCs w:val="20"/>
              </w:rPr>
              <w:t xml:space="preserve">ID lifecycle events: card issuance, replacement, suspension (for disciplinary reasons), and deactivation (upon transfer/graduation) are all logged with timestamps and authorising admin details.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B2A3B"/>
                <w:sz w:val="20"/>
                <w:szCs w:val="20"/>
              </w:rPr>
              <w:t xml:space="preserve">▸  </w:t>
            </w:r>
            <w:r>
              <w:rPr>
                <w:rFonts w:ascii="Arial" w:cs="Arial" w:eastAsia="Arial" w:hAnsi="Arial"/>
                <w:color w:val="1F2937"/>
                <w:sz w:val="20"/>
                <w:szCs w:val="20"/>
              </w:rPr>
              <w:t xml:space="preserve">Alumni ID: upon graduation, a student's SID transitions to an Alumni ID — retaining read-only access to their academic records and digital certificates permanently.</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1D4E1D" w:val="clear"/>
            <w:tcMar>
              <w:top w:type="dxa" w:w="150"/>
              <w:left w:type="dxa" w:w="240"/>
              <w:bottom w:type="dxa" w:w="150"/>
              <w:right w:type="dxa" w:w="240"/>
            </w:tcMar>
          </w:tcPr>
          <w:p>
            <w:r>
              <w:rPr>
                <w:rFonts w:ascii="Arial" w:cs="Arial" w:eastAsia="Arial" w:hAnsi="Arial"/>
                <w:b/>
                <w:bCs/>
                <w:color w:val="FFFFFF"/>
                <w:sz w:val="24"/>
                <w:szCs w:val="24"/>
              </w:rPr>
              <w:t xml:space="preserve">8.  </w:t>
            </w:r>
            <w:r>
              <w:rPr>
                <w:rFonts w:ascii="Arial" w:cs="Arial" w:eastAsia="Arial" w:hAnsi="Arial"/>
                <w:b/>
                <w:bCs/>
                <w:color w:val="FFFFFF"/>
                <w:sz w:val="32"/>
                <w:szCs w:val="32"/>
              </w:rPr>
              <w:t xml:space="preserve">Student Activity Tracking</w:t>
            </w:r>
          </w:p>
        </w:tc>
      </w:tr>
      <w:tr>
        <w:tc>
          <w:tcPr>
            <w:tcW w:type="dxa" w:w="9360"/>
            <w:tcBorders>
              <w:top w:val="single" w:color="CBD5E0" w:sz="1"/>
              <w:left w:val="single" w:color="CBD5E0" w:sz="1"/>
              <w:bottom w:val="single" w:color="CBD5E0" w:sz="1"/>
              <w:right w:val="single" w:color="CBD5E0" w:sz="1"/>
            </w:tcBorders>
            <w:shd w:fill="DFF0DF" w:val="clear"/>
            <w:tcMar>
              <w:top w:type="dxa" w:w="110"/>
              <w:left w:type="dxa" w:w="240"/>
              <w:bottom w:type="dxa" w:w="110"/>
              <w:right w:type="dxa" w:w="240"/>
            </w:tcMar>
          </w:tcPr>
          <w:p>
            <w:r>
              <w:rPr>
                <w:rFonts w:ascii="Arial" w:cs="Arial" w:eastAsia="Arial" w:hAnsi="Arial"/>
                <w:b/>
                <w:bCs/>
                <w:color w:val="1D4E1D"/>
                <w:sz w:val="21"/>
                <w:szCs w:val="21"/>
              </w:rPr>
              <w:t xml:space="preserve">Overview  </w:t>
            </w:r>
            <w:r>
              <w:rPr>
                <w:rFonts w:ascii="Arial" w:cs="Arial" w:eastAsia="Arial" w:hAnsi="Arial"/>
                <w:i/>
                <w:iCs/>
                <w:color w:val="1F2937"/>
                <w:sz w:val="21"/>
                <w:szCs w:val="21"/>
              </w:rPr>
              <w:t xml:space="preserve">A continuous, multi-dimensional monitoring system that captures and analyses every significant academic, co-curricular, behavioural, and digital interaction of a student on the platform — building a holistic, longitudinal activity profile that informs teaching, counselling, and parental engagement.</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27643E"/>
                <w:sz w:val="21"/>
                <w:szCs w:val="21"/>
              </w:rPr>
              <w:t xml:space="preserve">Academic Activity Tracking</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Learning Management System (LMS) engagement: tracks content views, video watch time (with completion %), quiz attempts, assignment submissions (on-time vs. late), and forum/discussion board participation per student.</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Study time analytics: measures active daily time spent on the platform's learning resources per subject — trend charts show study consistency and highlight students with declining engagement before it affects grades.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Homework and assignment tracker: complete log of every assignment issued, submitted, and evaluated — with submission timeliness, revision history, and teacher feedback response tracking.</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Assessment attempt log: records every quiz, test, and exam attempt — including time taken, question-by-question response patterns, and comparison of performance against class average per topic.</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Resource access heatmap: visualises which study materials (videos, PDFs, practice sets) are most and least accessed by each student — informing teachers about self-directed learning preferences and gaps.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Peer collaboration tracking: activity on group projects, shared documents, and discussion threads — measuring individual contribution vs. free-rider behaviour in collaborative assignments.</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27643E"/>
                <w:sz w:val="21"/>
                <w:szCs w:val="21"/>
              </w:rPr>
              <w:t xml:space="preserve">Co-curricular &amp; Physical Activity</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Sports and physical education participation log: attendance at PE classes, sports practice sessions, inter-school competitions, and fitness assessment results — contributing to the student's physical wellness score.</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Club and society membership tracker: clubs joined, meeting attendance rate, roles held (member, secretary, president), and events organised — feeding into the student's leadership and co-curricular profile.</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Event participation history: complete record of all school events — cultural performances, science fairs, debates, sports days — with the student's role (participant, organiser, volunteer) and any awards received.</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Dojo and challenge activity log: detailed record of all Dojo sessions entered, performance scores, badges earned, and challenge categories — linked to the Dojo analytics module for deep-dive analysis.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Community service and social responsibility tracker: hours contributed to school's social service programmes, NCC/NSS/Scout activities, and external volunteering — used for character assessment and college recommendation letters.</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27643E"/>
                <w:sz w:val="21"/>
                <w:szCs w:val="21"/>
              </w:rPr>
              <w:t xml:space="preserve">Behavioural &amp; Wellbeing Monitoring</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Disciplinary incident log: dated record of all behavioural incidents — late arrivals, uniform violations, classroom disruptions, bullying reports — with teacher notes, action taken, and resolution status.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Positive reinforcement log: records praise, merit certificates, commendations, and positive referrals — ensuring the activity log reflects the full behavioural spectrum and not only negative incidents.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Counselling interaction log: dates and themes of counselling sessions (academic stress, peer conflict, family issues) — access restricted to counsellors and principal, with parent notification settings configurable.</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Digital wellbeing indicators: platform usage pattern analysis — flags students with unusually high late-night usage, sudden drop in activity, or erratic engagement patterns that may signal personal distress.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Peer interaction health score: derived from collaboration tool and forum interaction data — measures the quality and breadth of a student's peer network within the platform, informing social integration assessments.</w:t>
            </w:r>
          </w:p>
        </w:tc>
      </w:tr>
      <w:tr>
        <w:tc>
          <w:tcPr>
            <w:tcW w:type="dxa" w:w="9360"/>
            <w:tcBorders>
              <w:top w:val="single" w:color="CBD5E0" w:sz="1"/>
              <w:left w:val="single" w:color="CBD5E0" w:sz="1"/>
              <w:bottom w:val="single" w:color="CBD5E0" w:sz="1"/>
              <w:right w:val="single" w:color="CBD5E0" w:sz="1"/>
            </w:tcBorders>
            <w:shd w:fill="F4F6F9" w:val="clear"/>
            <w:tcMar>
              <w:top w:type="dxa" w:w="100"/>
              <w:left w:type="dxa" w:w="240"/>
              <w:bottom w:type="dxa" w:w="10"/>
              <w:right w:type="dxa" w:w="240"/>
            </w:tcMar>
          </w:tcPr>
          <w:p>
            <w:pPr>
              <w:spacing w:before="50" w:after="0"/>
            </w:pPr>
            <w:r>
              <w:rPr>
                <w:rFonts w:ascii="Arial" w:cs="Arial" w:eastAsia="Arial" w:hAnsi="Arial"/>
                <w:b/>
                <w:bCs/>
                <w:color w:val="27643E"/>
                <w:sz w:val="21"/>
                <w:szCs w:val="21"/>
              </w:rPr>
              <w:t xml:space="preserve">Parent Visibility &amp; Reporting</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Parent activity digest: weekly automated email/WhatsApp summary to parents covering their child's platform activity — subjects studied, assignments completed, attendance, and notable achievements.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Real-time activity alerts: configurable push notifications to parents for specific trigger events — assignment overdue by 24 hours, quiz score below a threshold, disciplinary incident logged.</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Activity portfolio export: at any point, parents or students can generate a comprehensive 'Student Activity Portfolio' PDF — a formatted, shareable summary of the student's full activity record for college applications or transfer requests.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Privacy and consent controls: parents and students (age 13+) can configure which activity data categories are shared with teachers vs. admin vs. counsellors — compliant with DPDP Act 2023 and COPPA principles.</w:t>
            </w:r>
          </w:p>
        </w:tc>
      </w:tr>
      <w:tr>
        <w:tc>
          <w:tcPr>
            <w:tcW w:type="dxa" w:w="9360"/>
            <w:tcBorders>
              <w:top w:val="single" w:color="CBD5E0" w:sz="1"/>
              <w:left w:val="single" w:color="CBD5E0" w:sz="1"/>
              <w:bottom w:val="single" w:color="CBD5E0" w:sz="1"/>
              <w:right w:val="single" w:color="CBD5E0" w:sz="1"/>
            </w:tcBorders>
            <w:shd w:fill="FFFFFF" w:val="clear"/>
            <w:tcMar>
              <w:top w:type="dxa" w:w="65"/>
              <w:left w:type="dxa" w:w="400"/>
              <w:bottom w:type="dxa" w:w="65"/>
              <w:right w:type="dxa" w:w="240"/>
            </w:tcMar>
          </w:tcPr>
          <w:p>
            <w:pPr>
              <w:spacing w:before="30" w:after="30"/>
            </w:pPr>
            <w:r>
              <w:rPr>
                <w:rFonts w:ascii="Arial" w:cs="Arial" w:eastAsia="Arial" w:hAnsi="Arial"/>
                <w:color w:val="1D4E1D"/>
                <w:sz w:val="20"/>
                <w:szCs w:val="20"/>
              </w:rPr>
              <w:t xml:space="preserve">▸  </w:t>
            </w:r>
            <w:r>
              <w:rPr>
                <w:rFonts w:ascii="Arial" w:cs="Arial" w:eastAsia="Arial" w:hAnsi="Arial"/>
                <w:color w:val="1F2937"/>
                <w:sz w:val="20"/>
                <w:szCs w:val="20"/>
              </w:rPr>
              <w:t xml:space="preserve">Annual progress narrative: AI-generated plain-language annual narrative summarising the student's year of activity — achievements, growth areas, engagement patterns, and counsellor recommendations — appended to the formal report card.</w:t>
            </w:r>
          </w:p>
        </w:tc>
      </w:tr>
    </w:tbl>
    <w:p>
      <w:pPr>
        <w:spacing w:before="260" w:after="0"/>
      </w:pPr>
      <w:r>
        <w:t xml:space="preserve"/>
      </w:r>
    </w:p>
    <w:p>
      <w:r>
        <w:br w:type="page"/>
      </w:r>
    </w:p>
    <w:p>
      <w:pPr>
        <w:pBdr>
          <w:top w:val="single" w:color="0B3D91" w:sz="6" w:space="6"/>
        </w:pBdr>
        <w:spacing w:before="240" w:after="120"/>
        <w:jc w:val="center"/>
      </w:pPr>
      <w:r>
        <w:rPr>
          <w:rFonts w:ascii="Arial" w:cs="Arial" w:eastAsia="Arial" w:hAnsi="Arial"/>
          <w:b/>
          <w:bCs/>
          <w:color w:val="0B3D91"/>
          <w:sz w:val="18"/>
          <w:szCs w:val="18"/>
        </w:rPr>
        <w:t xml:space="preserve">CONFIDENTIAL — For Internal Use Only</w:t>
      </w:r>
    </w:p>
    <w:p>
      <w:pPr>
        <w:jc w:val="center"/>
      </w:pPr>
      <w:r>
        <w:rPr>
          <w:rFonts w:ascii="Arial" w:cs="Arial" w:eastAsia="Arial" w:hAnsi="Arial"/>
          <w:color w:val="6B7280"/>
          <w:sz w:val="18"/>
          <w:szCs w:val="18"/>
        </w:rPr>
        <w:t xml:space="preserve">This document describes planned product features and is subject to change without notice. © 2026 School Management Platform.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3D91" w:sz="4" w:space="4"/>
      </w:pBdr>
      <w:tabs>
        <w:tab w:val="right" w:pos="9026"/>
      </w:tabs>
      <w:spacing w:before="80"/>
    </w:pPr>
    <w:r>
      <w:rPr>
        <w:rFonts w:ascii="Arial" w:cs="Arial" w:eastAsia="Arial" w:hAnsi="Arial"/>
        <w:color w:val="6B7280"/>
        <w:sz w:val="18"/>
        <w:szCs w:val="18"/>
      </w:rPr>
      <w:t xml:space="preserve">Confidential</w:t>
    </w:r>
    <w:r>
      <w:rPr>
        <w:rFonts w:ascii="Arial" w:cs="Arial" w:eastAsia="Arial" w:hAnsi="Arial"/>
        <w:color w:val="6B7280"/>
        <w:sz w:val="18"/>
        <w:szCs w:val="18"/>
      </w:rPr>
      <w:t xml:space="preserve">	Page </w:t>
    </w:r>
    <w:r>
      <w:rPr>
        <w:rFonts w:ascii="Arial" w:cs="Arial" w:eastAsia="Arial" w:hAnsi="Arial"/>
        <w:color w:val="0B3D9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3D91" w:sz="4" w:space="4"/>
      </w:pBdr>
      <w:spacing w:after="80"/>
    </w:pPr>
    <w:r>
      <w:rPr>
        <w:rFonts w:ascii="Arial" w:cs="Arial" w:eastAsia="Arial" w:hAnsi="Arial"/>
        <w:color w:val="6B7280"/>
        <w:sz w:val="18"/>
        <w:szCs w:val="18"/>
      </w:rPr>
      <w:t xml:space="preserve">School Management Platform  |  Module C: Student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2026-03-09T07:51:50.035Z</dcterms:created>
  <dcterms:modified xsi:type="dcterms:W3CDTF">2026-03-09T07:51:50.036Z</dcterms:modified>
</cp:coreProperties>
</file>

<file path=docProps/custom.xml><?xml version="1.0" encoding="utf-8"?>
<Properties xmlns="http://schemas.openxmlformats.org/officeDocument/2006/custom-properties" xmlns:vt="http://schemas.openxmlformats.org/officeDocument/2006/docPropsVTypes"/>
</file>