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after="0"/>
      </w:pPr>
      <w:r>
        <w:t xml:space="preserve"/>
      </w:r>
    </w:p>
    <w:p>
      <w:pPr>
        <w:spacing w:before="0" w:after="100"/>
        <w:jc w:val="center"/>
      </w:pPr>
      <w:r>
        <w:rPr>
          <w:rFonts w:ascii="Arial" w:cs="Arial" w:eastAsia="Arial" w:hAnsi="Arial"/>
          <w:b/>
          <w:bCs/>
          <w:caps/>
          <w:color w:val="1E3A5F"/>
          <w:sz w:val="26"/>
          <w:szCs w:val="26"/>
        </w:rPr>
        <w:t xml:space="preserve">SCHOOL MANAGEMENT PLATFORM</w:t>
      </w:r>
    </w:p>
    <w:p>
      <w:pPr>
        <w:spacing w:before="0" w:after="100"/>
        <w:jc w:val="center"/>
      </w:pPr>
      <w:r>
        <w:rPr>
          <w:rFonts w:ascii="Arial" w:cs="Arial" w:eastAsia="Arial" w:hAnsi="Arial"/>
          <w:b/>
          <w:bCs/>
          <w:color w:val="0F1923"/>
          <w:sz w:val="58"/>
          <w:szCs w:val="58"/>
        </w:rPr>
        <w:t xml:space="preserve">Product Feature Specification</w:t>
      </w:r>
    </w:p>
    <w:p>
      <w:pPr>
        <w:spacing w:before="0" w:after="700"/>
        <w:jc w:val="center"/>
      </w:pPr>
      <w:r>
        <w:rPr>
          <w:rFonts w:ascii="Arial" w:cs="Arial" w:eastAsia="Arial" w:hAnsi="Arial"/>
          <w:b/>
          <w:bCs/>
          <w:color w:val="2563A8"/>
          <w:sz w:val="34"/>
          <w:szCs w:val="34"/>
        </w:rPr>
        <w:t xml:space="preserve">Module D: Teacher / Faculty Management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tcBorders>
              <w:top w:val="single" w:color="C2D0DE" w:sz="1"/>
              <w:left w:val="single" w:color="C2D0DE" w:sz="1"/>
              <w:bottom w:val="single" w:color="C2D0DE" w:sz="1"/>
              <w:right w:val="single" w:color="C2D0DE" w:sz="1"/>
            </w:tcBorders>
            <w:shd w:fill="1E3A5F" w:val="clear"/>
            <w:tcMar>
              <w:top w:type="dxa" w:w="120"/>
              <w:left w:type="dxa" w:w="200"/>
              <w:bottom w:type="dxa" w:w="120"/>
              <w:right w:type="dxa" w:w="200"/>
            </w:tcMar>
          </w:tcPr>
          <w:p>
            <w:r>
              <w:rPr>
                <w:rFonts w:ascii="Arial" w:cs="Arial" w:eastAsia="Arial" w:hAnsi="Arial"/>
                <w:b/>
                <w:bCs/>
                <w:color w:val="FFFFFF"/>
                <w:sz w:val="21"/>
                <w:szCs w:val="21"/>
              </w:rPr>
              <w:t xml:space="preserve">Document Version</w:t>
            </w:r>
          </w:p>
        </w:tc>
        <w:tc>
          <w:tcPr>
            <w:tcW w:type="dxa" w:w="3200"/>
            <w:tcBorders>
              <w:top w:val="single" w:color="C2D0DE" w:sz="1"/>
              <w:left w:val="single" w:color="C2D0DE" w:sz="1"/>
              <w:bottom w:val="single" w:color="C2D0DE" w:sz="1"/>
              <w:right w:val="single" w:color="C2D0DE" w:sz="1"/>
            </w:tcBorders>
            <w:shd w:fill="DDEAF8" w:val="clear"/>
            <w:tcMar>
              <w:top w:type="dxa" w:w="120"/>
              <w:left w:type="dxa" w:w="200"/>
              <w:bottom w:type="dxa" w:w="120"/>
              <w:right w:type="dxa" w:w="200"/>
            </w:tcMar>
          </w:tcPr>
          <w:p>
            <w:r>
              <w:rPr>
                <w:rFonts w:ascii="Arial" w:cs="Arial" w:eastAsia="Arial" w:hAnsi="Arial"/>
                <w:color w:val="0F1923"/>
                <w:sz w:val="21"/>
                <w:szCs w:val="21"/>
              </w:rPr>
              <w:t xml:space="preserve">1.0</w:t>
            </w:r>
          </w:p>
        </w:tc>
      </w:tr>
      <w:tr>
        <w:tc>
          <w:tcPr>
            <w:tcW w:type="dxa" w:w="3200"/>
            <w:tcBorders>
              <w:top w:val="single" w:color="C2D0DE" w:sz="1"/>
              <w:left w:val="single" w:color="C2D0DE" w:sz="1"/>
              <w:bottom w:val="single" w:color="C2D0DE" w:sz="1"/>
              <w:right w:val="single" w:color="C2D0DE" w:sz="1"/>
            </w:tcBorders>
            <w:shd w:fill="1E3A5F" w:val="clear"/>
            <w:tcMar>
              <w:top w:type="dxa" w:w="120"/>
              <w:left w:type="dxa" w:w="200"/>
              <w:bottom w:type="dxa" w:w="120"/>
              <w:right w:type="dxa" w:w="200"/>
            </w:tcMar>
          </w:tcPr>
          <w:p>
            <w:r>
              <w:rPr>
                <w:rFonts w:ascii="Arial" w:cs="Arial" w:eastAsia="Arial" w:hAnsi="Arial"/>
                <w:b/>
                <w:bCs/>
                <w:color w:val="FFFFFF"/>
                <w:sz w:val="21"/>
                <w:szCs w:val="21"/>
              </w:rPr>
              <w:t xml:space="preserve">Date</w:t>
            </w:r>
          </w:p>
        </w:tc>
        <w:tc>
          <w:tcPr>
            <w:tcW w:type="dxa" w:w="3200"/>
            <w:tcBorders>
              <w:top w:val="single" w:color="C2D0DE" w:sz="1"/>
              <w:left w:val="single" w:color="C2D0DE" w:sz="1"/>
              <w:bottom w:val="single" w:color="C2D0DE" w:sz="1"/>
              <w:right w:val="single" w:color="C2D0DE" w:sz="1"/>
            </w:tcBorders>
            <w:shd w:fill="DDEAF8" w:val="clear"/>
            <w:tcMar>
              <w:top w:type="dxa" w:w="120"/>
              <w:left w:type="dxa" w:w="200"/>
              <w:bottom w:type="dxa" w:w="120"/>
              <w:right w:type="dxa" w:w="200"/>
            </w:tcMar>
          </w:tcPr>
          <w:p>
            <w:r>
              <w:rPr>
                <w:rFonts w:ascii="Arial" w:cs="Arial" w:eastAsia="Arial" w:hAnsi="Arial"/>
                <w:color w:val="0F1923"/>
                <w:sz w:val="21"/>
                <w:szCs w:val="21"/>
              </w:rPr>
              <w:t xml:space="preserve">March 2026</w:t>
            </w:r>
          </w:p>
        </w:tc>
      </w:tr>
      <w:tr>
        <w:tc>
          <w:tcPr>
            <w:tcW w:type="dxa" w:w="3200"/>
            <w:tcBorders>
              <w:top w:val="single" w:color="C2D0DE" w:sz="1"/>
              <w:left w:val="single" w:color="C2D0DE" w:sz="1"/>
              <w:bottom w:val="single" w:color="C2D0DE" w:sz="1"/>
              <w:right w:val="single" w:color="C2D0DE" w:sz="1"/>
            </w:tcBorders>
            <w:shd w:fill="1E3A5F" w:val="clear"/>
            <w:tcMar>
              <w:top w:type="dxa" w:w="120"/>
              <w:left w:type="dxa" w:w="200"/>
              <w:bottom w:type="dxa" w:w="120"/>
              <w:right w:type="dxa" w:w="200"/>
            </w:tcMar>
          </w:tcPr>
          <w:p>
            <w:r>
              <w:rPr>
                <w:rFonts w:ascii="Arial" w:cs="Arial" w:eastAsia="Arial" w:hAnsi="Arial"/>
                <w:b/>
                <w:bCs/>
                <w:color w:val="FFFFFF"/>
                <w:sz w:val="21"/>
                <w:szCs w:val="21"/>
              </w:rPr>
              <w:t xml:space="preserve">Module</w:t>
            </w:r>
          </w:p>
        </w:tc>
        <w:tc>
          <w:tcPr>
            <w:tcW w:type="dxa" w:w="3200"/>
            <w:tcBorders>
              <w:top w:val="single" w:color="C2D0DE" w:sz="1"/>
              <w:left w:val="single" w:color="C2D0DE" w:sz="1"/>
              <w:bottom w:val="single" w:color="C2D0DE" w:sz="1"/>
              <w:right w:val="single" w:color="C2D0DE" w:sz="1"/>
            </w:tcBorders>
            <w:shd w:fill="DDEAF8" w:val="clear"/>
            <w:tcMar>
              <w:top w:type="dxa" w:w="120"/>
              <w:left w:type="dxa" w:w="200"/>
              <w:bottom w:type="dxa" w:w="120"/>
              <w:right w:type="dxa" w:w="200"/>
            </w:tcMar>
          </w:tcPr>
          <w:p>
            <w:r>
              <w:rPr>
                <w:rFonts w:ascii="Arial" w:cs="Arial" w:eastAsia="Arial" w:hAnsi="Arial"/>
                <w:color w:val="0F1923"/>
                <w:sz w:val="21"/>
                <w:szCs w:val="21"/>
              </w:rPr>
              <w:t xml:space="preserve">D — Teacher / Faculty Management</w:t>
            </w:r>
          </w:p>
        </w:tc>
      </w:tr>
      <w:tr>
        <w:tc>
          <w:tcPr>
            <w:tcW w:type="dxa" w:w="3200"/>
            <w:tcBorders>
              <w:top w:val="single" w:color="C2D0DE" w:sz="1"/>
              <w:left w:val="single" w:color="C2D0DE" w:sz="1"/>
              <w:bottom w:val="single" w:color="C2D0DE" w:sz="1"/>
              <w:right w:val="single" w:color="C2D0DE" w:sz="1"/>
            </w:tcBorders>
            <w:shd w:fill="1E3A5F" w:val="clear"/>
            <w:tcMar>
              <w:top w:type="dxa" w:w="120"/>
              <w:left w:type="dxa" w:w="200"/>
              <w:bottom w:type="dxa" w:w="120"/>
              <w:right w:type="dxa" w:w="200"/>
            </w:tcMar>
          </w:tcPr>
          <w:p>
            <w:r>
              <w:rPr>
                <w:rFonts w:ascii="Arial" w:cs="Arial" w:eastAsia="Arial" w:hAnsi="Arial"/>
                <w:b/>
                <w:bCs/>
                <w:color w:val="FFFFFF"/>
                <w:sz w:val="21"/>
                <w:szCs w:val="21"/>
              </w:rPr>
              <w:t xml:space="preserve">Total Features</w:t>
            </w:r>
          </w:p>
        </w:tc>
        <w:tc>
          <w:tcPr>
            <w:tcW w:type="dxa" w:w="3200"/>
            <w:tcBorders>
              <w:top w:val="single" w:color="C2D0DE" w:sz="1"/>
              <w:left w:val="single" w:color="C2D0DE" w:sz="1"/>
              <w:bottom w:val="single" w:color="C2D0DE" w:sz="1"/>
              <w:right w:val="single" w:color="C2D0DE" w:sz="1"/>
            </w:tcBorders>
            <w:shd w:fill="DDEAF8" w:val="clear"/>
            <w:tcMar>
              <w:top w:type="dxa" w:w="120"/>
              <w:left w:type="dxa" w:w="200"/>
              <w:bottom w:type="dxa" w:w="120"/>
              <w:right w:type="dxa" w:w="200"/>
            </w:tcMar>
          </w:tcPr>
          <w:p>
            <w:r>
              <w:rPr>
                <w:rFonts w:ascii="Arial" w:cs="Arial" w:eastAsia="Arial" w:hAnsi="Arial"/>
                <w:color w:val="0F1923"/>
                <w:sz w:val="21"/>
                <w:szCs w:val="21"/>
              </w:rPr>
              <w:t xml:space="preserve">8</w:t>
            </w:r>
          </w:p>
        </w:tc>
      </w:tr>
      <w:tr>
        <w:tc>
          <w:tcPr>
            <w:tcW w:type="dxa" w:w="3200"/>
            <w:tcBorders>
              <w:top w:val="single" w:color="C2D0DE" w:sz="1"/>
              <w:left w:val="single" w:color="C2D0DE" w:sz="1"/>
              <w:bottom w:val="single" w:color="C2D0DE" w:sz="1"/>
              <w:right w:val="single" w:color="C2D0DE" w:sz="1"/>
            </w:tcBorders>
            <w:shd w:fill="1E3A5F" w:val="clear"/>
            <w:tcMar>
              <w:top w:type="dxa" w:w="120"/>
              <w:left w:type="dxa" w:w="200"/>
              <w:bottom w:type="dxa" w:w="120"/>
              <w:right w:type="dxa" w:w="200"/>
            </w:tcMar>
          </w:tcPr>
          <w:p>
            <w:r>
              <w:rPr>
                <w:rFonts w:ascii="Arial" w:cs="Arial" w:eastAsia="Arial" w:hAnsi="Arial"/>
                <w:b/>
                <w:bCs/>
                <w:color w:val="FFFFFF"/>
                <w:sz w:val="21"/>
                <w:szCs w:val="21"/>
              </w:rPr>
              <w:t xml:space="preserve">Status</w:t>
            </w:r>
          </w:p>
        </w:tc>
        <w:tc>
          <w:tcPr>
            <w:tcW w:type="dxa" w:w="3200"/>
            <w:tcBorders>
              <w:top w:val="single" w:color="C2D0DE" w:sz="1"/>
              <w:left w:val="single" w:color="C2D0DE" w:sz="1"/>
              <w:bottom w:val="single" w:color="C2D0DE" w:sz="1"/>
              <w:right w:val="single" w:color="C2D0DE" w:sz="1"/>
            </w:tcBorders>
            <w:shd w:fill="DDEAF8" w:val="clear"/>
            <w:tcMar>
              <w:top w:type="dxa" w:w="120"/>
              <w:left w:type="dxa" w:w="200"/>
              <w:bottom w:type="dxa" w:w="120"/>
              <w:right w:type="dxa" w:w="200"/>
            </w:tcMar>
          </w:tcPr>
          <w:p>
            <w:r>
              <w:rPr>
                <w:rFonts w:ascii="Arial" w:cs="Arial" w:eastAsia="Arial" w:hAnsi="Arial"/>
                <w:color w:val="0F1923"/>
                <w:sz w:val="21"/>
                <w:szCs w:val="21"/>
              </w:rPr>
              <w:t xml:space="preserve">Final Draft</w:t>
            </w:r>
          </w:p>
        </w:tc>
      </w:tr>
    </w:tbl>
    <w:p>
      <w:r>
        <w:br w:type="page"/>
      </w:r>
    </w:p>
    <w:p>
      <w:pPr>
        <w:pBdr>
          <w:bottom w:val="single" w:color="1E3A5F" w:sz="10" w:space="6"/>
        </w:pBdr>
        <w:spacing w:before="460" w:after="220"/>
      </w:pPr>
      <w:r>
        <w:rPr>
          <w:rFonts w:ascii="Arial" w:cs="Arial" w:eastAsia="Arial" w:hAnsi="Arial"/>
          <w:b/>
          <w:bCs/>
          <w:color w:val="0F1923"/>
          <w:sz w:val="40"/>
          <w:szCs w:val="40"/>
        </w:rPr>
        <w:t xml:space="preserve">D. Teacher / Faculty Management — Feature Details</w:t>
      </w:r>
    </w:p>
    <w:p>
      <w:pPr>
        <w:spacing w:before="80" w:after="380"/>
      </w:pPr>
      <w:r>
        <w:rPr>
          <w:rFonts w:ascii="Arial" w:cs="Arial" w:eastAsia="Arial" w:hAnsi="Arial"/>
          <w:i/>
          <w:iCs/>
          <w:color w:val="1E2D3D"/>
          <w:sz w:val="22"/>
          <w:szCs w:val="22"/>
        </w:rPr>
        <w:t xml:space="preserve">The Teacher and Faculty Management module is the human capital engine of the platform — governing the full lifecycle of every educator from pre-joining onboarding through active service, professional development, performance measurement, and eventual offboarding. The eight features below collectively ensure that faculty are verified, appropriately assigned, continuously developed, rigorously evaluated, and precisely access-controlled. Each feature is described in comprehensive functional depth covering workflows, data architecture, compliance requirements, and stakeholder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D0DE" w:sz="1"/>
              <w:left w:val="single" w:color="C2D0DE" w:sz="1"/>
              <w:bottom w:val="single" w:color="C2D0DE" w:sz="1"/>
              <w:right w:val="single" w:color="C2D0DE" w:sz="1"/>
            </w:tcBorders>
            <w:shd w:fill="1E3A5F" w:val="clear"/>
            <w:tcMar>
              <w:top w:type="dxa" w:w="150"/>
              <w:left w:type="dxa" w:w="240"/>
              <w:bottom w:type="dxa" w:w="150"/>
              <w:right w:type="dxa" w:w="240"/>
            </w:tcMar>
          </w:tcPr>
          <w:p>
            <w:r>
              <w:rPr>
                <w:rFonts w:ascii="Arial" w:cs="Arial" w:eastAsia="Arial" w:hAnsi="Arial"/>
                <w:b/>
                <w:bCs/>
                <w:color w:val="FFFFFF"/>
                <w:sz w:val="24"/>
                <w:szCs w:val="24"/>
              </w:rPr>
              <w:t xml:space="preserve">1.  </w:t>
            </w:r>
            <w:r>
              <w:rPr>
                <w:rFonts w:ascii="Arial" w:cs="Arial" w:eastAsia="Arial" w:hAnsi="Arial"/>
                <w:b/>
                <w:bCs/>
                <w:color w:val="FFFFFF"/>
                <w:sz w:val="32"/>
                <w:szCs w:val="32"/>
              </w:rPr>
              <w:t xml:space="preserve">Teacher Onboarding</w:t>
            </w:r>
          </w:p>
        </w:tc>
      </w:tr>
      <w:tr>
        <w:tc>
          <w:tcPr>
            <w:tcW w:type="dxa" w:w="9360"/>
            <w:tcBorders>
              <w:top w:val="single" w:color="C2D0DE" w:sz="1"/>
              <w:left w:val="single" w:color="C2D0DE" w:sz="1"/>
              <w:bottom w:val="single" w:color="C2D0DE" w:sz="1"/>
              <w:right w:val="single" w:color="C2D0DE" w:sz="1"/>
            </w:tcBorders>
            <w:shd w:fill="DDEAF8" w:val="clear"/>
            <w:tcMar>
              <w:top w:type="dxa" w:w="115"/>
              <w:left w:type="dxa" w:w="240"/>
              <w:bottom w:type="dxa" w:w="115"/>
              <w:right w:type="dxa" w:w="240"/>
            </w:tcMar>
          </w:tcPr>
          <w:p>
            <w:r>
              <w:rPr>
                <w:rFonts w:ascii="Arial" w:cs="Arial" w:eastAsia="Arial" w:hAnsi="Arial"/>
                <w:b/>
                <w:bCs/>
                <w:color w:val="1E3A5F"/>
                <w:sz w:val="21"/>
                <w:szCs w:val="21"/>
              </w:rPr>
              <w:t xml:space="preserve">Overview  </w:t>
            </w:r>
            <w:r>
              <w:rPr>
                <w:rFonts w:ascii="Arial" w:cs="Arial" w:eastAsia="Arial" w:hAnsi="Arial"/>
                <w:i/>
                <w:iCs/>
                <w:color w:val="1E2D3D"/>
                <w:sz w:val="21"/>
                <w:szCs w:val="21"/>
              </w:rPr>
              <w:t xml:space="preserve">The structured, end-to-end process of formally bringing a new teaching or faculty member onto the platform — spanning recruitment record linkage, identity verification, credential confirmation, induction training, and full platform activation — ensuring every teacher is ready to teach from day one.</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2563A8"/>
                <w:sz w:val="21"/>
                <w:szCs w:val="21"/>
              </w:rPr>
              <w:t xml:space="preserve">Pre-Joining &amp; Recruitment Linkage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Offer letter issuance through the platform: HR admins can draft, customise, and digitally dispatch appointment letters directly from the onboarding module — linked to the teacher's profile from the moment of acceptance.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Pre-joining form dispatched to the incoming teacher upon offer acceptance — captures personal details, educational qualifications, work experience, subject specialisations, emergency contacts, bank account details for salary processing, and PF/ESI nomination information.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Document upload portal accessible before the teacher's joining date — teacher uploads scanned originals of all required credentials (degrees, experience certificates, ID proof) so verification can begin before physical joining, reducing first-day administrative delays.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Joining date scheduling and induction calendar: the system auto-generates a personalised onboarding itinerary for each new teacher — including orientation sessions, department meetings, platform training slots, and classroom observation schedules.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Buddy/mentor teacher assignment: a senior teacher from the same department is automatically suggested as an onboarding buddy — facilitating peer-guided school orientation alongside formal induction.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Background verification trigger: upon joining confirmation, the platform initiates a background check workflow through integrated BGV service providers (AuthBridge, SpringVerify, or equivalent) covering address, education, and prior employment verification.</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2563A8"/>
                <w:sz w:val="21"/>
                <w:szCs w:val="21"/>
              </w:rPr>
              <w:t xml:space="preserve">Identity &amp; Document Verification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Mandatory identity documents: Aadhaar Card (masked, encrypted storage), PAN Card, Passport (for international teachers), and a recent passport-size photograph — all verified against the teacher's stated details using OCR cross-matching.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Educational qualification document set: degree certificates, mark sheets, and provisional certificates for all declared qualifications — system extracts institution name, year of passing, and percentage/CGPA for cross-validation against the filled profile.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Experience verification: previous employment offer letters, relieving letters, and payslips — system checks for unexplained employment gaps and flags discrepancies between declared experience and document dates for HR review.</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Police verification clearance: upload facility for police clearance certificate (mandatory for teachers working with minors) — expiry tracked and renewal prompted 60 days before certificate expiry.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Medical fitness certificate: upload of fitness certificate from a registered medical practitioner, required per CBSE and state board employment norms — linked to the teacher's compliance checklist.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Verification status dashboard visible to HR admin: each document category displays a status (Uploaded / Under Verification / Verified / Rejected) with reviewer notes — the teacher cannot be fully activated until all mandatory verifications pass.</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2563A8"/>
                <w:sz w:val="21"/>
                <w:szCs w:val="21"/>
              </w:rPr>
              <w:t xml:space="preserve">Platform Induction &amp; Training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Role-based onboarding training pathway: automatically assigned learning modules based on the teacher's role (subject teacher, form teacher, department head, lab in-charge) — covering platform navigation, attendance marking, content upload, assessment creation, and parent communication tools.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Interactive walkthroughs: guided in-app tours of the teacher dashboard, class roster management, timetable view, gradebook, and communication centre — completable at the teacher's own pace with progress tracking.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Assessment at end of each training module: short quizzes validate platform proficiency — module completion certificates generated automatically and stored in the teacher's digital HR file.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Live orientation session scheduler: HR can schedule batch or individual video orientation sessions (integrated with Zoom/Meet) directly from the onboarding dashboard — invites auto-dispatched with agenda and platform login details.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Onboarding completion score: a composite readiness metric calculated from document verification status, training module completion %, and first-login confirmation — displayed to HR admin to identify teachers needing additional onboarding support.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Grace period tracking: system monitors onboarding task completion against the defined grace period (e.g., 30 days from joining) — HR is alerted about overdue tasks for follow-up before the teacher begins teaching responsibilities.</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2563A8"/>
                <w:sz w:val="21"/>
                <w:szCs w:val="21"/>
              </w:rPr>
              <w:t xml:space="preserve">System Activation &amp; First-Day Setup</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Teacher portal account creation: login credentials auto-generated and dispatched via email and SMS upon HR finalising the joining record — mandatory password change enforced on first login with strong password policy.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Department and reporting structure assignment: teacher is mapped to their department, reporting line manager (HOD), and school admin hierarchy — driving notification routing, leave approval chains, and performance review assignments.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Timetable and class pre-assignment visibility: upon activation, the teacher's assigned periods, classes, and subjects are immediately visible in their dashboard — no delay between system activation and teaching readiness.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Payroll profile initialisation: salary structure, grade, allowances, deductions, and bank details are pushed to the payroll module upon onboarding completion — ensuring the first payroll cycle includes the new teacher without manual re-entry.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E3A5F"/>
                <w:sz w:val="20"/>
                <w:szCs w:val="20"/>
              </w:rPr>
              <w:t xml:space="preserve">▸  </w:t>
            </w:r>
            <w:r>
              <w:rPr>
                <w:rFonts w:ascii="Arial" w:cs="Arial" w:eastAsia="Arial" w:hAnsi="Arial"/>
                <w:color w:val="1E2D3D"/>
                <w:sz w:val="20"/>
                <w:szCs w:val="20"/>
              </w:rPr>
              <w:t xml:space="preserve">Compliance checklist sign-off: teacher electronically acknowledges and signs the school's code of conduct, child safeguarding policy, IT acceptable use policy, and data privacy notice — digital signatures stored with timestamps in the HR compliance vault.</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D0DE" w:sz="1"/>
              <w:left w:val="single" w:color="C2D0DE" w:sz="1"/>
              <w:bottom w:val="single" w:color="C2D0DE" w:sz="1"/>
              <w:right w:val="single" w:color="C2D0DE" w:sz="1"/>
            </w:tcBorders>
            <w:shd w:fill="145237" w:val="clear"/>
            <w:tcMar>
              <w:top w:type="dxa" w:w="150"/>
              <w:left w:type="dxa" w:w="240"/>
              <w:bottom w:type="dxa" w:w="150"/>
              <w:right w:type="dxa" w:w="240"/>
            </w:tcMar>
          </w:tcPr>
          <w:p>
            <w:r>
              <w:rPr>
                <w:rFonts w:ascii="Arial" w:cs="Arial" w:eastAsia="Arial" w:hAnsi="Arial"/>
                <w:b/>
                <w:bCs/>
                <w:color w:val="FFFFFF"/>
                <w:sz w:val="24"/>
                <w:szCs w:val="24"/>
              </w:rPr>
              <w:t xml:space="preserve">2.  </w:t>
            </w:r>
            <w:r>
              <w:rPr>
                <w:rFonts w:ascii="Arial" w:cs="Arial" w:eastAsia="Arial" w:hAnsi="Arial"/>
                <w:b/>
                <w:bCs/>
                <w:color w:val="FFFFFF"/>
                <w:sz w:val="32"/>
                <w:szCs w:val="32"/>
              </w:rPr>
              <w:t xml:space="preserve">Teacher Profile Management</w:t>
            </w:r>
          </w:p>
        </w:tc>
      </w:tr>
      <w:tr>
        <w:tc>
          <w:tcPr>
            <w:tcW w:type="dxa" w:w="9360"/>
            <w:tcBorders>
              <w:top w:val="single" w:color="C2D0DE" w:sz="1"/>
              <w:left w:val="single" w:color="C2D0DE" w:sz="1"/>
              <w:bottom w:val="single" w:color="C2D0DE" w:sz="1"/>
              <w:right w:val="single" w:color="C2D0DE" w:sz="1"/>
            </w:tcBorders>
            <w:shd w:fill="D6EFE3" w:val="clear"/>
            <w:tcMar>
              <w:top w:type="dxa" w:w="115"/>
              <w:left w:type="dxa" w:w="240"/>
              <w:bottom w:type="dxa" w:w="115"/>
              <w:right w:type="dxa" w:w="240"/>
            </w:tcMar>
          </w:tcPr>
          <w:p>
            <w:r>
              <w:rPr>
                <w:rFonts w:ascii="Arial" w:cs="Arial" w:eastAsia="Arial" w:hAnsi="Arial"/>
                <w:b/>
                <w:bCs/>
                <w:color w:val="145237"/>
                <w:sz w:val="21"/>
                <w:szCs w:val="21"/>
              </w:rPr>
              <w:t xml:space="preserve">Overview  </w:t>
            </w:r>
            <w:r>
              <w:rPr>
                <w:rFonts w:ascii="Arial" w:cs="Arial" w:eastAsia="Arial" w:hAnsi="Arial"/>
                <w:i/>
                <w:iCs/>
                <w:color w:val="1E2D3D"/>
                <w:sz w:val="21"/>
                <w:szCs w:val="21"/>
              </w:rPr>
              <w:t xml:space="preserve">Maintains a rich, authoritative, and continuously updated digital record for every faculty member — consolidating professional credentials, teaching history, skills, performance data, wellness information, and career development milestones into a single comprehensive teacher portfolio.</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1A7A4E"/>
                <w:sz w:val="21"/>
                <w:szCs w:val="21"/>
              </w:rPr>
              <w:t xml:space="preserve">Professional Information &amp; Credentials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Full name, employee ID, designation, department, employment type (permanent / contractual / visiting / substitute), date of joining, and current employment status — automatically updated when HR processes status changes.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Educational qualifications portfolio: degree-by-degree record of all academic qualifications with institution name, year, specialisation, percentage/CGPA, and uploaded certificate — supports multi-degree profiles for teachers with M.Ed, B.Ed, subject Master's, and Ph.D combinations.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Teaching certifications and licences: CTET/STET scores and validity, state teaching licence numbers, subject-specific certifications (e.g., IB authorisation, Cambridge trained, STEM specialist) — with expiry tracking and renewal alerts.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Professional development log: complete chronological record of workshops attended, webinars completed, conferences presented at, and online courses finished — categorised by provider, duration, topic, and relevance to current teaching role.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Publications and research: journal articles, textbooks authored, curriculum guides developed, and conference papers — contributing to the teacher's academic credibility profile visible to school leadership.</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Awards and recognitions: national, state, district, and school-level teacher awards — entered by HR with supporting documentation and displayed on the teacher's profile as verified achievements.</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1A7A4E"/>
                <w:sz w:val="21"/>
                <w:szCs w:val="21"/>
              </w:rPr>
              <w:t xml:space="preserve">Teaching Experience &amp; History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Career timeline: chronological employment history from first teaching role to present — each entry includes school name, location, board, classes taught, subjects handled, and reason for leaving, cross-validated against uploaded experience documents.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Current teaching load summary: live display of current academic year's total weekly periods, subjects, classes, and sections — integrated from the subject and class assignment modules for real-time accuracy.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Cumulative experience calculator: auto-computed total teaching experience (in years and months) including all previous roles — used for pay grade calculations, eligibility for senior designations, and regulatory reporting.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Student cohort history: records of all classes/batches taught on the platform — clickable to view the academic outcomes of those batches, enabling a longitudinal view of the teacher's impact.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Inter-school transfer history: for teachers who have taught at multiple schools on the platform, their full cross-school teaching history is consolidated (with appropriate privacy settings) into a unified professional record.</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1A7A4E"/>
                <w:sz w:val="21"/>
                <w:szCs w:val="21"/>
              </w:rPr>
              <w:t xml:space="preserve">Personal &amp; Administrative Information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Personal details: date of birth, gender, blood group, nationality, mother tongue, languages spoken (with proficiency level — relevant for language teachers and multi-medium schools), and religion (optional, for school community management).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Contact information: official school email, personal email, school extension number, personal mobile, residential address — with clear labelling of which contact details are visible to students, parents, and colleagues versus restricted to HR.</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Emergency contacts: minimum two emergency contacts with name, relationship, and mobile number — displayed prominently on the teacher's HR record for occupational health and safety compliance.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Bank and financial details: account number (masked), IFSC code, PAN, and PF/ESI numbers — editable only by HR admin or the teacher with a mandatory re-verification step to prevent fraudulent changes.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Leave balance dashboard embedded in the profile: displays current casual leave, earned leave, medical leave, and maternity/paternity leave balances — updated in real time as leave is applied and approved.</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1A7A4E"/>
                <w:sz w:val="21"/>
                <w:szCs w:val="21"/>
              </w:rPr>
              <w:t xml:space="preserve">Profile Editing, Versioning &amp; Governance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Self-service edit access for teachers: teachers can update personal contact details, add new qualifications (pending HR verification), update professional development logs, and add publications — all self-edits go into a 'Pending Approval' queue.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HR-controlled fields: salary grade, designation, employment type, and verification-locked credentials are editable exclusively by HR or Super Admin — protected from teacher self-editing.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Profile completeness score: a percentage indicator prompting teachers to complete missing sections (e.g., upload missing certificates, add professional development entries) — HR dashboard shows completeness distribution across all staff.</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Complete version history for every edited field: old value, new value, edited by, date, and approval status — enabling full auditability of the teacher's record for regulatory inspections and dispute resolution.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45237"/>
                <w:sz w:val="20"/>
                <w:szCs w:val="20"/>
              </w:rPr>
              <w:t xml:space="preserve">▸  </w:t>
            </w:r>
            <w:r>
              <w:rPr>
                <w:rFonts w:ascii="Arial" w:cs="Arial" w:eastAsia="Arial" w:hAnsi="Arial"/>
                <w:color w:val="1E2D3D"/>
                <w:sz w:val="20"/>
                <w:szCs w:val="20"/>
              </w:rPr>
              <w:t xml:space="preserve">Deactivation and archival workflow: upon resignation, retirement, or termination, the teacher's profile transitions to 'Archived' status — login is disabled, but the complete profile is retained for the mandatory statutory period (typically 7 years) before permanent deletion.</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D0DE" w:sz="1"/>
              <w:left w:val="single" w:color="C2D0DE" w:sz="1"/>
              <w:bottom w:val="single" w:color="C2D0DE" w:sz="1"/>
              <w:right w:val="single" w:color="C2D0DE" w:sz="1"/>
            </w:tcBorders>
            <w:shd w:fill="6B1E3A" w:val="clear"/>
            <w:tcMar>
              <w:top w:type="dxa" w:w="150"/>
              <w:left w:type="dxa" w:w="240"/>
              <w:bottom w:type="dxa" w:w="150"/>
              <w:right w:type="dxa" w:w="240"/>
            </w:tcMar>
          </w:tcPr>
          <w:p>
            <w:r>
              <w:rPr>
                <w:rFonts w:ascii="Arial" w:cs="Arial" w:eastAsia="Arial" w:hAnsi="Arial"/>
                <w:b/>
                <w:bCs/>
                <w:color w:val="FFFFFF"/>
                <w:sz w:val="24"/>
                <w:szCs w:val="24"/>
              </w:rPr>
              <w:t xml:space="preserve">3.  </w:t>
            </w:r>
            <w:r>
              <w:rPr>
                <w:rFonts w:ascii="Arial" w:cs="Arial" w:eastAsia="Arial" w:hAnsi="Arial"/>
                <w:b/>
                <w:bCs/>
                <w:color w:val="FFFFFF"/>
                <w:sz w:val="32"/>
                <w:szCs w:val="32"/>
              </w:rPr>
              <w:t xml:space="preserve">Subject Assignment</w:t>
            </w:r>
          </w:p>
        </w:tc>
      </w:tr>
      <w:tr>
        <w:tc>
          <w:tcPr>
            <w:tcW w:type="dxa" w:w="9360"/>
            <w:tcBorders>
              <w:top w:val="single" w:color="C2D0DE" w:sz="1"/>
              <w:left w:val="single" w:color="C2D0DE" w:sz="1"/>
              <w:bottom w:val="single" w:color="C2D0DE" w:sz="1"/>
              <w:right w:val="single" w:color="C2D0DE" w:sz="1"/>
            </w:tcBorders>
            <w:shd w:fill="F8DCE6" w:val="clear"/>
            <w:tcMar>
              <w:top w:type="dxa" w:w="115"/>
              <w:left w:type="dxa" w:w="240"/>
              <w:bottom w:type="dxa" w:w="115"/>
              <w:right w:type="dxa" w:w="240"/>
            </w:tcMar>
          </w:tcPr>
          <w:p>
            <w:r>
              <w:rPr>
                <w:rFonts w:ascii="Arial" w:cs="Arial" w:eastAsia="Arial" w:hAnsi="Arial"/>
                <w:b/>
                <w:bCs/>
                <w:color w:val="6B1E3A"/>
                <w:sz w:val="21"/>
                <w:szCs w:val="21"/>
              </w:rPr>
              <w:t xml:space="preserve">Overview  </w:t>
            </w:r>
            <w:r>
              <w:rPr>
                <w:rFonts w:ascii="Arial" w:cs="Arial" w:eastAsia="Arial" w:hAnsi="Arial"/>
                <w:i/>
                <w:iCs/>
                <w:color w:val="1E2D3D"/>
                <w:sz w:val="21"/>
                <w:szCs w:val="21"/>
              </w:rPr>
              <w:t xml:space="preserve">The precise allocation of specific subjects and curriculum areas to qualified teachers — ensuring every subject in every class is covered by a teacher whose credentials, certification, and workload permit effective and compliant delivery.</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9B2C55"/>
                <w:sz w:val="21"/>
                <w:szCs w:val="21"/>
              </w:rPr>
              <w:t xml:space="preserve">Assignment Rules &amp; Eligibility Engine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Qualification-subject mapping: the platform maintains a qualification matrix defining which degree and certification combinations make a teacher eligible to teach each subject at each grade level — assignments that violate eligibility rules are blocked with an explanatory alert.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Board-compliance checks: CBSE, CISCE, and state board norms for teacher qualifications per subject are encoded as business rules — e.g., CBSE requires a graduate degree in the subject plus B.Ed for Classes 6–12, validated automatically before assignment.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Workload cap enforcement: configurable maximum weekly teaching periods per teacher (default: 40 periods/week as per NEP guidelines) — the system prevents subject assignments that would push a teacher beyond their workload cap without admin override.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Specialisation matching: beyond minimum eligibility, the system scores and ranks available teachers by specialisation depth for each subject — e.g., a Physics teacher with an M.Sc. in Physics is ranked higher for Class 12 Physics than a B.Sc. graduate.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Continuity preference: option to maintain subject-teacher continuity for exam-facing grades — the engine preferentially assigns the same teacher who handled the class in the prior year to minimise disruption during critical academic years.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Substitute and contingency assignment: for subjects without a permanently assigned teacher (due to vacancy or leave), a substitute teacher can be assigned for a defined period with a clear 'Temporary' flag to avoid confusion in records.</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9B2C55"/>
                <w:sz w:val="21"/>
                <w:szCs w:val="21"/>
              </w:rPr>
              <w:t xml:space="preserve">Assignment Workflow &amp; Management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Bulk assignment interface: academic coordinators can assign subjects for an entire academic year in one session — a grid view shows all classes (rows) vs. subjects (columns) with teacher name dropdowns and workload indicators per cell.</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Conflict detection: real-time timetable conflict checks during assignment — prevents assigning a teacher to two subjects in the same period across different classes, or to back-to-back periods beyond the school's configured fatigue policy.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Assignment approval workflow: subject assignments above a configured seniority level (e.g., Board exam classes) require department head approval before activation — ensuring experienced teachers handle high-stakes classes.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Mid-year reassignment workflow: if a teacher resigns or goes on extended leave mid-year, a guided reassignment wizard identifies the affected subjects, surfaces eligible replacement teachers, and enables bulk reassignment with one-click notification to students and parents.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Co-teaching support: multiple teachers can be co-assigned to a subject in a section (e.g., two science teachers for a lab-intensive section, or a language support teacher co-teaching with the subject teacher for SEN sections) — both teachers receive equal access to the class's academic records.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Assignment history log: complete timestamped record of every subject assignment, reassignment, and removal — preserving accountability for who taught which subject to which class during every period of the academic year.</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9B2C55"/>
                <w:sz w:val="21"/>
                <w:szCs w:val="21"/>
              </w:rPr>
              <w:t xml:space="preserve">Workload Analytics &amp; Equity Monitoring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Teacher workload heatmap: a colour-coded visualisation of every teacher's weekly period load — green for optimal, amber for approaching cap, red for over-allocated — updated dynamically as assignments change.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Department-level workload equity report: compares total weekly periods, number of subjects, and grade levels handled across all teachers in a department — flagging significant disparities for HOD review.</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Exam class load tracking: special monitoring of teachers assigned to Classes 10 and 12 — higher-stakes assignments receive additional visibility in the academic coordinator's dashboard.</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Subject coverage gap alerts: automatic daily check that every subject in every active section has a confirmed teacher assignment — unassigned subjects are surfaced as critical gaps requiring immediate resolution.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1E3A"/>
                <w:sz w:val="20"/>
                <w:szCs w:val="20"/>
              </w:rPr>
              <w:t xml:space="preserve">▸  </w:t>
            </w:r>
            <w:r>
              <w:rPr>
                <w:rFonts w:ascii="Arial" w:cs="Arial" w:eastAsia="Arial" w:hAnsi="Arial"/>
                <w:color w:val="1E2D3D"/>
                <w:sz w:val="20"/>
                <w:szCs w:val="20"/>
              </w:rPr>
              <w:t xml:space="preserve">Projected workload planner: allows academic coordinators to simulate proposed assignments for the next academic year before they go live — identifying gaps, overloads, and new hiring requirements months in advance.</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D0DE" w:sz="1"/>
              <w:left w:val="single" w:color="C2D0DE" w:sz="1"/>
              <w:bottom w:val="single" w:color="C2D0DE" w:sz="1"/>
              <w:right w:val="single" w:color="C2D0DE" w:sz="1"/>
            </w:tcBorders>
            <w:shd w:fill="6B4226" w:val="clear"/>
            <w:tcMar>
              <w:top w:type="dxa" w:w="150"/>
              <w:left w:type="dxa" w:w="240"/>
              <w:bottom w:type="dxa" w:w="150"/>
              <w:right w:type="dxa" w:w="240"/>
            </w:tcMar>
          </w:tcPr>
          <w:p>
            <w:r>
              <w:rPr>
                <w:rFonts w:ascii="Arial" w:cs="Arial" w:eastAsia="Arial" w:hAnsi="Arial"/>
                <w:b/>
                <w:bCs/>
                <w:color w:val="FFFFFF"/>
                <w:sz w:val="24"/>
                <w:szCs w:val="24"/>
              </w:rPr>
              <w:t xml:space="preserve">4.  </w:t>
            </w:r>
            <w:r>
              <w:rPr>
                <w:rFonts w:ascii="Arial" w:cs="Arial" w:eastAsia="Arial" w:hAnsi="Arial"/>
                <w:b/>
                <w:bCs/>
                <w:color w:val="FFFFFF"/>
                <w:sz w:val="32"/>
                <w:szCs w:val="32"/>
              </w:rPr>
              <w:t xml:space="preserve">Class Assignment</w:t>
            </w:r>
          </w:p>
        </w:tc>
      </w:tr>
      <w:tr>
        <w:tc>
          <w:tcPr>
            <w:tcW w:type="dxa" w:w="9360"/>
            <w:tcBorders>
              <w:top w:val="single" w:color="C2D0DE" w:sz="1"/>
              <w:left w:val="single" w:color="C2D0DE" w:sz="1"/>
              <w:bottom w:val="single" w:color="C2D0DE" w:sz="1"/>
              <w:right w:val="single" w:color="C2D0DE" w:sz="1"/>
            </w:tcBorders>
            <w:shd w:fill="F5E6DA" w:val="clear"/>
            <w:tcMar>
              <w:top w:type="dxa" w:w="115"/>
              <w:left w:type="dxa" w:w="240"/>
              <w:bottom w:type="dxa" w:w="115"/>
              <w:right w:type="dxa" w:w="240"/>
            </w:tcMar>
          </w:tcPr>
          <w:p>
            <w:r>
              <w:rPr>
                <w:rFonts w:ascii="Arial" w:cs="Arial" w:eastAsia="Arial" w:hAnsi="Arial"/>
                <w:b/>
                <w:bCs/>
                <w:color w:val="6B4226"/>
                <w:sz w:val="21"/>
                <w:szCs w:val="21"/>
              </w:rPr>
              <w:t xml:space="preserve">Overview  </w:t>
            </w:r>
            <w:r>
              <w:rPr>
                <w:rFonts w:ascii="Arial" w:cs="Arial" w:eastAsia="Arial" w:hAnsi="Arial"/>
                <w:i/>
                <w:iCs/>
                <w:color w:val="1E2D3D"/>
                <w:sz w:val="21"/>
                <w:szCs w:val="21"/>
              </w:rPr>
              <w:t xml:space="preserve">The formal allocation of teachers to specific classes and sections in roles beyond subject delivery — including form teacher, class in-charge, and co-teacher designations — establishing the relational and pastoral accountability structure for each class.</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9A5E38"/>
                <w:sz w:val="21"/>
                <w:szCs w:val="21"/>
              </w:rPr>
              <w:t xml:space="preserve">Form Teacher (Class Teacher) Assignment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Formal designation of one teacher per section as the Form Teacher — a role carrying pastoral, administrative, and communicative responsibilities beyond subject teaching.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Eligibility filters for form teacher assignment: minimum experience threshold (configurable, e.g., 2+ years), permanent employment status preferred over contractual, and no more than one form teacher role simultaneously to prevent pastoral overload.</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Form teacher responsibilities unlocked upon assignment: exclusive access to section-level student welfare notes, counselling liaison records, parent communication thread for the class, PTM scheduling, and class-level disciplinary incident log.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Continuity policy: option to keep the same form teacher with a cohort across multiple years (loop teaching) — the system flags continuity-eligible assignments and preserves the link during year-end class promotion processing.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Deputy/relief form teacher designation: a secondary teacher can be designated as deputy form teacher — automatically assuming form teacher responsibilities during planned or unplanned absences without requiring manual reassignment.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Form teacher load balancing: admin dashboard shows which teachers hold form teacher roles and prevents a single teacher from accumulating both a form teacher role and an excessive teaching load simultaneously.</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9A5E38"/>
                <w:sz w:val="21"/>
                <w:szCs w:val="21"/>
              </w:rPr>
              <w:t xml:space="preserve">Class In-Charge &amp; Supervisory Roles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Class in-charge assignment for non-teaching supervisory periods (study halls, library periods, lunch supervision) — separate from the form teacher role, allowing flexible staffing of supervisory duties.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Lab in-charge assignment: for science, computer, or language labs — the lab in-charge teacher is responsible for lab scheduling, safety register, equipment maintenance log, and incident reporting within the platform.</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Examination invigilation assignment: class assignment module integrates with the exam management module to assign invigilators to exam halls — factoring in teacher availability, subject conflicts (teachers cannot invigilate their own subject), and hall capacity.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Grade-level coordinator designation: a senior teacher can be assigned as coordinator for an entire grade (e.g., Grade 8 Coordinator) — gaining read access to all sections' data within that grade for academic oversight.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Support and remedial class assignment: teachers assigned to run after-school remedial sessions or enrichment programmes are tracked separately from regular class assignments, with their own attendance and progress reporting.</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9A5E38"/>
                <w:sz w:val="21"/>
                <w:szCs w:val="21"/>
              </w:rPr>
              <w:t xml:space="preserve">Assignment Lifecycle &amp; Notifications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Academic year assignment initialisation: at the start of each academic year, a bulk class assignment wizard guides the admin through allocating form teachers and in-charges to all sections — with copy-from-last-year option for continuity.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Assignment activation timeline: class assignments can be pre-configured before the academic year begins and scheduled to activate automatically on the first day of school — preventing premature access to inactive classes.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Reassignment impact analysis: before confirming a mid-year class assignment change, the system shows a full impact preview — affected students, parent communications that need updating, timetable changes, and pastoral note transfers.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Multi-stakeholder notification cascade: upon finalising class assignments, automated notifications go to the assigned teacher (role and responsibilities), students (form teacher identity), parents (class teacher contact info), and the HOD (department staffing confirmation).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6B4226"/>
                <w:sz w:val="20"/>
                <w:szCs w:val="20"/>
              </w:rPr>
              <w:t xml:space="preserve">▸  </w:t>
            </w:r>
            <w:r>
              <w:rPr>
                <w:rFonts w:ascii="Arial" w:cs="Arial" w:eastAsia="Arial" w:hAnsi="Arial"/>
                <w:color w:val="1E2D3D"/>
                <w:sz w:val="20"/>
                <w:szCs w:val="20"/>
              </w:rPr>
              <w:t xml:space="preserve">Assignment audit trail: every class assignment decision — who was assigned, when, by whom, and any changes — is permanently logged for governance, inspection, and dispute resolution purposes.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D0DE" w:sz="1"/>
              <w:left w:val="single" w:color="C2D0DE" w:sz="1"/>
              <w:bottom w:val="single" w:color="C2D0DE" w:sz="1"/>
              <w:right w:val="single" w:color="C2D0DE" w:sz="1"/>
            </w:tcBorders>
            <w:shd w:fill="1B3F7A" w:val="clear"/>
            <w:tcMar>
              <w:top w:type="dxa" w:w="150"/>
              <w:left w:type="dxa" w:w="240"/>
              <w:bottom w:type="dxa" w:w="150"/>
              <w:right w:type="dxa" w:w="240"/>
            </w:tcMar>
          </w:tcPr>
          <w:p>
            <w:r>
              <w:rPr>
                <w:rFonts w:ascii="Arial" w:cs="Arial" w:eastAsia="Arial" w:hAnsi="Arial"/>
                <w:b/>
                <w:bCs/>
                <w:color w:val="FFFFFF"/>
                <w:sz w:val="24"/>
                <w:szCs w:val="24"/>
              </w:rPr>
              <w:t xml:space="preserve">5.  </w:t>
            </w:r>
            <w:r>
              <w:rPr>
                <w:rFonts w:ascii="Arial" w:cs="Arial" w:eastAsia="Arial" w:hAnsi="Arial"/>
                <w:b/>
                <w:bCs/>
                <w:color w:val="FFFFFF"/>
                <w:sz w:val="32"/>
                <w:szCs w:val="32"/>
              </w:rPr>
              <w:t xml:space="preserve">Mentor Assignment</w:t>
            </w:r>
          </w:p>
        </w:tc>
      </w:tr>
      <w:tr>
        <w:tc>
          <w:tcPr>
            <w:tcW w:type="dxa" w:w="9360"/>
            <w:tcBorders>
              <w:top w:val="single" w:color="C2D0DE" w:sz="1"/>
              <w:left w:val="single" w:color="C2D0DE" w:sz="1"/>
              <w:bottom w:val="single" w:color="C2D0DE" w:sz="1"/>
              <w:right w:val="single" w:color="C2D0DE" w:sz="1"/>
            </w:tcBorders>
            <w:shd w:fill="D8E6FA" w:val="clear"/>
            <w:tcMar>
              <w:top w:type="dxa" w:w="115"/>
              <w:left w:type="dxa" w:w="240"/>
              <w:bottom w:type="dxa" w:w="115"/>
              <w:right w:type="dxa" w:w="240"/>
            </w:tcMar>
          </w:tcPr>
          <w:p>
            <w:r>
              <w:rPr>
                <w:rFonts w:ascii="Arial" w:cs="Arial" w:eastAsia="Arial" w:hAnsi="Arial"/>
                <w:b/>
                <w:bCs/>
                <w:color w:val="1B3F7A"/>
                <w:sz w:val="21"/>
                <w:szCs w:val="21"/>
              </w:rPr>
              <w:t xml:space="preserve">Overview  </w:t>
            </w:r>
            <w:r>
              <w:rPr>
                <w:rFonts w:ascii="Arial" w:cs="Arial" w:eastAsia="Arial" w:hAnsi="Arial"/>
                <w:i/>
                <w:iCs/>
                <w:color w:val="1E2D3D"/>
                <w:sz w:val="21"/>
                <w:szCs w:val="21"/>
              </w:rPr>
              <w:t xml:space="preserve">Establishes structured, purposeful mentoring relationships between experienced faculty members and students (or junior teachers) — supporting academic guidance, career counselling, personal development, and professional growth through a governed, trackable mentoring framework.</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2451A3"/>
                <w:sz w:val="21"/>
                <w:szCs w:val="21"/>
              </w:rPr>
              <w:t xml:space="preserve">Student Mentoring Programme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Mentor pool creation: admin designates eligible teachers as mentors based on configurable criteria — minimum experience, absence of disciplinary record, mentoring training completion, and voluntary opt-in confirmation.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Mentor-mentee matching algorithm: assignment engine pairs students with mentors based on multiple compatibility factors — subject alignment, career interest overlap, language preference, and explicit student/parent preferences expressed during enrollment.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Mentee load cap per mentor: configurable maximum number of mentees per mentor (default: 15 students) — system prevents over-allocation and prompts admin to expand the mentor pool when demand exceeds capacity.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Mentoring session scheduling: integrated calendar tool enabling mentors and mentees to schedule sessions — sessions can be one-on-one or small group (up to 5 mentees), with pre-session agenda templates and post-session note recording.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Session log and progress notes: mentors record structured notes after each session covering topics discussed, goals set, challenges identified, and action items — notes are visible to school counsellors and principal but not to other teachers.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Mentoring outcome tracking: at the end of each term, mentors complete a structured mentee progress assessment — covering academic motivation, career clarity, personal development, and wellbeing — feeding into the student's cumulative profile.</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2451A3"/>
                <w:sz w:val="21"/>
                <w:szCs w:val="21"/>
              </w:rPr>
              <w:t xml:space="preserve">Teacher Mentoring &amp; Induction Support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New teacher mentoring assignment: every newly onboarded teacher (in their first two years) is automatically assigned a senior mentor teacher from the same department — this link is created during the onboarding workflow.</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Mentoring plan templates: standardised 30-60-90 day mentoring plan templates covering classroom management techniques, curriculum delivery, assessment design, parent communication, and platform tool proficiency.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Classroom observation scheduling: mentor teachers can schedule formal and informal classroom observations of their mentee — observation feedback forms are completed digitally and shared with the mentee and HOD post-observation.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Reflection journal: mentee teachers maintain a digital reflection journal within the platform — entries are private by default, but can be selectively shared with their mentor for guided professional reflection discussions.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Mentoring effectiveness rating: at the end of the mentoring relationship, both mentor and mentee complete a structured mutual rating and feedback form — anonymised aggregate results inform the quality and effectiveness of the mentoring programme overall.</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Senior teacher recognition: mentoring contributions are formally recorded in the mentor's professional profile as leadership and CPD (Continuing Professional Development) hours — counting towards designation upgrades and performance appraisals.</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2451A3"/>
                <w:sz w:val="21"/>
                <w:szCs w:val="21"/>
              </w:rPr>
              <w:t xml:space="preserve">Programme Governance &amp; Analytics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Mentoring programme dashboard for admin: real-time view of total active mentoring pairs, session completion rates, mentees without recent sessions (&gt;30 days), and overall programme health score.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Mentor availability management: teachers can flag periods of unavailability (exam season, personal leave) during which new mentee assignments are paused — existing mentoring relationships are maintained with reduced frequency expectations.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Escalation pathways: if a mentee raises a concern that exceeds the mentor's scope (e.g., mental health crisis, safeguarding issue), the platform provides a one-click escalation to the school counsellor or principal with a structured handover note.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Cross-school mentoring support: on platforms with multi-school networks (chains or trusts), senior teachers from high-performing schools can be assigned as remote mentors to teachers in newer or lower-performing schools — sessions conducted via integrated video conferencing.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1B3F7A"/>
                <w:sz w:val="20"/>
                <w:szCs w:val="20"/>
              </w:rPr>
              <w:t xml:space="preserve">▸  </w:t>
            </w:r>
            <w:r>
              <w:rPr>
                <w:rFonts w:ascii="Arial" w:cs="Arial" w:eastAsia="Arial" w:hAnsi="Arial"/>
                <w:color w:val="1E2D3D"/>
                <w:sz w:val="20"/>
                <w:szCs w:val="20"/>
              </w:rPr>
              <w:t xml:space="preserve">Annual mentoring impact report: platform-generated report correlating mentoring participation with student academic outcomes, teacher retention rates, and professional development progress — presented to school leadership for programme evaluation.</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D0DE" w:sz="1"/>
              <w:left w:val="single" w:color="C2D0DE" w:sz="1"/>
              <w:bottom w:val="single" w:color="C2D0DE" w:sz="1"/>
              <w:right w:val="single" w:color="C2D0DE" w:sz="1"/>
            </w:tcBorders>
            <w:shd w:fill="4B2069" w:val="clear"/>
            <w:tcMar>
              <w:top w:type="dxa" w:w="150"/>
              <w:left w:type="dxa" w:w="240"/>
              <w:bottom w:type="dxa" w:w="150"/>
              <w:right w:type="dxa" w:w="240"/>
            </w:tcMar>
          </w:tcPr>
          <w:p>
            <w:r>
              <w:rPr>
                <w:rFonts w:ascii="Arial" w:cs="Arial" w:eastAsia="Arial" w:hAnsi="Arial"/>
                <w:b/>
                <w:bCs/>
                <w:color w:val="FFFFFF"/>
                <w:sz w:val="24"/>
                <w:szCs w:val="24"/>
              </w:rPr>
              <w:t xml:space="preserve">6.  </w:t>
            </w:r>
            <w:r>
              <w:rPr>
                <w:rFonts w:ascii="Arial" w:cs="Arial" w:eastAsia="Arial" w:hAnsi="Arial"/>
                <w:b/>
                <w:bCs/>
                <w:color w:val="FFFFFF"/>
                <w:sz w:val="32"/>
                <w:szCs w:val="32"/>
              </w:rPr>
              <w:t xml:space="preserve">Teacher Performance Analytics</w:t>
            </w:r>
          </w:p>
        </w:tc>
      </w:tr>
      <w:tr>
        <w:tc>
          <w:tcPr>
            <w:tcW w:type="dxa" w:w="9360"/>
            <w:tcBorders>
              <w:top w:val="single" w:color="C2D0DE" w:sz="1"/>
              <w:left w:val="single" w:color="C2D0DE" w:sz="1"/>
              <w:bottom w:val="single" w:color="C2D0DE" w:sz="1"/>
              <w:right w:val="single" w:color="C2D0DE" w:sz="1"/>
            </w:tcBorders>
            <w:shd w:fill="EFE0F9" w:val="clear"/>
            <w:tcMar>
              <w:top w:type="dxa" w:w="115"/>
              <w:left w:type="dxa" w:w="240"/>
              <w:bottom w:type="dxa" w:w="115"/>
              <w:right w:type="dxa" w:w="240"/>
            </w:tcMar>
          </w:tcPr>
          <w:p>
            <w:r>
              <w:rPr>
                <w:rFonts w:ascii="Arial" w:cs="Arial" w:eastAsia="Arial" w:hAnsi="Arial"/>
                <w:b/>
                <w:bCs/>
                <w:color w:val="4B2069"/>
                <w:sz w:val="21"/>
                <w:szCs w:val="21"/>
              </w:rPr>
              <w:t xml:space="preserve">Overview  </w:t>
            </w:r>
            <w:r>
              <w:rPr>
                <w:rFonts w:ascii="Arial" w:cs="Arial" w:eastAsia="Arial" w:hAnsi="Arial"/>
                <w:i/>
                <w:iCs/>
                <w:color w:val="1E2D3D"/>
                <w:sz w:val="21"/>
                <w:szCs w:val="21"/>
              </w:rPr>
              <w:t xml:space="preserve">A comprehensive, data-driven performance intelligence system that measures teacher effectiveness across multiple dimensions — student outcomes, classroom engagement, professional development, punctuality, parent satisfaction, and peer collaboration — producing actionable insights for appraisals, CPD planning, and institutional quality improvement.</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6B2D94"/>
                <w:sz w:val="21"/>
                <w:szCs w:val="21"/>
              </w:rPr>
              <w:t xml:space="preserve">Student Outcome Attribution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Value-added analysis: measures the academic growth of each teacher's students relative to their starting performance — isolating the teacher's contribution from socio-economic and prior-attainment factors for a fairer effectiveness measure.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Subject-level class average tracking: plots the average marks of each teacher's classes per subject per assessment cycle — trend lines show whether student performance in their subject is improving, stable, or declining over time.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Learning gap closure rate: measures how effectively a teacher closes identified learning gaps between one assessment and the next — classes where identified gaps are not being addressed trigger a coaching recommendation for the teacher.</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Pass rate and grade distribution monitoring: tracks the percentage of students achieving at or above expected grade level per teacher's class — compared against the school average and national benchmarks for contextual interpretation.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Board exam outcome correlation: after board results are published, the platform correlates internal marks predicted by each teacher with actual board scores — high prediction accuracy is a marker of robust assessment practice.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Remedial programme effectiveness: for teachers running remedial sessions, tracks the academic improvement of remedial students between before and after the intervention to measure the direct impact of targeted support.</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6B2D94"/>
                <w:sz w:val="21"/>
                <w:szCs w:val="21"/>
              </w:rPr>
              <w:t xml:space="preserve">Classroom Engagement &amp; Delivery Metrics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Content upload and curriculum coverage tracker: monitors whether each teacher is uploading lesson plans, study materials, and assessments within the scheduled timelines — late uploads and coverage gaps are flagged to the HOD.</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Assignment and assessment frequency: tracks the number and variety of formative assessments (quizzes, projects, class tests) issued per teacher per term — both under-assessment and over-assessment (causing student fatigue) are flagged.</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Student engagement scores in teacher's classes: aggregates student LMS activity metrics (content access, discussion participation, question submission frequency) as a proxy for classroom engagement quality.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Homework return time: measures the average turnaround time between assignment submission and teacher feedback/grading — long feedback cycles are flagged as areas for improvement in assessment practice.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Attendance at own classes: tracks teacher punctuality for their assigned periods — late marking of attendance or frequent period gaps are surfaced in the performance dashboard.</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Teaching resource diversity index: measures the variety of content formats used by the teacher (video, PDF, interactive quiz, live session, lab activity) — low diversity may indicate over-reliance on passive content delivery methods.</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6B2D94"/>
                <w:sz w:val="21"/>
                <w:szCs w:val="21"/>
              </w:rPr>
              <w:t xml:space="preserve">Professional Development &amp; Collaboration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CPD hours tracker: cumulative count of professional development hours completed by the teacher during the academic year — broken down by category (platform training, external workshop, conference, peer observation, online course).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CPD goal vs. actual tracking: teachers set annual professional development goals at the start of the year — the platform tracks progress against these goals with mid-year check-in reminders.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Peer collaboration score: measures participation in department meetings, curriculum planning sessions, co-teaching initiatives, and knowledge-sharing forums on the platform — quantifying collaborative professional practice.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Mentoring contribution credit: formally counts time invested in mentoring (student or teacher mentoring programme) as professional development hours in the performance calculation.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Innovation adoption rate: tracks uptake of newly introduced platform features and pedagogical tools — early adopters are recognised in the innovation leaderboard, encouraging a culture of continuous improvement.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360-degree feedback integration: collects structured feedback from students (age-appropriate surveys for Classes 6+), parents (after PTMs), peer teachers, and department heads — aggregated into a holistic performance narrative.</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6B2D94"/>
                <w:sz w:val="21"/>
                <w:szCs w:val="21"/>
              </w:rPr>
              <w:t xml:space="preserve">Performance Appraisal &amp; Reporting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Annual Performance Report (APR) auto-generation: at year-end, the system compiles all performance dimensions into a structured APR template — reducing manual report writing time for HODs while ensuring data completeness.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Performance band classification: teachers are automatically categorised into performance bands (Exceptional / Proficient / Developing / Under Performance Watch) based on composite scores — with clear, evidence-backed rationale for each classification.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Improvement plan triggering: teachers in the 'Developing' or 'Under Performance Watch' bands automatically receive a structured Performance Improvement Plan (PIP) template — with SMART goals, support commitments, and review milestones pre-populated from their specific weak areas.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Confidentiality controls: detailed performance data is visible only to the teacher, their HOD, and the principal — aggregate, anonymised data is available for school-level analytics without exposing individual teacher scores.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4B2069"/>
                <w:sz w:val="20"/>
                <w:szCs w:val="20"/>
              </w:rPr>
              <w:t xml:space="preserve">▸  </w:t>
            </w:r>
            <w:r>
              <w:rPr>
                <w:rFonts w:ascii="Arial" w:cs="Arial" w:eastAsia="Arial" w:hAnsi="Arial"/>
                <w:color w:val="1E2D3D"/>
                <w:sz w:val="20"/>
                <w:szCs w:val="20"/>
              </w:rPr>
              <w:t xml:space="preserve">Historical performance archive: all APRs and performance band classifications are stored for every year of the teacher's employment — enabling longitudinal career trajectory analysis and informing promotion decisions.</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D0DE" w:sz="1"/>
              <w:left w:val="single" w:color="C2D0DE" w:sz="1"/>
              <w:bottom w:val="single" w:color="C2D0DE" w:sz="1"/>
              <w:right w:val="single" w:color="C2D0DE" w:sz="1"/>
            </w:tcBorders>
            <w:shd w:fill="2C3E50" w:val="clear"/>
            <w:tcMar>
              <w:top w:type="dxa" w:w="150"/>
              <w:left w:type="dxa" w:w="240"/>
              <w:bottom w:type="dxa" w:w="150"/>
              <w:right w:type="dxa" w:w="240"/>
            </w:tcMar>
          </w:tcPr>
          <w:p>
            <w:r>
              <w:rPr>
                <w:rFonts w:ascii="Arial" w:cs="Arial" w:eastAsia="Arial" w:hAnsi="Arial"/>
                <w:b/>
                <w:bCs/>
                <w:color w:val="FFFFFF"/>
                <w:sz w:val="24"/>
                <w:szCs w:val="24"/>
              </w:rPr>
              <w:t xml:space="preserve">7.  </w:t>
            </w:r>
            <w:r>
              <w:rPr>
                <w:rFonts w:ascii="Arial" w:cs="Arial" w:eastAsia="Arial" w:hAnsi="Arial"/>
                <w:b/>
                <w:bCs/>
                <w:color w:val="FFFFFF"/>
                <w:sz w:val="32"/>
                <w:szCs w:val="32"/>
              </w:rPr>
              <w:t xml:space="preserve">Teacher Certification Verification</w:t>
            </w:r>
          </w:p>
        </w:tc>
      </w:tr>
      <w:tr>
        <w:tc>
          <w:tcPr>
            <w:tcW w:type="dxa" w:w="9360"/>
            <w:tcBorders>
              <w:top w:val="single" w:color="C2D0DE" w:sz="1"/>
              <w:left w:val="single" w:color="C2D0DE" w:sz="1"/>
              <w:bottom w:val="single" w:color="C2D0DE" w:sz="1"/>
              <w:right w:val="single" w:color="C2D0DE" w:sz="1"/>
            </w:tcBorders>
            <w:shd w:fill="E8ECF0" w:val="clear"/>
            <w:tcMar>
              <w:top w:type="dxa" w:w="115"/>
              <w:left w:type="dxa" w:w="240"/>
              <w:bottom w:type="dxa" w:w="115"/>
              <w:right w:type="dxa" w:w="240"/>
            </w:tcMar>
          </w:tcPr>
          <w:p>
            <w:r>
              <w:rPr>
                <w:rFonts w:ascii="Arial" w:cs="Arial" w:eastAsia="Arial" w:hAnsi="Arial"/>
                <w:b/>
                <w:bCs/>
                <w:color w:val="2C3E50"/>
                <w:sz w:val="21"/>
                <w:szCs w:val="21"/>
              </w:rPr>
              <w:t xml:space="preserve">Overview  </w:t>
            </w:r>
            <w:r>
              <w:rPr>
                <w:rFonts w:ascii="Arial" w:cs="Arial" w:eastAsia="Arial" w:hAnsi="Arial"/>
                <w:i/>
                <w:iCs/>
                <w:color w:val="1E2D3D"/>
                <w:sz w:val="21"/>
                <w:szCs w:val="21"/>
              </w:rPr>
              <w:t xml:space="preserve">Ensures that every teacher's claimed professional qualifications, teaching licences, subject certifications, and continuing education credentials are authentic, current, and fully compliant with applicable regulatory requirements — protecting the school's accreditation and students' educational entitlements.</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3D5166"/>
                <w:sz w:val="21"/>
                <w:szCs w:val="21"/>
              </w:rPr>
              <w:t xml:space="preserve">Certification Registry &amp; Classification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Comprehensive certification catalogue maintained by the platform covering: B.Ed / D.El.Ed / M.Ed degrees, CTET / STET scores and validity periods, state teaching licences, NCTE (National Council for Teacher Education) registration, IB authorisation, Cambridge trained teacher credentials, STEM certifications, special education qualifications (B.Ed Special Education, RCI registration), and subject-specific international certifications.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Certification tier classification: Mandatory (legally required to teach — e.g., B.Ed for secondary classes), Preferred (board-recommended but not legally mandatory), and Value-Added (industry certifications and elective professional qualifications).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Regulatory requirement matrix: for each board-grade-subject combination, the platform encodes the exact certification requirements — a teacher's certification profile is automatically cross-checked against this matrix to determine compliance status.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International equivalency mapping: for teachers with foreign qualifications, the platform maps their credentials to Indian equivalents using NARIC/AIU equivalency guidelines — enabling fair evaluation of international faculty.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Certification expiry calendar: all time-bound certifications (CTET validity, state licence renewals, first aid certifications, child safeguarding training) tracked with automated alerts at 90, 60, 30, and 7 days before expiry.</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3D5166"/>
                <w:sz w:val="21"/>
                <w:szCs w:val="21"/>
              </w:rPr>
              <w:t xml:space="preserve">Verification Mechanisms &amp; Authenticity Checks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Document OCR extraction: uploaded certificate images are processed by the AI OCR engine to extract institution name, registration number, year, and scores — extracted data is auto-populated into the certification record for admin confirmation.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Direct issuing authority verification: for CTET scores, the platform queries the CBSE CTET portal API in real time to verify the registration number and score — eliminating manual verification of the most common mandatory certification.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State board teacher registration API integration: where state education departments provide API access to their teacher registration databases, the platform verifies state teaching licence numbers programmatically.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Third-party background verification integration: for qualifications that cannot be verified through direct APIs, the platform triggers verification requests to BGV partners who conduct source-level verification with the issuing institution.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Fraud detection flags: AI-assisted anomaly detection identifies suspicious document characteristics — inconsistent fonts, mismatched watermarks, unrecognised institution codes, or certificates with dates that predate the institution's founding.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Manual verification fallback: for certifications that fail automated checks, a structured manual review workflow assigns the case to an HR officer with a 5-business-day SLA — the teacher retains a 'Verification Pending' status during this period.</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3D5166"/>
                <w:sz w:val="21"/>
                <w:szCs w:val="21"/>
              </w:rPr>
              <w:t xml:space="preserve">Compliance Monitoring &amp; Gap Management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School-wide certification compliance dashboard: aggregated view showing the percentage of teaching staff with all mandatory certifications verified and current — broken down by department, grade level, and certification type.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Non-compliance risk register: lists every teacher with an expired, unverified, or missing mandatory certification — classified by risk level (High: currently teaching without required cert; Medium: cert expiring within 30 days; Low: cert expiring in 31–90 days).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Automated compliance notices: teachers with expiring or expired mandatory certifications receive escalating automated reminders — first a gentle reminder, then a formal notice, and finally a flag to the principal if the issue is not resolved within the grace period.</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Regulatory inspection readiness report: on-demand report listing all teaching staff, their certification status, and verification evidence references — formatted for direct submission to CBSE, NCTE, or state inspection authorities.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Certification renewal support: for certifications requiring re-examination or re-registration (e.g., CTET renewal, state licence renewal), the platform provides links to official renewal portals, application deadlines, and study resources within the compliance notice.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2C3E50"/>
                <w:sz w:val="20"/>
                <w:szCs w:val="20"/>
              </w:rPr>
              <w:t xml:space="preserve">▸  </w:t>
            </w:r>
            <w:r>
              <w:rPr>
                <w:rFonts w:ascii="Arial" w:cs="Arial" w:eastAsia="Arial" w:hAnsi="Arial"/>
                <w:color w:val="1E2D3D"/>
                <w:sz w:val="20"/>
                <w:szCs w:val="20"/>
              </w:rPr>
              <w:t xml:space="preserve">Compliance history archive: permanent record of every certification's verification event — date verified, method used, verified by, and document hash — maintained for the teacher's entire employment period plus statutory retention period.</w:t>
            </w:r>
          </w:p>
        </w:tc>
      </w:tr>
    </w:tbl>
    <w:p>
      <w:pPr>
        <w:spacing w:before="2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D0DE" w:sz="1"/>
              <w:left w:val="single" w:color="C2D0DE" w:sz="1"/>
              <w:bottom w:val="single" w:color="C2D0DE" w:sz="1"/>
              <w:right w:val="single" w:color="C2D0DE" w:sz="1"/>
            </w:tcBorders>
            <w:shd w:fill="0D6B5E" w:val="clear"/>
            <w:tcMar>
              <w:top w:type="dxa" w:w="150"/>
              <w:left w:type="dxa" w:w="240"/>
              <w:bottom w:type="dxa" w:w="150"/>
              <w:right w:type="dxa" w:w="240"/>
            </w:tcMar>
          </w:tcPr>
          <w:p>
            <w:r>
              <w:rPr>
                <w:rFonts w:ascii="Arial" w:cs="Arial" w:eastAsia="Arial" w:hAnsi="Arial"/>
                <w:b/>
                <w:bCs/>
                <w:color w:val="FFFFFF"/>
                <w:sz w:val="24"/>
                <w:szCs w:val="24"/>
              </w:rPr>
              <w:t xml:space="preserve">8.  </w:t>
            </w:r>
            <w:r>
              <w:rPr>
                <w:rFonts w:ascii="Arial" w:cs="Arial" w:eastAsia="Arial" w:hAnsi="Arial"/>
                <w:b/>
                <w:bCs/>
                <w:color w:val="FFFFFF"/>
                <w:sz w:val="32"/>
                <w:szCs w:val="32"/>
              </w:rPr>
              <w:t xml:space="preserve">Faculty Access Control</w:t>
            </w:r>
          </w:p>
        </w:tc>
      </w:tr>
      <w:tr>
        <w:tc>
          <w:tcPr>
            <w:tcW w:type="dxa" w:w="9360"/>
            <w:tcBorders>
              <w:top w:val="single" w:color="C2D0DE" w:sz="1"/>
              <w:left w:val="single" w:color="C2D0DE" w:sz="1"/>
              <w:bottom w:val="single" w:color="C2D0DE" w:sz="1"/>
              <w:right w:val="single" w:color="C2D0DE" w:sz="1"/>
            </w:tcBorders>
            <w:shd w:fill="D2F0EA" w:val="clear"/>
            <w:tcMar>
              <w:top w:type="dxa" w:w="115"/>
              <w:left w:type="dxa" w:w="240"/>
              <w:bottom w:type="dxa" w:w="115"/>
              <w:right w:type="dxa" w:w="240"/>
            </w:tcMar>
          </w:tcPr>
          <w:p>
            <w:r>
              <w:rPr>
                <w:rFonts w:ascii="Arial" w:cs="Arial" w:eastAsia="Arial" w:hAnsi="Arial"/>
                <w:b/>
                <w:bCs/>
                <w:color w:val="0D6B5E"/>
                <w:sz w:val="21"/>
                <w:szCs w:val="21"/>
              </w:rPr>
              <w:t xml:space="preserve">Overview  </w:t>
            </w:r>
            <w:r>
              <w:rPr>
                <w:rFonts w:ascii="Arial" w:cs="Arial" w:eastAsia="Arial" w:hAnsi="Arial"/>
                <w:i/>
                <w:iCs/>
                <w:color w:val="1E2D3D"/>
                <w:sz w:val="21"/>
                <w:szCs w:val="21"/>
              </w:rPr>
              <w:t xml:space="preserve">Defines and enforces a granular, role-based access control (RBAC) framework that governs precisely what data each faculty member can view, create, edit, and delete across the platform — balancing operational accessibility with security, privacy, and regulatory compliance.</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12917E"/>
                <w:sz w:val="21"/>
                <w:szCs w:val="21"/>
              </w:rPr>
              <w:t xml:space="preserve">Role Hierarchy &amp; Permission Architecture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Six-tier faculty role hierarchy: Super Admin (full platform access), Principal (school-wide read + strategic modules), HOD/Coordinator (department-wide academic and staff data), Form Teacher (own class pastoral and academic data), Subject Teacher (own subject, classes, and assessments), and Visiting/Substitute Teacher (time-limited, scope-limited access).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Permission dimensions: each role's access is defined across four dimensions — Read (view data), Write (create new records), Edit (modify existing records), and Delete (remove records) — configurable independently per module per role.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Module-level access matrix: 20+ platform modules (Attendance, Gradebook, Finance, HR Records, Counselling Notes, Communication, Timetable, Library, etc.) each have independently configurable access levels per role — enabling precise, need-to-know access control.</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Custom role creation: schools can create bespoke roles beyond the default hierarchy — e.g., an 'Examination Controller' role with elevated access to assessment and result modules but no access to finance or HR — addressing unique organisational structures.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Inherited vs. explicit permissions: lower-tier roles inherit a baseline permission set from the tier above, with the ability to selectively restrict inherited permissions or grant specific elevated permissions — reducing the administrative burden of configuring every role from scratch.</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Principle of least privilege enforcement: system default always assigns the minimum permission set for a new role — escalated permissions must be explicitly granted, never assumed, reducing the risk of accidental over-access.</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12917E"/>
                <w:sz w:val="21"/>
                <w:szCs w:val="21"/>
              </w:rPr>
              <w:t xml:space="preserve">Dynamic &amp; Contextual Access Rules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Own-data scoping: by default, a subject teacher's access to student records is scoped to students in their assigned classes for their assigned subjects — they cannot view records of students they do not teach, even within the same grade.</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Time-bound access grants: temporary elevated access can be granted for a specific period — e.g., a teacher filling in as acting HOD for 2 weeks receives HOD-level access that automatically revokes on the specified end date without admin intervention.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Event-triggered access: certain access levels activate automatically based on platform events — e.g., a teacher assigned as exam invigulator gains temporary access to the exam management module only during the exam window.</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Confidential data access controls: sensitive data categories (counselling notes, SEN assessments, parent financial information, HR salary details) are access-controlled beyond standard role permissions — requiring explicit individual-level access grants logged with justification.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Student data privacy settings: in compliance with DPDP Act 2023, teachers can only access student personal data relevant to their direct teaching or pastoral role — platform enforces data minimisation by default.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Cross-school access for network schools: in multi-school chains or trust-managed groups, a network-level role can be granted read access across multiple schools for oversight — while write access remains school-specific to prevent cross-school data corruption.</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12917E"/>
                <w:sz w:val="21"/>
                <w:szCs w:val="21"/>
              </w:rPr>
              <w:t xml:space="preserve">Security Controls &amp; Monitoring</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Multi-Factor Authentication (MFA) enforcement: configurable at the school level — MFA can be made mandatory for all faculty, or selectively for roles above a defined privilege threshold (e.g., HOD and above must use MFA).</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Session management: configurable session timeout (default: 45 minutes inactivity) with options for stricter timeout on shared/lab devices — concurrent session limits prevent the same credentials being used from multiple locations simultaneously.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IP restriction and geo-fencing: schools can restrict teacher logins to on-premises IP ranges during school hours or limit access to the school's registered geographic area — reducing the risk of credential theft being exploited remotely.</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Device trust registry: teachers can register trusted personal devices — logins from unregistered devices trigger an additional authentication challenge and an admin notification, without blocking access outright.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Comprehensive access audit log: every login, data access event, record edit, and permission change is logged with timestamp, user identity, IP address, and device fingerprint — retained for 3 years and exportable for forensic review.</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Anomaly detection and alerts: AI-powered monitoring detects unusual access patterns (e.g., bulk student record exports, off-hours access to sensitive modules, rapid successive failed logins) and triggers immediate alerts to the security-designated admin for investigation.</w:t>
            </w:r>
          </w:p>
        </w:tc>
      </w:tr>
      <w:tr>
        <w:tc>
          <w:tcPr>
            <w:tcW w:type="dxa" w:w="9360"/>
            <w:tcBorders>
              <w:top w:val="single" w:color="C2D0DE" w:sz="1"/>
              <w:left w:val="single" w:color="C2D0DE" w:sz="1"/>
              <w:bottom w:val="single" w:color="C2D0DE" w:sz="1"/>
              <w:right w:val="single" w:color="C2D0DE" w:sz="1"/>
            </w:tcBorders>
            <w:shd w:fill="F3F6FA" w:val="clear"/>
            <w:tcMar>
              <w:top w:type="dxa" w:w="100"/>
              <w:left w:type="dxa" w:w="240"/>
              <w:bottom w:type="dxa" w:w="10"/>
              <w:right w:type="dxa" w:w="240"/>
            </w:tcMar>
          </w:tcPr>
          <w:p>
            <w:pPr>
              <w:spacing w:before="50" w:after="0"/>
            </w:pPr>
            <w:r>
              <w:rPr>
                <w:rFonts w:ascii="Arial" w:cs="Arial" w:eastAsia="Arial" w:hAnsi="Arial"/>
                <w:b/>
                <w:bCs/>
                <w:color w:val="12917E"/>
                <w:sz w:val="21"/>
                <w:szCs w:val="21"/>
              </w:rPr>
              <w:t xml:space="preserve">Access Lifecycle Management</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Onboarding access provisioning: upon teacher onboarding completion, access rights are automatically provisioned based on the assigned role — zero manual configuration required for standard role assignments.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Mid-year role change access update: when a teacher's role changes (e.g., promoted to HOD, moved to a different class), access permissions are automatically recalibrated — no orphaned permissions from the previous role are retained.</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Leave and suspension access management: when a teacher is placed on extended leave or suspension, their portal access can be instantly suspended by admin with a single action — access is reinstated with equal ease upon return.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Resignation and offboarding access revocation: upon HR processing a resignation or termination, the teacher's login is automatically disabled within 24 hours — a configurable grace period (e.g., 48 hours post last working day) allows the teacher to download their personal professional records before access closes.</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Access review cycle: quarterly automated access review prompts system administrators to confirm that all active teacher access rights remain appropriate — particularly important for teachers whose roles have informally evolved beyond their formal designation.</w:t>
            </w:r>
          </w:p>
        </w:tc>
      </w:tr>
      <w:tr>
        <w:tc>
          <w:tcPr>
            <w:tcW w:type="dxa" w:w="9360"/>
            <w:tcBorders>
              <w:top w:val="single" w:color="C2D0DE" w:sz="1"/>
              <w:left w:val="single" w:color="C2D0DE" w:sz="1"/>
              <w:bottom w:val="single" w:color="C2D0DE" w:sz="1"/>
              <w:right w:val="single" w:color="C2D0DE" w:sz="1"/>
            </w:tcBorders>
            <w:shd w:fill="FFFFFF" w:val="clear"/>
            <w:tcMar>
              <w:top w:type="dxa" w:w="65"/>
              <w:left w:type="dxa" w:w="400"/>
              <w:bottom w:type="dxa" w:w="65"/>
              <w:right w:type="dxa" w:w="240"/>
            </w:tcMar>
          </w:tcPr>
          <w:p>
            <w:pPr>
              <w:spacing w:before="30" w:after="30"/>
            </w:pPr>
            <w:r>
              <w:rPr>
                <w:rFonts w:ascii="Arial" w:cs="Arial" w:eastAsia="Arial" w:hAnsi="Arial"/>
                <w:color w:val="0D6B5E"/>
                <w:sz w:val="20"/>
                <w:szCs w:val="20"/>
              </w:rPr>
              <w:t xml:space="preserve">▸  </w:t>
            </w:r>
            <w:r>
              <w:rPr>
                <w:rFonts w:ascii="Arial" w:cs="Arial" w:eastAsia="Arial" w:hAnsi="Arial"/>
                <w:color w:val="1E2D3D"/>
                <w:sz w:val="20"/>
                <w:szCs w:val="20"/>
              </w:rPr>
              <w:t xml:space="preserve">Permanent access log preservation: even after a teacher's account is deactivated, their full access history is preserved indefinitely in the audit archive — ensuring that past actions remain attributable and auditable for legal or compliance purposes.</w:t>
            </w:r>
          </w:p>
        </w:tc>
      </w:tr>
    </w:tbl>
    <w:p>
      <w:pPr>
        <w:spacing w:before="260" w:after="0"/>
      </w:pPr>
      <w:r>
        <w:t xml:space="preserve"/>
      </w:r>
    </w:p>
    <w:p>
      <w:r>
        <w:br w:type="page"/>
      </w:r>
    </w:p>
    <w:p>
      <w:pPr>
        <w:pBdr>
          <w:top w:val="single" w:color="1E3A5F" w:sz="6" w:space="6"/>
        </w:pBdr>
        <w:spacing w:before="240" w:after="120"/>
        <w:jc w:val="center"/>
      </w:pPr>
      <w:r>
        <w:rPr>
          <w:rFonts w:ascii="Arial" w:cs="Arial" w:eastAsia="Arial" w:hAnsi="Arial"/>
          <w:b/>
          <w:bCs/>
          <w:color w:val="1E3A5F"/>
          <w:sz w:val="18"/>
          <w:szCs w:val="18"/>
        </w:rPr>
        <w:t xml:space="preserve">CONFIDENTIAL — For Internal Use Only</w:t>
      </w:r>
    </w:p>
    <w:p>
      <w:pPr>
        <w:jc w:val="center"/>
      </w:pPr>
      <w:r>
        <w:rPr>
          <w:rFonts w:ascii="Arial" w:cs="Arial" w:eastAsia="Arial" w:hAnsi="Arial"/>
          <w:color w:val="5A6A7A"/>
          <w:sz w:val="18"/>
          <w:szCs w:val="18"/>
        </w:rPr>
        <w:t xml:space="preserve">This document describes planned product features and is subject to change without notice. © 2026 School Management Platform.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tabs>
        <w:tab w:val="right" w:pos="9026"/>
      </w:tabs>
      <w:spacing w:before="80"/>
    </w:pPr>
    <w:r>
      <w:rPr>
        <w:rFonts w:ascii="Arial" w:cs="Arial" w:eastAsia="Arial" w:hAnsi="Arial"/>
        <w:color w:val="5A6A7A"/>
        <w:sz w:val="18"/>
        <w:szCs w:val="18"/>
      </w:rPr>
      <w:t xml:space="preserve">Confidential</w:t>
    </w:r>
    <w:r>
      <w:rPr>
        <w:rFonts w:ascii="Arial" w:cs="Arial" w:eastAsia="Arial" w:hAnsi="Arial"/>
        <w:color w:val="5A6A7A"/>
        <w:sz w:val="18"/>
        <w:szCs w:val="18"/>
      </w:rPr>
      <w:t xml:space="preserve">	Page </w:t>
    </w:r>
    <w:r>
      <w:rPr>
        <w:rFonts w:ascii="Arial" w:cs="Arial" w:eastAsia="Arial" w:hAnsi="Arial"/>
        <w:color w:val="1E3A5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spacing w:after="80"/>
    </w:pPr>
    <w:r>
      <w:rPr>
        <w:rFonts w:ascii="Arial" w:cs="Arial" w:eastAsia="Arial" w:hAnsi="Arial"/>
        <w:color w:val="5A6A7A"/>
        <w:sz w:val="18"/>
        <w:szCs w:val="18"/>
      </w:rPr>
      <w:t xml:space="preserve">School Management Platform  |  Module D: Teacher / Faculty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2026-03-09T07:57:50.656Z</dcterms:created>
  <dcterms:modified xsi:type="dcterms:W3CDTF">2026-03-09T07:57:50.657Z</dcterms:modified>
</cp:coreProperties>
</file>

<file path=docProps/custom.xml><?xml version="1.0" encoding="utf-8"?>
<Properties xmlns="http://schemas.openxmlformats.org/officeDocument/2006/custom-properties" xmlns:vt="http://schemas.openxmlformats.org/officeDocument/2006/docPropsVTypes"/>
</file>