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2200"/>
      </w:pPr>
    </w:p>
    <w:p>
      <w:pPr>
        <w:spacing w:before="0" w:after="80"/>
        <w:jc w:val="center"/>
      </w:pPr>
      <w:r>
        <w:rPr>
          <w:rFonts w:ascii="Arial" w:cs="Arial" w:eastAsia="Arial" w:hAnsi="Arial"/>
          <w:b/>
          <w:bCs/>
          <w:color w:val="0C2D57"/>
          <w:sz w:val="62"/>
          <w:szCs w:val="62"/>
        </w:rPr>
        <w:t xml:space="preserve">EcoSkiller Platform</w:t>
      </w:r>
    </w:p>
    <w:p>
      <w:pPr>
        <w:spacing w:before="0" w:after="80"/>
        <w:jc w:val="center"/>
      </w:pPr>
      <w:r>
        <w:rPr>
          <w:rFonts w:ascii="Arial" w:cs="Arial" w:eastAsia="Arial" w:hAnsi="Arial"/>
          <w:color w:val="1460A8"/>
          <w:sz w:val="40"/>
          <w:szCs w:val="40"/>
        </w:rPr>
        <w:t xml:space="preserve">Feature Specification Document</w:t>
      </w:r>
    </w:p>
    <w:p>
      <w:pPr>
        <w:spacing w:before="40" w:after="40"/>
        <w:jc w:val="center"/>
      </w:pPr>
      <w:r>
        <w:rPr>
          <w:rFonts w:ascii="Arial" w:cs="Arial" w:eastAsia="Arial" w:hAnsi="Arial"/>
          <w:b/>
          <w:bCs/>
          <w:color w:val="0A6B3E"/>
          <w:sz w:val="32"/>
          <w:szCs w:val="32"/>
        </w:rPr>
        <w:t xml:space="preserve">Module J: Career Guidance</w:t>
      </w:r>
    </w:p>
    <w:p>
      <w:pPr>
        <w:spacing w:before="240" w:after="80"/>
        <w:jc w:val="center"/>
      </w:pPr>
      <w:r>
        <w:rPr>
          <w:rFonts w:ascii="Arial" w:cs="Arial" w:eastAsia="Arial" w:hAnsi="Arial"/>
          <w:color w:val="64748B"/>
          <w:sz w:val="22"/>
          <w:szCs w:val="22"/>
        </w:rPr>
        <w:t xml:space="preserve">Version 1.0  |  9 March 2026</w:t>
      </w:r>
    </w:p>
    <w:p>
      <w:pPr>
        <w:pageBreakBefore/>
      </w:pPr>
    </w:p>
    <w:p>
      <w:pPr>
        <w:pStyle w:val="Heading1"/>
        <w:spacing w:before="500" w:after="160"/>
      </w:pPr>
      <w:r>
        <w:rPr>
          <w:rFonts w:ascii="Arial" w:cs="Arial" w:eastAsia="Arial" w:hAnsi="Arial"/>
          <w:b/>
          <w:bCs/>
          <w:color w:val="0C2D57"/>
          <w:sz w:val="36"/>
          <w:szCs w:val="36"/>
        </w:rPr>
        <w:t xml:space="preserve">Table of Contents</w:t>
      </w:r>
    </w:p>
    <w:p>
      <w:pPr>
        <w:spacing w:before="60" w:after="60"/>
      </w:pPr>
      <w:r>
        <w:rPr>
          <w:rFonts w:ascii="Arial" w:cs="Arial" w:eastAsia="Arial" w:hAnsi="Arial"/>
          <w:color w:val="1460A8"/>
          <w:sz w:val="22"/>
          <w:szCs w:val="22"/>
        </w:rPr>
        <w:t xml:space="preserve">Feature J.1: Career Recommendation Engine</w:t>
      </w:r>
    </w:p>
    <w:p>
      <w:pPr>
        <w:spacing w:before="60" w:after="60"/>
      </w:pPr>
      <w:r>
        <w:rPr>
          <w:rFonts w:ascii="Arial" w:cs="Arial" w:eastAsia="Arial" w:hAnsi="Arial"/>
          <w:color w:val="1460A8"/>
          <w:sz w:val="22"/>
          <w:szCs w:val="22"/>
        </w:rPr>
        <w:t xml:space="preserve">Feature J.2: Skill-Job Mapping</w:t>
      </w:r>
    </w:p>
    <w:p>
      <w:pPr>
        <w:spacing w:before="60" w:after="60"/>
      </w:pPr>
      <w:r>
        <w:rPr>
          <w:rFonts w:ascii="Arial" w:cs="Arial" w:eastAsia="Arial" w:hAnsi="Arial"/>
          <w:color w:val="1460A8"/>
          <w:sz w:val="22"/>
          <w:szCs w:val="22"/>
        </w:rPr>
        <w:t xml:space="preserve">Feature J.3: Employability Score</w:t>
      </w:r>
    </w:p>
    <w:p>
      <w:pPr>
        <w:spacing w:before="60" w:after="60"/>
      </w:pPr>
      <w:r>
        <w:rPr>
          <w:rFonts w:ascii="Arial" w:cs="Arial" w:eastAsia="Arial" w:hAnsi="Arial"/>
          <w:color w:val="1460A8"/>
          <w:sz w:val="22"/>
          <w:szCs w:val="22"/>
        </w:rPr>
        <w:t xml:space="preserve">Feature J.4: Career Path Suggestions</w:t>
      </w:r>
    </w:p>
    <w:p>
      <w:pPr>
        <w:pageBreakBefore/>
      </w:pPr>
    </w:p>
    <w:p>
      <w:pPr>
        <w:pStyle w:val="Heading1"/>
        <w:spacing w:before="500" w:after="160"/>
      </w:pPr>
      <w:r>
        <w:rPr>
          <w:rFonts w:ascii="Arial" w:cs="Arial" w:eastAsia="Arial" w:hAnsi="Arial"/>
          <w:b/>
          <w:bCs/>
          <w:color w:val="0C2D57"/>
          <w:sz w:val="36"/>
          <w:szCs w:val="36"/>
        </w:rPr>
        <w:t xml:space="preserve">Feature J.1: Career Recommendation Engine</w:t>
      </w:r>
    </w:p>
    <w:p>
      <w:pPr>
        <w:pBdr>
          <w:bottom w:val="single" w:color="1460A8" w:sz="6" w:space="1"/>
        </w:pBdr>
        <w:spacing w:before="220" w:after="220"/>
      </w:pPr>
    </w:p>
    <w:p>
      <w:pPr>
        <w:pStyle w:val="Heading2"/>
        <w:spacing w:before="300" w:after="100"/>
      </w:pPr>
      <w:r>
        <w:rPr>
          <w:rFonts w:ascii="Arial" w:cs="Arial" w:eastAsia="Arial" w:hAnsi="Arial"/>
          <w:b/>
          <w:bCs/>
          <w:color w:val="1460A8"/>
          <w:sz w:val="28"/>
          <w:szCs w:val="28"/>
        </w:rPr>
        <w:t xml:space="preserve">Overview</w:t>
      </w:r>
    </w:p>
    <w:p>
      <w:pPr>
        <w:spacing w:before="65" w:after="65"/>
      </w:pPr>
      <w:r>
        <w:rPr>
          <w:rFonts w:ascii="Arial" w:cs="Arial" w:eastAsia="Arial" w:hAnsi="Arial"/>
          <w:color w:val="0F172A"/>
          <w:sz w:val="22"/>
          <w:szCs w:val="22"/>
        </w:rPr>
        <w:t xml:space="preserve">The Career Recommendation Engine is the analytical centrepiece of EcoSkiller's Career Guidance module. It is a multi-signal, data-driven system that synthesises everything known about a student — their cognitive profile, behavioural traits, verified skill map, academic background, communication ability, work experience, stated preferences, and platform engagement patterns — and produces a personalised, evidence-backed ranking of career paths that the student is most likely to succeed in, be satisfied with, and gain employment in within their placement window. Unlike generic career aptitude tests that produce broad advice, the EcoSkiller engine produces specific, actionable, role-level recommendations grounded in the student's actual demonstrated capabilities and the real-world hiring signal data of thousands of previously placed students.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Feature ID</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J.1</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Module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Career Guidance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Type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AI-Powered Multi-Signal Career Recommendation Engine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Data Inputs</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Intelligence Profile (C.1), Behaviour Profile (C.2), Skill Map (C.3), Education, CSS Score, Work Experience, Stated Preferences, Placement Outcome History</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Output</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Personalised Ranked Career Path List with Fit Scores, Evidence Chains &amp; Gap Analysis</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Priority</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Critical — Master Recommendation Surface for the Career Guidance Module</w:t>
            </w:r>
          </w:p>
        </w:tc>
      </w:tr>
    </w:tbl>
    <w:p>
      <w:pPr>
        <w:pStyle w:val="Heading2"/>
        <w:spacing w:before="300" w:after="100"/>
      </w:pPr>
      <w:r>
        <w:rPr>
          <w:rFonts w:ascii="Arial" w:cs="Arial" w:eastAsia="Arial" w:hAnsi="Arial"/>
          <w:b/>
          <w:bCs/>
          <w:color w:val="1460A8"/>
          <w:sz w:val="28"/>
          <w:szCs w:val="28"/>
        </w:rPr>
        <w:t xml:space="preserve">Detailed Description</w:t>
      </w:r>
    </w:p>
    <w:p>
      <w:pPr>
        <w:spacing w:before="65" w:after="65"/>
      </w:pPr>
      <w:r>
        <w:rPr>
          <w:rFonts w:ascii="Arial" w:cs="Arial" w:eastAsia="Arial" w:hAnsi="Arial"/>
          <w:color w:val="0F172A"/>
          <w:sz w:val="22"/>
          <w:szCs w:val="22"/>
        </w:rPr>
        <w:t xml:space="preserve">The Career Recommendation Engine operates as a continuously learning recommendation system — not a one-time assessment output. It updates its recommendations every time new data about the student becomes available: when they complete a new assessment, add a skill, finish a course, update their education, or complete a Dojo session. The engine models career fit across three independent dimensions — Capability Fit (can the student succeed in this role?), Personality Fit (will the student enjoy and thrive in this environment?), and Market Fit (is there real hiring demand for this profile at this student's tier?) — and combines these into a single Career Match Score per recommended path.</w:t>
      </w:r>
    </w:p>
    <w:p>
      <w:pPr>
        <w:pStyle w:val="Heading2"/>
        <w:spacing w:before="300" w:after="100"/>
      </w:pPr>
      <w:r>
        <w:rPr>
          <w:rFonts w:ascii="Arial" w:cs="Arial" w:eastAsia="Arial" w:hAnsi="Arial"/>
          <w:b/>
          <w:bCs/>
          <w:color w:val="1460A8"/>
          <w:sz w:val="28"/>
          <w:szCs w:val="28"/>
        </w:rPr>
        <w:t xml:space="preserve">Signal Architecture — What the Engine Reads</w:t>
      </w:r>
    </w:p>
    <w:p>
      <w:pPr>
        <w:spacing w:before="200" w:after="70"/>
      </w:pPr>
      <w:r>
        <w:rPr>
          <w:rFonts w:ascii="Arial" w:cs="Arial" w:eastAsia="Arial" w:hAnsi="Arial"/>
          <w:b/>
          <w:bCs/>
          <w:color w:val="0B6E74"/>
          <w:sz w:val="24"/>
          <w:szCs w:val="24"/>
        </w:rPr>
        <w:t xml:space="preserve">Signal Category 1: Cognitive &amp; Intelligence Signals</w:t>
      </w:r>
    </w:p>
    <w:p>
      <w:pPr>
        <w:pStyle w:val="ListParagraph"/>
        <w:numPr>
          <w:ilvl w:val="0"/>
          <w:numId w:val="2"/>
        </w:numPr>
        <w:spacing w:before="48" w:after="48"/>
      </w:pPr>
      <w:r>
        <w:rPr>
          <w:rFonts w:ascii="Arial" w:cs="Arial" w:eastAsia="Arial" w:hAnsi="Arial"/>
          <w:color w:val="0F172A"/>
          <w:sz w:val="22"/>
          <w:szCs w:val="22"/>
        </w:rPr>
        <w:t xml:space="preserve">Composite Intelligence Index (CII) and individual dimension scores from the Intelligence Assessment (Feature C.1) — providing a cognitive fingerprint that predicts aptitude for different role types.</w:t>
      </w:r>
    </w:p>
    <w:p>
      <w:pPr>
        <w:pStyle w:val="ListParagraph"/>
        <w:numPr>
          <w:ilvl w:val="0"/>
          <w:numId w:val="2"/>
        </w:numPr>
        <w:spacing w:before="48" w:after="48"/>
      </w:pPr>
      <w:r>
        <w:rPr>
          <w:rFonts w:ascii="Arial" w:cs="Arial" w:eastAsia="Arial" w:hAnsi="Arial"/>
          <w:color w:val="0F172A"/>
          <w:sz w:val="22"/>
          <w:szCs w:val="22"/>
        </w:rPr>
        <w:t xml:space="preserve">Strongest cognitive dimensions are matched against the empirically established cognitive profiles of successful professionals in each career path, derived from placement outcome data of 50,000+ previously assessed students.</w:t>
      </w:r>
    </w:p>
    <w:p>
      <w:pPr>
        <w:pStyle w:val="ListParagraph"/>
        <w:numPr>
          <w:ilvl w:val="0"/>
          <w:numId w:val="2"/>
        </w:numPr>
        <w:spacing w:before="48" w:after="48"/>
      </w:pPr>
      <w:r>
        <w:rPr>
          <w:rFonts w:ascii="Arial" w:cs="Arial" w:eastAsia="Arial" w:hAnsi="Arial"/>
          <w:color w:val="0F172A"/>
          <w:sz w:val="22"/>
          <w:szCs w:val="22"/>
        </w:rPr>
        <w:t xml:space="preserve">Example mapping: Top-quartile Logical-Mathematical + Spatial Intelligence combination strongly predicts success in engineering analysis, data science, and quant finance roles. Top-quartile Linguistic + Interpersonal combination strongly predicts success in HR, consulting, communications, and law.</w:t>
      </w:r>
    </w:p>
    <w:p>
      <w:pPr>
        <w:pStyle w:val="ListParagraph"/>
        <w:numPr>
          <w:ilvl w:val="0"/>
          <w:numId w:val="2"/>
        </w:numPr>
        <w:spacing w:before="48" w:after="48"/>
      </w:pPr>
      <w:r>
        <w:rPr>
          <w:rFonts w:ascii="Arial" w:cs="Arial" w:eastAsia="Arial" w:hAnsi="Arial"/>
          <w:color w:val="0F172A"/>
          <w:sz w:val="22"/>
          <w:szCs w:val="22"/>
        </w:rPr>
        <w:t xml:space="preserve">Cognitive ceiling detection: The engine identifies career paths where the student's cognitive profile not only meets the minimum threshold but exceeds it significantly — flagging these as 'High Ceiling Paths' where the student has substantial room to grow into senior roles.</w:t>
      </w:r>
    </w:p>
    <w:p>
      <w:pPr>
        <w:spacing w:before="200" w:after="70"/>
      </w:pPr>
      <w:r>
        <w:rPr>
          <w:rFonts w:ascii="Arial" w:cs="Arial" w:eastAsia="Arial" w:hAnsi="Arial"/>
          <w:b/>
          <w:bCs/>
          <w:color w:val="0B6E74"/>
          <w:sz w:val="24"/>
          <w:szCs w:val="24"/>
        </w:rPr>
        <w:t xml:space="preserve">Signal Category 2: Behavioural &amp; Personality Signals</w:t>
      </w:r>
    </w:p>
    <w:p>
      <w:pPr>
        <w:pStyle w:val="ListParagraph"/>
        <w:numPr>
          <w:ilvl w:val="0"/>
          <w:numId w:val="2"/>
        </w:numPr>
        <w:spacing w:before="48" w:after="48"/>
      </w:pPr>
      <w:r>
        <w:rPr>
          <w:rFonts w:ascii="Arial" w:cs="Arial" w:eastAsia="Arial" w:hAnsi="Arial"/>
          <w:color w:val="0F172A"/>
          <w:sz w:val="22"/>
          <w:szCs w:val="22"/>
        </w:rPr>
        <w:t xml:space="preserve">Big Five OCEAN personality scores from Feature C.2 are mapped against validated personality-to-career-fit research to identify roles that align with the student's natural behavioural tendencies.</w:t>
      </w:r>
    </w:p>
    <w:p>
      <w:pPr>
        <w:pStyle w:val="ListParagraph"/>
        <w:numPr>
          <w:ilvl w:val="0"/>
          <w:numId w:val="2"/>
        </w:numPr>
        <w:spacing w:before="48" w:after="48"/>
      </w:pPr>
      <w:r>
        <w:rPr>
          <w:rFonts w:ascii="Arial" w:cs="Arial" w:eastAsia="Arial" w:hAnsi="Arial"/>
          <w:color w:val="0F172A"/>
          <w:sz w:val="22"/>
          <w:szCs w:val="22"/>
        </w:rPr>
        <w:t xml:space="preserve">DISC workplace style profile provides role-environment alignment — High-D profiles fit autonomous, results-driven environments; High-S profiles fit stable, team-oriented environments; High-C profiles fit precision and quality-focused roles.</w:t>
      </w:r>
    </w:p>
    <w:p>
      <w:pPr>
        <w:pStyle w:val="ListParagraph"/>
        <w:numPr>
          <w:ilvl w:val="0"/>
          <w:numId w:val="2"/>
        </w:numPr>
        <w:spacing w:before="48" w:after="48"/>
      </w:pPr>
      <w:r>
        <w:rPr>
          <w:rFonts w:ascii="Arial" w:cs="Arial" w:eastAsia="Arial" w:hAnsi="Arial"/>
          <w:color w:val="0F172A"/>
          <w:sz w:val="22"/>
          <w:szCs w:val="22"/>
        </w:rPr>
        <w:t xml:space="preserve">SJT competency scores identify behavioural strengths that are directly relevant to role requirements — e.g., high Ethical Reasoning SJT scores boost fit for compliance, audit, and legal roles.</w:t>
      </w:r>
    </w:p>
    <w:p>
      <w:pPr>
        <w:pStyle w:val="ListParagraph"/>
        <w:numPr>
          <w:ilvl w:val="0"/>
          <w:numId w:val="2"/>
        </w:numPr>
        <w:spacing w:before="48" w:after="48"/>
      </w:pPr>
      <w:r>
        <w:rPr>
          <w:rFonts w:ascii="Arial" w:cs="Arial" w:eastAsia="Arial" w:hAnsi="Arial"/>
          <w:color w:val="0F172A"/>
          <w:sz w:val="22"/>
          <w:szCs w:val="22"/>
        </w:rPr>
        <w:t xml:space="preserve">Motivational alignment: The engine models whether the student's natural motivators (derived from intrapersonal intelligence scores and behavioural profile) align with what each career path typically delivers — autonomy, achievement, affiliation, security, creativity — to predict long-term satisfaction, not just initial employment.</w:t>
      </w:r>
    </w:p>
    <w:p>
      <w:pPr>
        <w:spacing w:before="200" w:after="70"/>
      </w:pPr>
      <w:r>
        <w:rPr>
          <w:rFonts w:ascii="Arial" w:cs="Arial" w:eastAsia="Arial" w:hAnsi="Arial"/>
          <w:b/>
          <w:bCs/>
          <w:color w:val="0B6E74"/>
          <w:sz w:val="24"/>
          <w:szCs w:val="24"/>
        </w:rPr>
        <w:t xml:space="preserve">Signal Category 3: Skill &amp; Competency Signals</w:t>
      </w:r>
    </w:p>
    <w:p>
      <w:pPr>
        <w:pStyle w:val="ListParagraph"/>
        <w:numPr>
          <w:ilvl w:val="0"/>
          <w:numId w:val="2"/>
        </w:numPr>
        <w:spacing w:before="48" w:after="48"/>
      </w:pPr>
      <w:r>
        <w:rPr>
          <w:rFonts w:ascii="Arial" w:cs="Arial" w:eastAsia="Arial" w:hAnsi="Arial"/>
          <w:color w:val="0F172A"/>
          <w:sz w:val="22"/>
          <w:szCs w:val="22"/>
        </w:rPr>
        <w:t xml:space="preserve">The verified skill map from Feature C.3 — combining assessment scores, GitHub detection, certificate evidence, and project evidence — provides a comprehensive competency profile.</w:t>
      </w:r>
    </w:p>
    <w:p>
      <w:pPr>
        <w:pStyle w:val="ListParagraph"/>
        <w:numPr>
          <w:ilvl w:val="0"/>
          <w:numId w:val="2"/>
        </w:numPr>
        <w:spacing w:before="48" w:after="48"/>
      </w:pPr>
      <w:r>
        <w:rPr>
          <w:rFonts w:ascii="Arial" w:cs="Arial" w:eastAsia="Arial" w:hAnsi="Arial"/>
          <w:color w:val="0F172A"/>
          <w:sz w:val="22"/>
          <w:szCs w:val="22"/>
        </w:rPr>
        <w:t xml:space="preserve">Each recommended career path has a defined Ideal Skill Profile (ISP) — a data-driven composite built from analysing 10,000+ live and historical job descriptions for that role category, weighted by recency (last 12 months get 2× weight) and seniority (entry-level JDs get primary weight for student matching).</w:t>
      </w:r>
    </w:p>
    <w:p>
      <w:pPr>
        <w:pStyle w:val="ListParagraph"/>
        <w:numPr>
          <w:ilvl w:val="0"/>
          <w:numId w:val="2"/>
        </w:numPr>
        <w:spacing w:before="48" w:after="48"/>
      </w:pPr>
      <w:r>
        <w:rPr>
          <w:rFonts w:ascii="Arial" w:cs="Arial" w:eastAsia="Arial" w:hAnsi="Arial"/>
          <w:color w:val="0F172A"/>
          <w:sz w:val="22"/>
          <w:szCs w:val="22"/>
        </w:rPr>
        <w:t xml:space="preserve">Skill coverage score: The percentage of the ISP skills that the student has verified evidence for. Coverage above 70% contributes positively; below 40% triggers a 'Significant Skill Gap' flag on that recommendation.</w:t>
      </w:r>
    </w:p>
    <w:p>
      <w:pPr>
        <w:pStyle w:val="ListParagraph"/>
        <w:numPr>
          <w:ilvl w:val="0"/>
          <w:numId w:val="2"/>
        </w:numPr>
        <w:spacing w:before="48" w:after="48"/>
      </w:pPr>
      <w:r>
        <w:rPr>
          <w:rFonts w:ascii="Arial" w:cs="Arial" w:eastAsia="Arial" w:hAnsi="Arial"/>
          <w:color w:val="0F172A"/>
          <w:sz w:val="22"/>
          <w:szCs w:val="22"/>
        </w:rPr>
        <w:t xml:space="preserve">Unique skill advantage: Skills where the student scores above the 85th percentile within their cohort are flagged as competitive differentiators for roles that value those skills highly.</w:t>
      </w:r>
    </w:p>
    <w:p>
      <w:pPr>
        <w:spacing w:before="200" w:after="70"/>
      </w:pPr>
      <w:r>
        <w:rPr>
          <w:rFonts w:ascii="Arial" w:cs="Arial" w:eastAsia="Arial" w:hAnsi="Arial"/>
          <w:b/>
          <w:bCs/>
          <w:color w:val="0B6E74"/>
          <w:sz w:val="24"/>
          <w:szCs w:val="24"/>
        </w:rPr>
        <w:t xml:space="preserve">Signal Category 4: Market Fit &amp; Placement Reality Signals</w:t>
      </w:r>
    </w:p>
    <w:p>
      <w:pPr>
        <w:pStyle w:val="ListParagraph"/>
        <w:numPr>
          <w:ilvl w:val="0"/>
          <w:numId w:val="2"/>
        </w:numPr>
        <w:spacing w:before="48" w:after="48"/>
      </w:pPr>
      <w:r>
        <w:rPr>
          <w:rFonts w:ascii="Arial" w:cs="Arial" w:eastAsia="Arial" w:hAnsi="Arial"/>
          <w:color w:val="0F172A"/>
          <w:sz w:val="22"/>
          <w:szCs w:val="22"/>
        </w:rPr>
        <w:t xml:space="preserve">The engine weights recommendations not only on capability fit but on actual market hiring reality — ensuring that highly compatible recommendations are also practically achievable.</w:t>
      </w:r>
    </w:p>
    <w:p>
      <w:pPr>
        <w:pStyle w:val="ListParagraph"/>
        <w:numPr>
          <w:ilvl w:val="0"/>
          <w:numId w:val="2"/>
        </w:numPr>
        <w:spacing w:before="48" w:after="48"/>
      </w:pPr>
      <w:r>
        <w:rPr>
          <w:rFonts w:ascii="Arial" w:cs="Arial" w:eastAsia="Arial" w:hAnsi="Arial"/>
          <w:color w:val="0F172A"/>
          <w:sz w:val="22"/>
          <w:szCs w:val="22"/>
        </w:rPr>
        <w:t xml:space="preserve">Job posting frequency: Career paths with high current job posting volumes on the platform and partner boards receive a Market Demand multiplier — prioritising paths where students are actually likely to receive interviews.</w:t>
      </w:r>
    </w:p>
    <w:p>
      <w:pPr>
        <w:pStyle w:val="ListParagraph"/>
        <w:numPr>
          <w:ilvl w:val="0"/>
          <w:numId w:val="2"/>
        </w:numPr>
        <w:spacing w:before="48" w:after="48"/>
      </w:pPr>
      <w:r>
        <w:rPr>
          <w:rFonts w:ascii="Arial" w:cs="Arial" w:eastAsia="Arial" w:hAnsi="Arial"/>
          <w:color w:val="0F172A"/>
          <w:sz w:val="22"/>
          <w:szCs w:val="22"/>
        </w:rPr>
        <w:t xml:space="preserve">Placement outcome matching: For each recommended career path, the engine retrieves placement outcome data of students with similar profiles (within a defined profile similarity radius) and reports the historical placement rate, average time-to-placement, and median CTC at placement for that path.</w:t>
      </w:r>
    </w:p>
    <w:p>
      <w:pPr>
        <w:pStyle w:val="ListParagraph"/>
        <w:numPr>
          <w:ilvl w:val="0"/>
          <w:numId w:val="2"/>
        </w:numPr>
        <w:spacing w:before="48" w:after="48"/>
      </w:pPr>
      <w:r>
        <w:rPr>
          <w:rFonts w:ascii="Arial" w:cs="Arial" w:eastAsia="Arial" w:hAnsi="Arial"/>
          <w:color w:val="0F172A"/>
          <w:sz w:val="22"/>
          <w:szCs w:val="22"/>
        </w:rPr>
        <w:t xml:space="preserve">Institute-tier calibration: Recommendations are calibrated against the realistic company tier accessible to students from the student's institute type — preventing recommendations that are aspirationally perfect but practically inaccessible at their current profile level.</w:t>
      </w:r>
    </w:p>
    <w:p>
      <w:pPr>
        <w:pStyle w:val="Heading2"/>
        <w:spacing w:before="300" w:after="100"/>
      </w:pPr>
      <w:r>
        <w:rPr>
          <w:rFonts w:ascii="Arial" w:cs="Arial" w:eastAsia="Arial" w:hAnsi="Arial"/>
          <w:b/>
          <w:bCs/>
          <w:color w:val="1460A8"/>
          <w:sz w:val="28"/>
          <w:szCs w:val="28"/>
        </w:rPr>
        <w:t xml:space="preserve">Career Match Score Computation</w:t>
      </w:r>
    </w:p>
    <w:p>
      <w:pPr>
        <w:pStyle w:val="ListParagraph"/>
        <w:numPr>
          <w:ilvl w:val="0"/>
          <w:numId w:val="2"/>
        </w:numPr>
        <w:spacing w:before="48" w:after="48"/>
      </w:pPr>
      <w:r>
        <w:rPr>
          <w:rFonts w:ascii="Arial" w:cs="Arial" w:eastAsia="Arial" w:hAnsi="Arial"/>
          <w:color w:val="0F172A"/>
          <w:sz w:val="22"/>
          <w:szCs w:val="22"/>
        </w:rPr>
        <w:t xml:space="preserve">Career Match Score (CMS) = (Capability Fit Score × 0.40) + (Personality Fit Score × 0.30) + (Market Fit Score × 0.30)</w:t>
      </w:r>
    </w:p>
    <w:p>
      <w:pPr>
        <w:pStyle w:val="ListParagraph"/>
        <w:numPr>
          <w:ilvl w:val="0"/>
          <w:numId w:val="2"/>
        </w:numPr>
        <w:spacing w:before="48" w:after="48"/>
      </w:pPr>
      <w:r>
        <w:rPr>
          <w:rFonts w:ascii="Arial" w:cs="Arial" w:eastAsia="Arial" w:hAnsi="Arial"/>
          <w:color w:val="0F172A"/>
          <w:sz w:val="22"/>
          <w:szCs w:val="22"/>
        </w:rPr>
        <w:t xml:space="preserve">Capability Fit Score (0–100): Composite of cognitive dimension alignment, skill coverage percentage, and communication skill score relevance for the role.</w:t>
      </w:r>
    </w:p>
    <w:p>
      <w:pPr>
        <w:pStyle w:val="ListParagraph"/>
        <w:numPr>
          <w:ilvl w:val="0"/>
          <w:numId w:val="2"/>
        </w:numPr>
        <w:spacing w:before="48" w:after="48"/>
      </w:pPr>
      <w:r>
        <w:rPr>
          <w:rFonts w:ascii="Arial" w:cs="Arial" w:eastAsia="Arial" w:hAnsi="Arial"/>
          <w:color w:val="0F172A"/>
          <w:sz w:val="22"/>
          <w:szCs w:val="22"/>
        </w:rPr>
        <w:t xml:space="preserve">Personality Fit Score (0–100): Composite of Big Five role alignment, DISC environment match, and motivational alignment score.</w:t>
      </w:r>
    </w:p>
    <w:p>
      <w:pPr>
        <w:pStyle w:val="ListParagraph"/>
        <w:numPr>
          <w:ilvl w:val="0"/>
          <w:numId w:val="2"/>
        </w:numPr>
        <w:spacing w:before="48" w:after="48"/>
      </w:pPr>
      <w:r>
        <w:rPr>
          <w:rFonts w:ascii="Arial" w:cs="Arial" w:eastAsia="Arial" w:hAnsi="Arial"/>
          <w:color w:val="0F172A"/>
          <w:sz w:val="22"/>
          <w:szCs w:val="22"/>
        </w:rPr>
        <w:t xml:space="preserve">Market Fit Score (0–100): Composite of job posting volume score, historical placement rate for similar profiles, and institute-tier calibration.</w:t>
      </w:r>
    </w:p>
    <w:p>
      <w:pPr>
        <w:pStyle w:val="ListParagraph"/>
        <w:numPr>
          <w:ilvl w:val="0"/>
          <w:numId w:val="2"/>
        </w:numPr>
        <w:spacing w:before="48" w:after="48"/>
      </w:pPr>
      <w:r>
        <w:rPr>
          <w:rFonts w:ascii="Arial" w:cs="Arial" w:eastAsia="Arial" w:hAnsi="Arial"/>
          <w:color w:val="0F172A"/>
          <w:sz w:val="22"/>
          <w:szCs w:val="22"/>
        </w:rPr>
        <w:t xml:space="preserve">CMS threshold for recommendation display: Career paths with CMS &lt; 35 are not shown in the standard recommendation list — they are available in an 'Explore All Paths' view for students who want to investigate less-aligned options.</w:t>
      </w:r>
    </w:p>
    <w:p>
      <w:pPr>
        <w:pStyle w:val="ListParagraph"/>
        <w:numPr>
          <w:ilvl w:val="0"/>
          <w:numId w:val="2"/>
        </w:numPr>
        <w:spacing w:before="48" w:after="48"/>
      </w:pPr>
      <w:r>
        <w:rPr>
          <w:rFonts w:ascii="Arial" w:cs="Arial" w:eastAsia="Arial" w:hAnsi="Arial"/>
          <w:color w:val="0F172A"/>
          <w:sz w:val="22"/>
          <w:szCs w:val="22"/>
        </w:rPr>
        <w:t xml:space="preserve">Confidence band: Each CMS is displayed with a confidence band (e.g., 72 ± 8) reflecting the number of signals available. Students with more complete profiles receive tighter, more reliable confidence bands.</w:t>
      </w:r>
    </w:p>
    <w:p>
      <w:pPr>
        <w:pStyle w:val="Heading2"/>
        <w:spacing w:before="300" w:after="100"/>
      </w:pPr>
      <w:r>
        <w:rPr>
          <w:rFonts w:ascii="Arial" w:cs="Arial" w:eastAsia="Arial" w:hAnsi="Arial"/>
          <w:b/>
          <w:bCs/>
          <w:color w:val="1460A8"/>
          <w:sz w:val="28"/>
          <w:szCs w:val="28"/>
        </w:rPr>
        <w:t xml:space="preserve">Recommendation Output Format</w:t>
      </w:r>
    </w:p>
    <w:p>
      <w:pPr>
        <w:pStyle w:val="ListParagraph"/>
        <w:numPr>
          <w:ilvl w:val="0"/>
          <w:numId w:val="2"/>
        </w:numPr>
        <w:spacing w:before="48" w:after="48"/>
      </w:pPr>
      <w:r>
        <w:rPr>
          <w:rFonts w:ascii="Arial" w:cs="Arial" w:eastAsia="Arial" w:hAnsi="Arial"/>
          <w:color w:val="0F172A"/>
          <w:sz w:val="22"/>
          <w:szCs w:val="22"/>
        </w:rPr>
        <w:t xml:space="preserve">Top 10 recommended career paths are displayed, ranked by CMS, in a rich card format.</w:t>
      </w:r>
    </w:p>
    <w:p>
      <w:pPr>
        <w:pStyle w:val="ListParagraph"/>
        <w:numPr>
          <w:ilvl w:val="0"/>
          <w:numId w:val="2"/>
        </w:numPr>
        <w:spacing w:before="48" w:after="48"/>
      </w:pPr>
      <w:r>
        <w:rPr>
          <w:rFonts w:ascii="Arial" w:cs="Arial" w:eastAsia="Arial" w:hAnsi="Arial"/>
          <w:color w:val="0F172A"/>
          <w:sz w:val="22"/>
          <w:szCs w:val="22"/>
        </w:rPr>
        <w:t xml:space="preserve">Each recommendation card shows: Career path name and job role examples, CMS score with confidence band, a three-sentence 'Why this fits you' narrative (auto-generated from the signal evidence), Top 3 matching signals (the specific student data points most responsible for the recommendation), Top 3 gaps to close (the most impactful improvements the student could make to increase their CMS for this path), Median CTC range for entry-level placement in this path, and a direct 'Start This Path' button linking to the skill-job mapping and course recommendations for the path.</w:t>
      </w:r>
    </w:p>
    <w:p>
      <w:pPr>
        <w:pStyle w:val="ListParagraph"/>
        <w:numPr>
          <w:ilvl w:val="0"/>
          <w:numId w:val="2"/>
        </w:numPr>
        <w:spacing w:before="48" w:after="48"/>
      </w:pPr>
      <w:r>
        <w:rPr>
          <w:rFonts w:ascii="Arial" w:cs="Arial" w:eastAsia="Arial" w:hAnsi="Arial"/>
          <w:color w:val="0F172A"/>
          <w:sz w:val="22"/>
          <w:szCs w:val="22"/>
        </w:rPr>
        <w:t xml:space="preserve">Evidence chain transparency: Each recommendation card has an expandable 'How this was calculated' panel — showing the specific scores and weights used in the CMS computation. This transparency builds trust and helps students understand what they need to improve.</w:t>
      </w:r>
    </w:p>
    <w:p>
      <w:pPr>
        <w:pStyle w:val="ListParagraph"/>
        <w:numPr>
          <w:ilvl w:val="0"/>
          <w:numId w:val="2"/>
        </w:numPr>
        <w:spacing w:before="48" w:after="48"/>
      </w:pPr>
      <w:r>
        <w:rPr>
          <w:rFonts w:ascii="Arial" w:cs="Arial" w:eastAsia="Arial" w:hAnsi="Arial"/>
          <w:color w:val="0F172A"/>
          <w:sz w:val="22"/>
          <w:szCs w:val="22"/>
        </w:rPr>
        <w:t xml:space="preserve">Side-by-side comparison: Students can select up to 3 career paths to compare side-by-side on a detailed matrix showing their scores on each signal dimension for each path.</w:t>
      </w:r>
    </w:p>
    <w:p>
      <w:pPr>
        <w:pStyle w:val="Heading2"/>
        <w:spacing w:before="300" w:after="100"/>
      </w:pPr>
      <w:r>
        <w:rPr>
          <w:rFonts w:ascii="Arial" w:cs="Arial" w:eastAsia="Arial" w:hAnsi="Arial"/>
          <w:b/>
          <w:bCs/>
          <w:color w:val="1460A8"/>
          <w:sz w:val="28"/>
          <w:szCs w:val="28"/>
        </w:rPr>
        <w:t xml:space="preserve">Preference Inputs &amp; User Control</w:t>
      </w:r>
    </w:p>
    <w:p>
      <w:pPr>
        <w:pStyle w:val="ListParagraph"/>
        <w:numPr>
          <w:ilvl w:val="0"/>
          <w:numId w:val="2"/>
        </w:numPr>
        <w:spacing w:before="48" w:after="48"/>
      </w:pPr>
      <w:r>
        <w:rPr>
          <w:rFonts w:ascii="Arial" w:cs="Arial" w:eastAsia="Arial" w:hAnsi="Arial"/>
          <w:color w:val="0F172A"/>
          <w:sz w:val="22"/>
          <w:szCs w:val="22"/>
        </w:rPr>
        <w:t xml:space="preserve">Students can input explicit preferences that influence the recommendation ranking: Preferred work location (metro / tier-2 / open to relocation), work environment preference (startup / mid-size / corporate / government / research), salary expectation range, preferred industry domain, and willingness to travel.</w:t>
      </w:r>
    </w:p>
    <w:p>
      <w:pPr>
        <w:pStyle w:val="ListParagraph"/>
        <w:numPr>
          <w:ilvl w:val="0"/>
          <w:numId w:val="2"/>
        </w:numPr>
        <w:spacing w:before="48" w:after="48"/>
      </w:pPr>
      <w:r>
        <w:rPr>
          <w:rFonts w:ascii="Arial" w:cs="Arial" w:eastAsia="Arial" w:hAnsi="Arial"/>
          <w:color w:val="0F172A"/>
          <w:sz w:val="22"/>
          <w:szCs w:val="22"/>
        </w:rPr>
        <w:t xml:space="preserve">Stated preference weight: Explicit preferences apply a multiplier (positive or negative) to the Market Fit component of the CMS — not the Capability or Personality components, which are based on objective data.</w:t>
      </w:r>
    </w:p>
    <w:p>
      <w:pPr>
        <w:pStyle w:val="ListParagraph"/>
        <w:numPr>
          <w:ilvl w:val="0"/>
          <w:numId w:val="2"/>
        </w:numPr>
        <w:spacing w:before="48" w:after="48"/>
      </w:pPr>
      <w:r>
        <w:rPr>
          <w:rFonts w:ascii="Arial" w:cs="Arial" w:eastAsia="Arial" w:hAnsi="Arial"/>
          <w:color w:val="0F172A"/>
          <w:sz w:val="22"/>
          <w:szCs w:val="22"/>
        </w:rPr>
        <w:t xml:space="preserve">Override and explore: Students can temporarily suppress a preference to see what recommendations would look like without it — useful for exploring options they may not have considered.</w:t>
      </w:r>
    </w:p>
    <w:p>
      <w:pPr>
        <w:pStyle w:val="ListParagraph"/>
        <w:numPr>
          <w:ilvl w:val="0"/>
          <w:numId w:val="2"/>
        </w:numPr>
        <w:spacing w:before="48" w:after="48"/>
      </w:pPr>
      <w:r>
        <w:rPr>
          <w:rFonts w:ascii="Arial" w:cs="Arial" w:eastAsia="Arial" w:hAnsi="Arial"/>
          <w:color w:val="0F172A"/>
          <w:sz w:val="22"/>
          <w:szCs w:val="22"/>
        </w:rPr>
        <w:t xml:space="preserve">Preference vs. Fit tension alerts: When a student's explicit preferences conflict with their strongest Capability or Personality fit signals, the system shows a thoughtful alert: 'Your cognitive and skill profile is exceptionally well-matched for Data Science roles, but you've indicated a preference for Marketing. Both paths are shown — explore the data to make an informed choice.'</w:t>
      </w:r>
    </w:p>
    <w:p>
      <w:pPr>
        <w:pStyle w:val="Heading2"/>
        <w:spacing w:before="300" w:after="100"/>
      </w:pPr>
      <w:r>
        <w:rPr>
          <w:rFonts w:ascii="Arial" w:cs="Arial" w:eastAsia="Arial" w:hAnsi="Arial"/>
          <w:b/>
          <w:bCs/>
          <w:color w:val="1460A8"/>
          <w:sz w:val="28"/>
          <w:szCs w:val="28"/>
        </w:rPr>
        <w:t xml:space="preserve">Continuous Learning &amp; Recommendation Updates</w:t>
      </w:r>
    </w:p>
    <w:p>
      <w:pPr>
        <w:pStyle w:val="ListParagraph"/>
        <w:numPr>
          <w:ilvl w:val="0"/>
          <w:numId w:val="2"/>
        </w:numPr>
        <w:spacing w:before="48" w:after="48"/>
      </w:pPr>
      <w:r>
        <w:rPr>
          <w:rFonts w:ascii="Arial" w:cs="Arial" w:eastAsia="Arial" w:hAnsi="Arial"/>
          <w:color w:val="0F172A"/>
          <w:sz w:val="22"/>
          <w:szCs w:val="22"/>
        </w:rPr>
        <w:t xml:space="preserve">Recommendation recalculation triggers: Assessment completion, new skill added, course completed, CSS score update, new education entry, work experience addition.</w:t>
      </w:r>
    </w:p>
    <w:p>
      <w:pPr>
        <w:pStyle w:val="ListParagraph"/>
        <w:numPr>
          <w:ilvl w:val="0"/>
          <w:numId w:val="2"/>
        </w:numPr>
        <w:spacing w:before="48" w:after="48"/>
      </w:pPr>
      <w:r>
        <w:rPr>
          <w:rFonts w:ascii="Arial" w:cs="Arial" w:eastAsia="Arial" w:hAnsi="Arial"/>
          <w:color w:val="0F172A"/>
          <w:sz w:val="22"/>
          <w:szCs w:val="22"/>
        </w:rPr>
        <w:t xml:space="preserve">Students are notified when their recommendations change significantly (CMS shift of ±10 or more for any top-5 path) — with a 'What changed' explanation.</w:t>
      </w:r>
    </w:p>
    <w:p>
      <w:pPr>
        <w:pStyle w:val="ListParagraph"/>
        <w:numPr>
          <w:ilvl w:val="0"/>
          <w:numId w:val="2"/>
        </w:numPr>
        <w:spacing w:before="48" w:after="48"/>
      </w:pPr>
      <w:r>
        <w:rPr>
          <w:rFonts w:ascii="Arial" w:cs="Arial" w:eastAsia="Arial" w:hAnsi="Arial"/>
          <w:color w:val="0F172A"/>
          <w:sz w:val="22"/>
          <w:szCs w:val="22"/>
        </w:rPr>
        <w:t xml:space="preserve">Placement outcome feedback loop: When a student is placed, their placement role, company tier, and CTC are (with consent) fed back into the model — improving the accuracy of recommendations for future students with similar profiles.</w:t>
      </w:r>
    </w:p>
    <w:p>
      <w:pPr>
        <w:pStyle w:val="ListParagraph"/>
        <w:numPr>
          <w:ilvl w:val="0"/>
          <w:numId w:val="2"/>
        </w:numPr>
        <w:spacing w:before="48" w:after="48"/>
      </w:pPr>
      <w:r>
        <w:rPr>
          <w:rFonts w:ascii="Arial" w:cs="Arial" w:eastAsia="Arial" w:hAnsi="Arial"/>
          <w:color w:val="0F172A"/>
          <w:sz w:val="22"/>
          <w:szCs w:val="22"/>
        </w:rPr>
        <w:t xml:space="preserve">Market signal updates: Job posting demand signals are refreshed weekly. Placement outcome data is refreshed monthly. CMS for all students is recalculated on a rolling basis as these signals update.</w:t>
      </w:r>
    </w:p>
    <w:p>
      <w:pPr>
        <w:pBdr>
          <w:bottom w:val="single" w:color="0C2D57" w:sz="6" w:space="1"/>
        </w:pBdr>
        <w:spacing w:before="220" w:after="220"/>
      </w:pPr>
    </w:p>
    <w:p>
      <w:pPr>
        <w:pageBreakBefore/>
      </w:pPr>
    </w:p>
    <w:p>
      <w:pPr>
        <w:pStyle w:val="Heading1"/>
        <w:spacing w:before="500" w:after="160"/>
      </w:pPr>
      <w:r>
        <w:rPr>
          <w:rFonts w:ascii="Arial" w:cs="Arial" w:eastAsia="Arial" w:hAnsi="Arial"/>
          <w:b/>
          <w:bCs/>
          <w:color w:val="0C2D57"/>
          <w:sz w:val="36"/>
          <w:szCs w:val="36"/>
        </w:rPr>
        <w:t xml:space="preserve">Feature J.2: Skill-Job Mapping</w:t>
      </w:r>
    </w:p>
    <w:p>
      <w:pPr>
        <w:pBdr>
          <w:bottom w:val="single" w:color="1460A8" w:sz="6" w:space="1"/>
        </w:pBdr>
        <w:spacing w:before="220" w:after="220"/>
      </w:pPr>
    </w:p>
    <w:p>
      <w:pPr>
        <w:pStyle w:val="Heading2"/>
        <w:spacing w:before="300" w:after="100"/>
      </w:pPr>
      <w:r>
        <w:rPr>
          <w:rFonts w:ascii="Arial" w:cs="Arial" w:eastAsia="Arial" w:hAnsi="Arial"/>
          <w:b/>
          <w:bCs/>
          <w:color w:val="1460A8"/>
          <w:sz w:val="28"/>
          <w:szCs w:val="28"/>
        </w:rPr>
        <w:t xml:space="preserve">Overview</w:t>
      </w:r>
    </w:p>
    <w:p>
      <w:pPr>
        <w:spacing w:before="65" w:after="65"/>
      </w:pPr>
      <w:r>
        <w:rPr>
          <w:rFonts w:ascii="Arial" w:cs="Arial" w:eastAsia="Arial" w:hAnsi="Arial"/>
          <w:color w:val="0F172A"/>
          <w:sz w:val="22"/>
          <w:szCs w:val="22"/>
        </w:rPr>
        <w:t xml:space="preserve">The Skill-Job Mapping feature is the intelligence layer that connects every skill in the student's profile to the specific job roles, industries, and companies where that skill is most valued, most demanded, and most likely to result in a successful placement. It is a bidirectional mapping engine — working both from skills to jobs (given what the student knows, what roles are accessible?) and from jobs to skills (given a target role, exactly what skills does the student need to build?). Skill-Job Mapping is the operational bridge between the student's current competency state and their employment goals, providing precise, data-backed guidance that replaces vague career advice with specific, actionable skill development priorities.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Feature ID</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J.2</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Module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Career Guidance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Type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Bidirectional Skill-to-Role Intelligence Mapping Engine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Data Sources</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Live Job Postings, Historical Placement Data, JD Analysis (10,000+ JDs), Industry Reports, Skill Assessment Score Data</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Output</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Skill-Role Relevance Map, Job Accessibility Score, Skill Demand Analytics, Gap-Closure Pathways</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Priority</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Critical — Operational Link Between Student Skills &amp; Employment Market</w:t>
            </w:r>
          </w:p>
        </w:tc>
      </w:tr>
    </w:tbl>
    <w:p>
      <w:pPr>
        <w:pStyle w:val="Heading2"/>
        <w:spacing w:before="300" w:after="100"/>
      </w:pPr>
      <w:r>
        <w:rPr>
          <w:rFonts w:ascii="Arial" w:cs="Arial" w:eastAsia="Arial" w:hAnsi="Arial"/>
          <w:b/>
          <w:bCs/>
          <w:color w:val="1460A8"/>
          <w:sz w:val="28"/>
          <w:szCs w:val="28"/>
        </w:rPr>
        <w:t xml:space="preserve">Detailed Description</w:t>
      </w:r>
    </w:p>
    <w:p>
      <w:pPr>
        <w:spacing w:before="65" w:after="65"/>
      </w:pPr>
      <w:r>
        <w:rPr>
          <w:rFonts w:ascii="Arial" w:cs="Arial" w:eastAsia="Arial" w:hAnsi="Arial"/>
          <w:color w:val="0F172A"/>
          <w:sz w:val="22"/>
          <w:szCs w:val="22"/>
        </w:rPr>
        <w:t xml:space="preserve">The Skill-Job Mapping engine maintains a continuously updated bipartite graph — a two-sided network connecting every skill in the platform's taxonomy (10,000+ skills) to the job roles and industries where each skill is required, preferred, or differentiated. This graph is built and refreshed from multiple data sources: live job postings ingested daily from partner job boards and company career pages, historical placement outcome data showing which skill combinations actually resulted in offers, and structured analysis of 10,000+ job descriptions across 50+ industry categories. The student's verified skill map is overlaid on this graph to produce a personalised skill-to-job accessibility picture.</w:t>
      </w:r>
    </w:p>
    <w:p>
      <w:pPr>
        <w:pStyle w:val="Heading2"/>
        <w:spacing w:before="300" w:after="100"/>
      </w:pPr>
      <w:r>
        <w:rPr>
          <w:rFonts w:ascii="Arial" w:cs="Arial" w:eastAsia="Arial" w:hAnsi="Arial"/>
          <w:b/>
          <w:bCs/>
          <w:color w:val="1460A8"/>
          <w:sz w:val="28"/>
          <w:szCs w:val="28"/>
        </w:rPr>
        <w:t xml:space="preserve">Forward Mapping: Skills → Accessible Jobs</w:t>
      </w:r>
    </w:p>
    <w:p>
      <w:pPr>
        <w:pStyle w:val="ListParagraph"/>
        <w:numPr>
          <w:ilvl w:val="0"/>
          <w:numId w:val="2"/>
        </w:numPr>
        <w:spacing w:before="48" w:after="48"/>
      </w:pPr>
      <w:r>
        <w:rPr>
          <w:rFonts w:ascii="Arial" w:cs="Arial" w:eastAsia="Arial" w:hAnsi="Arial"/>
          <w:color w:val="0F172A"/>
          <w:sz w:val="22"/>
          <w:szCs w:val="22"/>
        </w:rPr>
        <w:t xml:space="preserve">Job Accessibility Score (JAS): For each of the student's verified skills (assessment-backed, detection-backed, or certificate-verified), the engine computes a Job Accessibility Score — the percentage of job postings in the student's target geography and domain for which the student's current skill set meets at least 60% of the stated requirements.</w:t>
      </w:r>
    </w:p>
    <w:p>
      <w:pPr>
        <w:pStyle w:val="ListParagraph"/>
        <w:numPr>
          <w:ilvl w:val="0"/>
          <w:numId w:val="2"/>
        </w:numPr>
        <w:spacing w:before="48" w:after="48"/>
      </w:pPr>
      <w:r>
        <w:rPr>
          <w:rFonts w:ascii="Arial" w:cs="Arial" w:eastAsia="Arial" w:hAnsi="Arial"/>
          <w:color w:val="0F172A"/>
          <w:sz w:val="22"/>
          <w:szCs w:val="22"/>
        </w:rPr>
        <w:t xml:space="preserve">Role coverage map: A visual matrix showing the student's skill set mapped against the top 20 entry-level role categories in their domain — each cell coloured by coverage percentage (Green ≥ 70%, Amber 40–69%, Red &lt; 40%).</w:t>
      </w:r>
    </w:p>
    <w:p>
      <w:pPr>
        <w:pStyle w:val="ListParagraph"/>
        <w:numPr>
          <w:ilvl w:val="0"/>
          <w:numId w:val="2"/>
        </w:numPr>
        <w:spacing w:before="48" w:after="48"/>
      </w:pPr>
      <w:r>
        <w:rPr>
          <w:rFonts w:ascii="Arial" w:cs="Arial" w:eastAsia="Arial" w:hAnsi="Arial"/>
          <w:color w:val="0F172A"/>
          <w:sz w:val="22"/>
          <w:szCs w:val="22"/>
        </w:rPr>
        <w:t xml:space="preserve">Skill stacking analysis: The engine identifies powerful skill combinations in the student's profile — pairs or triplets of skills that, when combined, open significantly more roles than each skill individually. Example: SQL alone covers 32% of data analyst JDs; SQL + Python covers 71%; SQL + Python + Tableau covers 89%.</w:t>
      </w:r>
    </w:p>
    <w:p>
      <w:pPr>
        <w:pStyle w:val="ListParagraph"/>
        <w:numPr>
          <w:ilvl w:val="0"/>
          <w:numId w:val="2"/>
        </w:numPr>
        <w:spacing w:before="48" w:after="48"/>
      </w:pPr>
      <w:r>
        <w:rPr>
          <w:rFonts w:ascii="Arial" w:cs="Arial" w:eastAsia="Arial" w:hAnsi="Arial"/>
          <w:color w:val="0F172A"/>
          <w:sz w:val="22"/>
          <w:szCs w:val="22"/>
        </w:rPr>
        <w:t xml:space="preserve">Rare skill advantage flagging: Skills where the student has verified proficiency but fewer than 15% of similarly qualified candidates also have that skill are flagged as Rare Skill Advantages — these are highlighted as differentiation points in applications and interviews.</w:t>
      </w:r>
    </w:p>
    <w:p>
      <w:pPr>
        <w:pStyle w:val="ListParagraph"/>
        <w:numPr>
          <w:ilvl w:val="0"/>
          <w:numId w:val="2"/>
        </w:numPr>
        <w:spacing w:before="48" w:after="48"/>
      </w:pPr>
      <w:r>
        <w:rPr>
          <w:rFonts w:ascii="Arial" w:cs="Arial" w:eastAsia="Arial" w:hAnsi="Arial"/>
          <w:color w:val="0F172A"/>
          <w:sz w:val="22"/>
          <w:szCs w:val="22"/>
        </w:rPr>
        <w:t xml:space="preserve">Industry accessibility: Beyond role-level mapping, the engine shows which industries are most accessible given the student's current skill set — showing sector-level demand for the student's specific skill combination.</w:t>
      </w:r>
    </w:p>
    <w:p>
      <w:pPr>
        <w:pStyle w:val="Heading2"/>
        <w:spacing w:before="300" w:after="100"/>
      </w:pPr>
      <w:r>
        <w:rPr>
          <w:rFonts w:ascii="Arial" w:cs="Arial" w:eastAsia="Arial" w:hAnsi="Arial"/>
          <w:b/>
          <w:bCs/>
          <w:color w:val="1460A8"/>
          <w:sz w:val="28"/>
          <w:szCs w:val="28"/>
        </w:rPr>
        <w:t xml:space="preserve">Reverse Mapping: Target Job → Required Skills</w:t>
      </w:r>
    </w:p>
    <w:p>
      <w:pPr>
        <w:pStyle w:val="ListParagraph"/>
        <w:numPr>
          <w:ilvl w:val="0"/>
          <w:numId w:val="2"/>
        </w:numPr>
        <w:spacing w:before="48" w:after="48"/>
      </w:pPr>
      <w:r>
        <w:rPr>
          <w:rFonts w:ascii="Arial" w:cs="Arial" w:eastAsia="Arial" w:hAnsi="Arial"/>
          <w:color w:val="0F172A"/>
          <w:sz w:val="22"/>
          <w:szCs w:val="22"/>
        </w:rPr>
        <w:t xml:space="preserve">Ideal Skill Profile (ISP) per role: For any job role the student wants to explore, the platform generates a detailed ISP — a ranked list of skills required for that role, categorised as: Core Skills (present in 80%+ of JDs), Important Skills (40–79% of JDs), and Differentiating Skills (20–39% of JDs, but associated with higher CTC and faster placement).</w:t>
      </w:r>
    </w:p>
    <w:p>
      <w:pPr>
        <w:pStyle w:val="ListParagraph"/>
        <w:numPr>
          <w:ilvl w:val="0"/>
          <w:numId w:val="2"/>
        </w:numPr>
        <w:spacing w:before="48" w:after="48"/>
      </w:pPr>
      <w:r>
        <w:rPr>
          <w:rFonts w:ascii="Arial" w:cs="Arial" w:eastAsia="Arial" w:hAnsi="Arial"/>
          <w:color w:val="0F172A"/>
          <w:sz w:val="22"/>
          <w:szCs w:val="22"/>
        </w:rPr>
        <w:t xml:space="preserve">Personal gap overlay: The ISP is overlaid with the student's verified skill map — skills the student already has are marked Covered, skills with partial evidence are marked Partial, and skills with no evidence are marked Gap.</w:t>
      </w:r>
    </w:p>
    <w:p>
      <w:pPr>
        <w:pStyle w:val="ListParagraph"/>
        <w:numPr>
          <w:ilvl w:val="0"/>
          <w:numId w:val="2"/>
        </w:numPr>
        <w:spacing w:before="48" w:after="48"/>
      </w:pPr>
      <w:r>
        <w:rPr>
          <w:rFonts w:ascii="Arial" w:cs="Arial" w:eastAsia="Arial" w:hAnsi="Arial"/>
          <w:color w:val="0F172A"/>
          <w:sz w:val="22"/>
          <w:szCs w:val="22"/>
        </w:rPr>
        <w:t xml:space="preserve">Gap prioritisation: Gaps are ranked by Closure Impact Score — a metric combining the skill's frequency in JDs (higher frequency = higher impact), the estimated time to achieve verified proficiency (lower time = higher priority), and the student's current cognitive and skill proximity to the gap skill (closer = more achievable).</w:t>
      </w:r>
    </w:p>
    <w:p>
      <w:pPr>
        <w:pStyle w:val="ListParagraph"/>
        <w:numPr>
          <w:ilvl w:val="0"/>
          <w:numId w:val="2"/>
        </w:numPr>
        <w:spacing w:before="48" w:after="48"/>
      </w:pPr>
      <w:r>
        <w:rPr>
          <w:rFonts w:ascii="Arial" w:cs="Arial" w:eastAsia="Arial" w:hAnsi="Arial"/>
          <w:color w:val="0F172A"/>
          <w:sz w:val="22"/>
          <w:szCs w:val="22"/>
        </w:rPr>
        <w:t xml:space="preserve">Differentiating skill spotlight: For roles where the student already meets core skill requirements, the engine surfaces the differentiating skills — the ones that separate candidates who get offers from those who get shortlisted but rejected. These are presented as 'Edge Skills' with specific course and assessment recommendations.</w:t>
      </w:r>
    </w:p>
    <w:p>
      <w:pPr>
        <w:pStyle w:val="ListParagraph"/>
        <w:numPr>
          <w:ilvl w:val="0"/>
          <w:numId w:val="2"/>
        </w:numPr>
        <w:spacing w:before="48" w:after="48"/>
      </w:pPr>
      <w:r>
        <w:rPr>
          <w:rFonts w:ascii="Arial" w:cs="Arial" w:eastAsia="Arial" w:hAnsi="Arial"/>
          <w:color w:val="0F172A"/>
          <w:sz w:val="22"/>
          <w:szCs w:val="22"/>
        </w:rPr>
        <w:t xml:space="preserve">Company-specific skill profiles: For companies that have posted jobs on the platform, a company-specific skill profile is generated from their JD history — showing whether a particular company weights technical depth, breadth, or specific tool experience. This enables students to tailor their skill development for target companies.</w:t>
      </w:r>
    </w:p>
    <w:p>
      <w:pPr>
        <w:pStyle w:val="Heading2"/>
        <w:spacing w:before="300" w:after="100"/>
      </w:pPr>
      <w:r>
        <w:rPr>
          <w:rFonts w:ascii="Arial" w:cs="Arial" w:eastAsia="Arial" w:hAnsi="Arial"/>
          <w:b/>
          <w:bCs/>
          <w:color w:val="1460A8"/>
          <w:sz w:val="28"/>
          <w:szCs w:val="28"/>
        </w:rPr>
        <w:t xml:space="preserve">Job Description Analysis Pipeline</w:t>
      </w:r>
    </w:p>
    <w:p>
      <w:pPr>
        <w:pStyle w:val="ListParagraph"/>
        <w:numPr>
          <w:ilvl w:val="0"/>
          <w:numId w:val="2"/>
        </w:numPr>
        <w:spacing w:before="48" w:after="48"/>
      </w:pPr>
      <w:r>
        <w:rPr>
          <w:rFonts w:ascii="Arial" w:cs="Arial" w:eastAsia="Arial" w:hAnsi="Arial"/>
          <w:color w:val="0F172A"/>
          <w:sz w:val="22"/>
          <w:szCs w:val="22"/>
        </w:rPr>
        <w:t xml:space="preserve">Daily JD ingestion: The platform ingests 500–1,000 new job descriptions daily from partner job boards, company career pages, and recruiter-submitted postings.</w:t>
      </w:r>
    </w:p>
    <w:p>
      <w:pPr>
        <w:pStyle w:val="ListParagraph"/>
        <w:numPr>
          <w:ilvl w:val="0"/>
          <w:numId w:val="2"/>
        </w:numPr>
        <w:spacing w:before="48" w:after="48"/>
      </w:pPr>
      <w:r>
        <w:rPr>
          <w:rFonts w:ascii="Arial" w:cs="Arial" w:eastAsia="Arial" w:hAnsi="Arial"/>
          <w:color w:val="0F172A"/>
          <w:sz w:val="22"/>
          <w:szCs w:val="22"/>
        </w:rPr>
        <w:t xml:space="preserve">NLP extraction pipeline: Each JD is processed through a multi-stage NLP pipeline: skill entity extraction (identifying explicit and implicit skill requirements), seniority classification (entry-level / junior / mid / senior), role normalisation (mapping diverse job titles to canonical role categories), compensation signal extraction (where disclosed), and must-have vs. nice-to-have requirement classification.</w:t>
      </w:r>
    </w:p>
    <w:p>
      <w:pPr>
        <w:pStyle w:val="ListParagraph"/>
        <w:numPr>
          <w:ilvl w:val="0"/>
          <w:numId w:val="2"/>
        </w:numPr>
        <w:spacing w:before="48" w:after="48"/>
      </w:pPr>
      <w:r>
        <w:rPr>
          <w:rFonts w:ascii="Arial" w:cs="Arial" w:eastAsia="Arial" w:hAnsi="Arial"/>
          <w:color w:val="0F172A"/>
          <w:sz w:val="22"/>
          <w:szCs w:val="22"/>
        </w:rPr>
        <w:t xml:space="preserve">Temporal weighting: Skill frequency is weighted by JD recency — skills appearing in JDs from the last 3 months receive 2× weight vs. skills that peaked 18 months ago but are now declining. This ensures the ISP reflects current market demand, not historical patterns.</w:t>
      </w:r>
    </w:p>
    <w:p>
      <w:pPr>
        <w:pStyle w:val="ListParagraph"/>
        <w:numPr>
          <w:ilvl w:val="0"/>
          <w:numId w:val="2"/>
        </w:numPr>
        <w:spacing w:before="48" w:after="48"/>
      </w:pPr>
      <w:r>
        <w:rPr>
          <w:rFonts w:ascii="Arial" w:cs="Arial" w:eastAsia="Arial" w:hAnsi="Arial"/>
          <w:color w:val="0F172A"/>
          <w:sz w:val="22"/>
          <w:szCs w:val="22"/>
        </w:rPr>
        <w:t xml:space="preserve">Emerging skill detection: Skills appearing with increasing frequency in JDs (rising 20%+ month-over-month) are flagged as Emerging Demand skills — shown to students as early-mover opportunities where building proficiency now creates a competitive advantage before the skill becomes widely common.</w:t>
      </w:r>
    </w:p>
    <w:p>
      <w:pPr>
        <w:pStyle w:val="ListParagraph"/>
        <w:numPr>
          <w:ilvl w:val="0"/>
          <w:numId w:val="2"/>
        </w:numPr>
        <w:spacing w:before="48" w:after="48"/>
      </w:pPr>
      <w:r>
        <w:rPr>
          <w:rFonts w:ascii="Arial" w:cs="Arial" w:eastAsia="Arial" w:hAnsi="Arial"/>
          <w:color w:val="0F172A"/>
          <w:sz w:val="22"/>
          <w:szCs w:val="22"/>
        </w:rPr>
        <w:t xml:space="preserve">Declining skill alerts: Skills that are present in the student's profile but declining in JD frequency are flagged with a Declining Market Relevance warning — prompting the student to pair them with a modern equivalent skill.</w:t>
      </w:r>
    </w:p>
    <w:p>
      <w:pPr>
        <w:pStyle w:val="Heading2"/>
        <w:spacing w:before="300" w:after="100"/>
      </w:pPr>
      <w:r>
        <w:rPr>
          <w:rFonts w:ascii="Arial" w:cs="Arial" w:eastAsia="Arial" w:hAnsi="Arial"/>
          <w:b/>
          <w:bCs/>
          <w:color w:val="1460A8"/>
          <w:sz w:val="28"/>
          <w:szCs w:val="28"/>
        </w:rPr>
        <w:t xml:space="preserve">Skill Demand Analytics Dashboard</w:t>
      </w:r>
    </w:p>
    <w:p>
      <w:pPr>
        <w:pStyle w:val="ListParagraph"/>
        <w:numPr>
          <w:ilvl w:val="0"/>
          <w:numId w:val="2"/>
        </w:numPr>
        <w:spacing w:before="48" w:after="48"/>
      </w:pPr>
      <w:r>
        <w:rPr>
          <w:rFonts w:ascii="Arial" w:cs="Arial" w:eastAsia="Arial" w:hAnsi="Arial"/>
          <w:color w:val="0F172A"/>
          <w:sz w:val="22"/>
          <w:szCs w:val="22"/>
        </w:rPr>
        <w:t xml:space="preserve">Skill Demand Heatmap: An interactive visualisation showing the demand level of every skill in the student's profile across their target industries — colour-coded from High Demand (dark green) to Declining Demand (red).</w:t>
      </w:r>
    </w:p>
    <w:p>
      <w:pPr>
        <w:pStyle w:val="ListParagraph"/>
        <w:numPr>
          <w:ilvl w:val="0"/>
          <w:numId w:val="2"/>
        </w:numPr>
        <w:spacing w:before="48" w:after="48"/>
      </w:pPr>
      <w:r>
        <w:rPr>
          <w:rFonts w:ascii="Arial" w:cs="Arial" w:eastAsia="Arial" w:hAnsi="Arial"/>
          <w:color w:val="0F172A"/>
          <w:sz w:val="22"/>
          <w:szCs w:val="22"/>
        </w:rPr>
        <w:t xml:space="preserve">Demand Trend Lines: For any skill, clicking shows a 12-month trend line of its appearance frequency in JDs — enabling students to make informed decisions about where to invest learning time.</w:t>
      </w:r>
    </w:p>
    <w:p>
      <w:pPr>
        <w:pStyle w:val="ListParagraph"/>
        <w:numPr>
          <w:ilvl w:val="0"/>
          <w:numId w:val="2"/>
        </w:numPr>
        <w:spacing w:before="48" w:after="48"/>
      </w:pPr>
      <w:r>
        <w:rPr>
          <w:rFonts w:ascii="Arial" w:cs="Arial" w:eastAsia="Arial" w:hAnsi="Arial"/>
          <w:color w:val="0F172A"/>
          <w:sz w:val="22"/>
          <w:szCs w:val="22"/>
        </w:rPr>
        <w:t xml:space="preserve">Market Value Score per Skill: An index (0–100) combining job posting frequency, median CTC premium associated with the skill, and its rate of change. Provides a single 'market value' metric per skill.</w:t>
      </w:r>
    </w:p>
    <w:p>
      <w:pPr>
        <w:pStyle w:val="ListParagraph"/>
        <w:numPr>
          <w:ilvl w:val="0"/>
          <w:numId w:val="2"/>
        </w:numPr>
        <w:spacing w:before="48" w:after="48"/>
      </w:pPr>
      <w:r>
        <w:rPr>
          <w:rFonts w:ascii="Arial" w:cs="Arial" w:eastAsia="Arial" w:hAnsi="Arial"/>
          <w:color w:val="0F172A"/>
          <w:sz w:val="22"/>
          <w:szCs w:val="22"/>
        </w:rPr>
        <w:t xml:space="preserve">Cross-industry portability: For each skill, a portability score shows how broadly applicable it is across industries — high-portability skills (e.g., SQL, Python, Project Management) are valuable regardless of which industry the student ends up in.</w:t>
      </w:r>
    </w:p>
    <w:p>
      <w:pPr>
        <w:pStyle w:val="ListParagraph"/>
        <w:numPr>
          <w:ilvl w:val="0"/>
          <w:numId w:val="2"/>
        </w:numPr>
        <w:spacing w:before="48" w:after="48"/>
      </w:pPr>
      <w:r>
        <w:rPr>
          <w:rFonts w:ascii="Arial" w:cs="Arial" w:eastAsia="Arial" w:hAnsi="Arial"/>
          <w:color w:val="0F172A"/>
          <w:sz w:val="22"/>
          <w:szCs w:val="22"/>
        </w:rPr>
        <w:t xml:space="preserve">Cohort benchmark: Each skill's demand analytics is shown alongside the student's cohort — what percentage of same-degree peers have verified the same skill, and whether the student is ahead of or behind the cohort in acquiring it.</w:t>
      </w:r>
    </w:p>
    <w:p>
      <w:pPr>
        <w:pStyle w:val="Heading2"/>
        <w:spacing w:before="300" w:after="100"/>
      </w:pPr>
      <w:r>
        <w:rPr>
          <w:rFonts w:ascii="Arial" w:cs="Arial" w:eastAsia="Arial" w:hAnsi="Arial"/>
          <w:b/>
          <w:bCs/>
          <w:color w:val="1460A8"/>
          <w:sz w:val="28"/>
          <w:szCs w:val="28"/>
        </w:rPr>
        <w:t xml:space="preserve">Gap-Closure Action Engine</w:t>
      </w:r>
    </w:p>
    <w:p>
      <w:pPr>
        <w:pStyle w:val="ListParagraph"/>
        <w:numPr>
          <w:ilvl w:val="0"/>
          <w:numId w:val="2"/>
        </w:numPr>
        <w:spacing w:before="48" w:after="48"/>
      </w:pPr>
      <w:r>
        <w:rPr>
          <w:rFonts w:ascii="Arial" w:cs="Arial" w:eastAsia="Arial" w:hAnsi="Arial"/>
          <w:color w:val="0F172A"/>
          <w:sz w:val="22"/>
          <w:szCs w:val="22"/>
        </w:rPr>
        <w:t xml:space="preserve">For each identified skill gap, the engine generates a specific, time-boxed closure pathway: the recommended EcoSkiller assessment to establish a baseline score, the recommended course(s) to build the skill, a project challenge to apply the skill, and the re-assessment to verify closure.</w:t>
      </w:r>
    </w:p>
    <w:p>
      <w:pPr>
        <w:pStyle w:val="ListParagraph"/>
        <w:numPr>
          <w:ilvl w:val="0"/>
          <w:numId w:val="2"/>
        </w:numPr>
        <w:spacing w:before="48" w:after="48"/>
      </w:pPr>
      <w:r>
        <w:rPr>
          <w:rFonts w:ascii="Arial" w:cs="Arial" w:eastAsia="Arial" w:hAnsi="Arial"/>
          <w:color w:val="0F172A"/>
          <w:sz w:val="22"/>
          <w:szCs w:val="22"/>
        </w:rPr>
        <w:t xml:space="preserve">Estimated closure timelines are personalised: based on the student's historical learning velocity in similar skill domains, the engine estimates how many weeks of consistent effort are required to reach verified proficiency for each gap skill.</w:t>
      </w:r>
    </w:p>
    <w:p>
      <w:pPr>
        <w:pStyle w:val="ListParagraph"/>
        <w:numPr>
          <w:ilvl w:val="0"/>
          <w:numId w:val="2"/>
        </w:numPr>
        <w:spacing w:before="48" w:after="48"/>
      </w:pPr>
      <w:r>
        <w:rPr>
          <w:rFonts w:ascii="Arial" w:cs="Arial" w:eastAsia="Arial" w:hAnsi="Arial"/>
          <w:color w:val="0F172A"/>
          <w:sz w:val="22"/>
          <w:szCs w:val="22"/>
        </w:rPr>
        <w:t xml:space="preserve">Priority packaging: For students targeting a specific company's hiring cycle (e.g., TCS, Infosys, Deloitte, EY campus drive in 8 weeks), the engine packages the most impactful gap-closure actions into an 8-week sprint plan with daily practice recommendations.</w:t>
      </w:r>
    </w:p>
    <w:p>
      <w:pPr>
        <w:pStyle w:val="ListParagraph"/>
        <w:numPr>
          <w:ilvl w:val="0"/>
          <w:numId w:val="2"/>
        </w:numPr>
        <w:spacing w:before="48" w:after="48"/>
      </w:pPr>
      <w:r>
        <w:rPr>
          <w:rFonts w:ascii="Arial" w:cs="Arial" w:eastAsia="Arial" w:hAnsi="Arial"/>
          <w:color w:val="0F172A"/>
          <w:sz w:val="22"/>
          <w:szCs w:val="22"/>
        </w:rPr>
        <w:t xml:space="preserve">Progress tracking: As the student completes gap-closure actions (assessments, courses, projects), the skill coverage percentage for target roles updates in real time — giving the student a visible measure of how their role accessibility is expanding.</w:t>
      </w:r>
    </w:p>
    <w:p>
      <w:pPr>
        <w:pBdr>
          <w:bottom w:val="single" w:color="0C2D57" w:sz="6" w:space="1"/>
        </w:pBdr>
        <w:spacing w:before="220" w:after="220"/>
      </w:pPr>
    </w:p>
    <w:p>
      <w:pPr>
        <w:pageBreakBefore/>
      </w:pPr>
    </w:p>
    <w:p>
      <w:pPr>
        <w:pStyle w:val="Heading1"/>
        <w:spacing w:before="500" w:after="160"/>
      </w:pPr>
      <w:r>
        <w:rPr>
          <w:rFonts w:ascii="Arial" w:cs="Arial" w:eastAsia="Arial" w:hAnsi="Arial"/>
          <w:b/>
          <w:bCs/>
          <w:color w:val="0C2D57"/>
          <w:sz w:val="36"/>
          <w:szCs w:val="36"/>
        </w:rPr>
        <w:t xml:space="preserve">Feature J.3: Employability Score</w:t>
      </w:r>
    </w:p>
    <w:p>
      <w:pPr>
        <w:pBdr>
          <w:bottom w:val="single" w:color="1460A8" w:sz="6" w:space="1"/>
        </w:pBdr>
        <w:spacing w:before="220" w:after="220"/>
      </w:pPr>
    </w:p>
    <w:p>
      <w:pPr>
        <w:pStyle w:val="Heading2"/>
        <w:spacing w:before="300" w:after="100"/>
      </w:pPr>
      <w:r>
        <w:rPr>
          <w:rFonts w:ascii="Arial" w:cs="Arial" w:eastAsia="Arial" w:hAnsi="Arial"/>
          <w:b/>
          <w:bCs/>
          <w:color w:val="1460A8"/>
          <w:sz w:val="28"/>
          <w:szCs w:val="28"/>
        </w:rPr>
        <w:t xml:space="preserve">Overview</w:t>
      </w:r>
    </w:p>
    <w:p>
      <w:pPr>
        <w:spacing w:before="65" w:after="65"/>
      </w:pPr>
      <w:r>
        <w:rPr>
          <w:rFonts w:ascii="Arial" w:cs="Arial" w:eastAsia="Arial" w:hAnsi="Arial"/>
          <w:color w:val="0F172A"/>
          <w:sz w:val="22"/>
          <w:szCs w:val="22"/>
        </w:rPr>
        <w:t xml:space="preserve">The Employability Score is EcoSkiller's holistic, single-number representation of a student's current readiness for placement — combining every measurable dimension of their profile into one authoritative, recruiter-trusted metric. It is not a simple academic score or a self-reported credential count — it is a multi-pillar composite score computed from verified, platform-generated data points across cognitive ability, technical skills, behavioural profile, communication competency, academic performance, practical experience, and profile completeness. The Employability Score is the most prominently displayed metric on the student's recruiter-facing profile and the primary sorting and filtering signal used by recruiters when searching for candidates.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Feature ID</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J.3</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Module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Career Guidance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Type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Composite Readiness Score Engine — Multi-Pillar Verified Assessment</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Score Range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0–100 with sub-scores per pillar</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Visibility</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Public to Recruiters, Placement Coordinators, and the Student</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Priority</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Critical — Primary Recruiter-Facing Signal &amp; Platform Differentiator</w:t>
            </w:r>
          </w:p>
        </w:tc>
      </w:tr>
    </w:tbl>
    <w:p>
      <w:pPr>
        <w:pStyle w:val="Heading2"/>
        <w:spacing w:before="300" w:after="100"/>
      </w:pPr>
      <w:r>
        <w:rPr>
          <w:rFonts w:ascii="Arial" w:cs="Arial" w:eastAsia="Arial" w:hAnsi="Arial"/>
          <w:b/>
          <w:bCs/>
          <w:color w:val="1460A8"/>
          <w:sz w:val="28"/>
          <w:szCs w:val="28"/>
        </w:rPr>
        <w:t xml:space="preserve">Detailed Description</w:t>
      </w:r>
    </w:p>
    <w:p>
      <w:pPr>
        <w:spacing w:before="65" w:after="65"/>
      </w:pPr>
      <w:r>
        <w:rPr>
          <w:rFonts w:ascii="Arial" w:cs="Arial" w:eastAsia="Arial" w:hAnsi="Arial"/>
          <w:color w:val="0F172A"/>
          <w:sz w:val="22"/>
          <w:szCs w:val="22"/>
        </w:rPr>
        <w:t xml:space="preserve">The Employability Score is computed across six weighted pillars, each drawing from different data sources within the platform. The score is fully transparent — students and recruiters can drill down into any pillar to see the exact sub-scores and the evidence behind them. The score is dynamic — it updates automatically as the student completes new assessments, adds verified skills, finishes courses, or accumulates Dojo Arena sessions. Every score update triggers a notification to the student showing what changed, by how much, and why — converting the score into an active engagement and improvement tool, not just a passive metric.</w:t>
      </w:r>
    </w:p>
    <w:p>
      <w:pPr>
        <w:pStyle w:val="Heading2"/>
        <w:spacing w:before="300" w:after="100"/>
      </w:pPr>
      <w:r>
        <w:rPr>
          <w:rFonts w:ascii="Arial" w:cs="Arial" w:eastAsia="Arial" w:hAnsi="Arial"/>
          <w:b/>
          <w:bCs/>
          <w:color w:val="1460A8"/>
          <w:sz w:val="28"/>
          <w:szCs w:val="28"/>
        </w:rPr>
        <w:t xml:space="preserve">Pillar 1: Cognitive Readiness (Weight: 20%)</w:t>
      </w:r>
    </w:p>
    <w:p>
      <w:pPr>
        <w:pStyle w:val="ListParagraph"/>
        <w:numPr>
          <w:ilvl w:val="0"/>
          <w:numId w:val="2"/>
        </w:numPr>
        <w:spacing w:before="48" w:after="48"/>
      </w:pPr>
      <w:r>
        <w:rPr>
          <w:rFonts w:ascii="Arial" w:cs="Arial" w:eastAsia="Arial" w:hAnsi="Arial"/>
          <w:color w:val="0F172A"/>
          <w:sz w:val="22"/>
          <w:szCs w:val="22"/>
        </w:rPr>
        <w:t xml:space="preserve">Source: Intelligence Assessment scores from Feature C.1.</w:t>
      </w:r>
    </w:p>
    <w:p>
      <w:pPr>
        <w:pStyle w:val="ListParagraph"/>
        <w:numPr>
          <w:ilvl w:val="0"/>
          <w:numId w:val="2"/>
        </w:numPr>
        <w:spacing w:before="48" w:after="48"/>
      </w:pPr>
      <w:r>
        <w:rPr>
          <w:rFonts w:ascii="Arial" w:cs="Arial" w:eastAsia="Arial" w:hAnsi="Arial"/>
          <w:color w:val="0F172A"/>
          <w:sz w:val="22"/>
          <w:szCs w:val="22"/>
        </w:rPr>
        <w:t xml:space="preserve">Computation: A weighted composite of the student's normalised scores across the seven intelligence dimensions, with weights reflecting the cognitive demand profile of the general employment market (Logical-Mathematical and Processing Speed weighted highest as the most broadly demanded cognitive traits).</w:t>
      </w:r>
    </w:p>
    <w:p>
      <w:pPr>
        <w:pStyle w:val="ListParagraph"/>
        <w:numPr>
          <w:ilvl w:val="0"/>
          <w:numId w:val="2"/>
        </w:numPr>
        <w:spacing w:before="48" w:after="48"/>
      </w:pPr>
      <w:r>
        <w:rPr>
          <w:rFonts w:ascii="Arial" w:cs="Arial" w:eastAsia="Arial" w:hAnsi="Arial"/>
          <w:color w:val="0F172A"/>
          <w:sz w:val="22"/>
          <w:szCs w:val="22"/>
        </w:rPr>
        <w:t xml:space="preserve">Score components: Composite Intelligence Index (CII) percentile rank (50% of pillar weight), performance on the most employment-relevant cognitive dimensions for the student's target roles (30%), and score improvement trend across assessment retakes (20%).</w:t>
      </w:r>
    </w:p>
    <w:p>
      <w:pPr>
        <w:pStyle w:val="ListParagraph"/>
        <w:numPr>
          <w:ilvl w:val="0"/>
          <w:numId w:val="2"/>
        </w:numPr>
        <w:spacing w:before="48" w:after="48"/>
      </w:pPr>
      <w:r>
        <w:rPr>
          <w:rFonts w:ascii="Arial" w:cs="Arial" w:eastAsia="Arial" w:hAnsi="Arial"/>
          <w:color w:val="0F172A"/>
          <w:sz w:val="22"/>
          <w:szCs w:val="22"/>
        </w:rPr>
        <w:t xml:space="preserve">Pillar score band: 0–30 (Foundational), 31–55 (Developing), 56–75 (Ready), 76–90 (Strong), 91–100 (Distinguished).</w:t>
      </w:r>
    </w:p>
    <w:p>
      <w:pPr>
        <w:pStyle w:val="ListParagraph"/>
        <w:numPr>
          <w:ilvl w:val="0"/>
          <w:numId w:val="2"/>
        </w:numPr>
        <w:spacing w:before="48" w:after="48"/>
      </w:pPr>
      <w:r>
        <w:rPr>
          <w:rFonts w:ascii="Arial" w:cs="Arial" w:eastAsia="Arial" w:hAnsi="Arial"/>
          <w:color w:val="0F172A"/>
          <w:sz w:val="22"/>
          <w:szCs w:val="22"/>
        </w:rPr>
        <w:t xml:space="preserve">Minimum data requirement: At least one completed intelligence assessment. Students who have not completed the assessment see this pillar as 'Unscored — Complete your Intelligence Assessment to unlock this pillar.'</w:t>
      </w:r>
    </w:p>
    <w:p>
      <w:pPr>
        <w:pStyle w:val="Heading2"/>
        <w:spacing w:before="300" w:after="100"/>
      </w:pPr>
      <w:r>
        <w:rPr>
          <w:rFonts w:ascii="Arial" w:cs="Arial" w:eastAsia="Arial" w:hAnsi="Arial"/>
          <w:b/>
          <w:bCs/>
          <w:color w:val="1460A8"/>
          <w:sz w:val="28"/>
          <w:szCs w:val="28"/>
        </w:rPr>
        <w:t xml:space="preserve">Pillar 2: Technical Skill Depth (Weight: 25%)</w:t>
      </w:r>
    </w:p>
    <w:p>
      <w:pPr>
        <w:pStyle w:val="ListParagraph"/>
        <w:numPr>
          <w:ilvl w:val="0"/>
          <w:numId w:val="2"/>
        </w:numPr>
        <w:spacing w:before="48" w:after="48"/>
      </w:pPr>
      <w:r>
        <w:rPr>
          <w:rFonts w:ascii="Arial" w:cs="Arial" w:eastAsia="Arial" w:hAnsi="Arial"/>
          <w:color w:val="0F172A"/>
          <w:sz w:val="22"/>
          <w:szCs w:val="22"/>
        </w:rPr>
        <w:t xml:space="preserve">Source: Verified skill map from Feature C.3 and assessment scores from the Skills Assessment module.</w:t>
      </w:r>
    </w:p>
    <w:p>
      <w:pPr>
        <w:pStyle w:val="ListParagraph"/>
        <w:numPr>
          <w:ilvl w:val="0"/>
          <w:numId w:val="2"/>
        </w:numPr>
        <w:spacing w:before="48" w:after="48"/>
      </w:pPr>
      <w:r>
        <w:rPr>
          <w:rFonts w:ascii="Arial" w:cs="Arial" w:eastAsia="Arial" w:hAnsi="Arial"/>
          <w:color w:val="0F172A"/>
          <w:sz w:val="22"/>
          <w:szCs w:val="22"/>
        </w:rPr>
        <w:t xml:space="preserve">Computation: Weighted by skill evidence quality — assessment-verified skills (highest weight), platform-detected skills with multi-source confirmation (high weight), certificate-backed skills (medium weight), and self-declared skills without evidence (low weight, capped contribution).</w:t>
      </w:r>
    </w:p>
    <w:p>
      <w:pPr>
        <w:pStyle w:val="ListParagraph"/>
        <w:numPr>
          <w:ilvl w:val="0"/>
          <w:numId w:val="2"/>
        </w:numPr>
        <w:spacing w:before="48" w:after="48"/>
      </w:pPr>
      <w:r>
        <w:rPr>
          <w:rFonts w:ascii="Arial" w:cs="Arial" w:eastAsia="Arial" w:hAnsi="Arial"/>
          <w:color w:val="0F172A"/>
          <w:sz w:val="22"/>
          <w:szCs w:val="22"/>
        </w:rPr>
        <w:t xml:space="preserve">Skill quantity is not the primary driver — skill quality (depth of verification) and relevance to the student's target roles (using the ISP from Feature J.2) are the primary drivers.</w:t>
      </w:r>
    </w:p>
    <w:p>
      <w:pPr>
        <w:pStyle w:val="ListParagraph"/>
        <w:numPr>
          <w:ilvl w:val="0"/>
          <w:numId w:val="2"/>
        </w:numPr>
        <w:spacing w:before="48" w:after="48"/>
      </w:pPr>
      <w:r>
        <w:rPr>
          <w:rFonts w:ascii="Arial" w:cs="Arial" w:eastAsia="Arial" w:hAnsi="Arial"/>
          <w:color w:val="0F172A"/>
          <w:sz w:val="22"/>
          <w:szCs w:val="22"/>
        </w:rPr>
        <w:t xml:space="preserve">Sub-components: Verified skill count normalised against cohort (25%), average assessment score across all taken skill assessments (35%), target-role skill coverage percentage — how well the skill map covers the top target role's ISP (40%).</w:t>
      </w:r>
    </w:p>
    <w:p>
      <w:pPr>
        <w:pStyle w:val="ListParagraph"/>
        <w:numPr>
          <w:ilvl w:val="0"/>
          <w:numId w:val="2"/>
        </w:numPr>
        <w:spacing w:before="48" w:after="48"/>
      </w:pPr>
      <w:r>
        <w:rPr>
          <w:rFonts w:ascii="Arial" w:cs="Arial" w:eastAsia="Arial" w:hAnsi="Arial"/>
          <w:color w:val="0F172A"/>
          <w:sz w:val="22"/>
          <w:szCs w:val="22"/>
        </w:rPr>
        <w:t xml:space="preserve">Differentiating skill bonus: Each Rare Skill Advantage (a verified skill where fewer than 15% of cohort peers have equivalent verification) adds a 2-point bonus to this pillar score, capped at +10 points total.</w:t>
      </w:r>
    </w:p>
    <w:p>
      <w:pPr>
        <w:pStyle w:val="Heading2"/>
        <w:spacing w:before="300" w:after="100"/>
      </w:pPr>
      <w:r>
        <w:rPr>
          <w:rFonts w:ascii="Arial" w:cs="Arial" w:eastAsia="Arial" w:hAnsi="Arial"/>
          <w:b/>
          <w:bCs/>
          <w:color w:val="1460A8"/>
          <w:sz w:val="28"/>
          <w:szCs w:val="28"/>
        </w:rPr>
        <w:t xml:space="preserve">Pillar 3: Communication &amp; Soft Skills (Weight: 20%)</w:t>
      </w:r>
    </w:p>
    <w:p>
      <w:pPr>
        <w:pStyle w:val="ListParagraph"/>
        <w:numPr>
          <w:ilvl w:val="0"/>
          <w:numId w:val="2"/>
        </w:numPr>
        <w:spacing w:before="48" w:after="48"/>
      </w:pPr>
      <w:r>
        <w:rPr>
          <w:rFonts w:ascii="Arial" w:cs="Arial" w:eastAsia="Arial" w:hAnsi="Arial"/>
          <w:color w:val="0F172A"/>
          <w:sz w:val="22"/>
          <w:szCs w:val="22"/>
        </w:rPr>
        <w:t xml:space="preserve">Source: Communication Skill Score (CSS) from Feature G.4 and Behavioural Profile from Feature C.2.</w:t>
      </w:r>
    </w:p>
    <w:p>
      <w:pPr>
        <w:pStyle w:val="ListParagraph"/>
        <w:numPr>
          <w:ilvl w:val="0"/>
          <w:numId w:val="2"/>
        </w:numPr>
        <w:spacing w:before="48" w:after="48"/>
      </w:pPr>
      <w:r>
        <w:rPr>
          <w:rFonts w:ascii="Arial" w:cs="Arial" w:eastAsia="Arial" w:hAnsi="Arial"/>
          <w:color w:val="0F172A"/>
          <w:sz w:val="22"/>
          <w:szCs w:val="22"/>
        </w:rPr>
        <w:t xml:space="preserve">Communication component (60% of pillar): CSS score, converted to a 0–100 scale and weighted by session count confidence — more sessions = higher confidence, higher weight.</w:t>
      </w:r>
    </w:p>
    <w:p>
      <w:pPr>
        <w:pStyle w:val="ListParagraph"/>
        <w:numPr>
          <w:ilvl w:val="0"/>
          <w:numId w:val="2"/>
        </w:numPr>
        <w:spacing w:before="48" w:after="48"/>
      </w:pPr>
      <w:r>
        <w:rPr>
          <w:rFonts w:ascii="Arial" w:cs="Arial" w:eastAsia="Arial" w:hAnsi="Arial"/>
          <w:color w:val="0F172A"/>
          <w:sz w:val="22"/>
          <w:szCs w:val="22"/>
        </w:rPr>
        <w:t xml:space="preserve">Behavioural component (40% of pillar): A role-agnostic behavioural readiness score computed from the Big Five and SJT profiles — measuring professional conduct (high Conscientiousness), interpersonal effectiveness (balanced Agreeableness + Extraversion), and emotional resilience (high Emotional Stability).</w:t>
      </w:r>
    </w:p>
    <w:p>
      <w:pPr>
        <w:pStyle w:val="ListParagraph"/>
        <w:numPr>
          <w:ilvl w:val="0"/>
          <w:numId w:val="2"/>
        </w:numPr>
        <w:spacing w:before="48" w:after="48"/>
      </w:pPr>
      <w:r>
        <w:rPr>
          <w:rFonts w:ascii="Arial" w:cs="Arial" w:eastAsia="Arial" w:hAnsi="Arial"/>
          <w:color w:val="0F172A"/>
          <w:sz w:val="22"/>
          <w:szCs w:val="22"/>
        </w:rPr>
        <w:t xml:space="preserve">Minimum data requirement for CSS component: At least 3 completed Dojo Arena sessions. Students with fewer sessions have this component scored at 0 — creating a strong incentive to participate in the Dojo.</w:t>
      </w:r>
    </w:p>
    <w:p>
      <w:pPr>
        <w:pStyle w:val="ListParagraph"/>
        <w:numPr>
          <w:ilvl w:val="0"/>
          <w:numId w:val="2"/>
        </w:numPr>
        <w:spacing w:before="48" w:after="48"/>
      </w:pPr>
      <w:r>
        <w:rPr>
          <w:rFonts w:ascii="Arial" w:cs="Arial" w:eastAsia="Arial" w:hAnsi="Arial"/>
          <w:color w:val="0F172A"/>
          <w:sz w:val="22"/>
          <w:szCs w:val="22"/>
        </w:rPr>
        <w:t xml:space="preserve">Special behaviour flag: Students whose SJT score on Ethical Reasoning falls below the 30th percentile receive a 'Professional Integrity Development Needed' flag — visible to placement coordinators but not to recruiters.</w:t>
      </w:r>
    </w:p>
    <w:p>
      <w:pPr>
        <w:pStyle w:val="Heading2"/>
        <w:spacing w:before="300" w:after="100"/>
      </w:pPr>
      <w:r>
        <w:rPr>
          <w:rFonts w:ascii="Arial" w:cs="Arial" w:eastAsia="Arial" w:hAnsi="Arial"/>
          <w:b/>
          <w:bCs/>
          <w:color w:val="1460A8"/>
          <w:sz w:val="28"/>
          <w:szCs w:val="28"/>
        </w:rPr>
        <w:t xml:space="preserve">Pillar 4: Academic Foundation (Weight: 15%)</w:t>
      </w:r>
    </w:p>
    <w:p>
      <w:pPr>
        <w:pStyle w:val="ListParagraph"/>
        <w:numPr>
          <w:ilvl w:val="0"/>
          <w:numId w:val="2"/>
        </w:numPr>
        <w:spacing w:before="48" w:after="48"/>
      </w:pPr>
      <w:r>
        <w:rPr>
          <w:rFonts w:ascii="Arial" w:cs="Arial" w:eastAsia="Arial" w:hAnsi="Arial"/>
          <w:color w:val="0F172A"/>
          <w:sz w:val="22"/>
          <w:szCs w:val="22"/>
        </w:rPr>
        <w:t xml:space="preserve">Source: Education details from Feature B.4.</w:t>
      </w:r>
    </w:p>
    <w:p>
      <w:pPr>
        <w:pStyle w:val="ListParagraph"/>
        <w:numPr>
          <w:ilvl w:val="0"/>
          <w:numId w:val="2"/>
        </w:numPr>
        <w:spacing w:before="48" w:after="48"/>
      </w:pPr>
      <w:r>
        <w:rPr>
          <w:rFonts w:ascii="Arial" w:cs="Arial" w:eastAsia="Arial" w:hAnsi="Arial"/>
          <w:color w:val="0F172A"/>
          <w:sz w:val="22"/>
          <w:szCs w:val="22"/>
        </w:rPr>
        <w:t xml:space="preserve">Components: Highest qualification level (degree type premium — postgraduate above undergraduate, professional certifications credited), CGPA/percentage converted to a 0–100 normalised scale adjusted for institute tier, academic progression trend (improving grades across years scores better than declining), and backlog status (active backlogs reduce this pillar score significantly).</w:t>
      </w:r>
    </w:p>
    <w:p>
      <w:pPr>
        <w:pStyle w:val="ListParagraph"/>
        <w:numPr>
          <w:ilvl w:val="0"/>
          <w:numId w:val="2"/>
        </w:numPr>
        <w:spacing w:before="48" w:after="48"/>
      </w:pPr>
      <w:r>
        <w:rPr>
          <w:rFonts w:ascii="Arial" w:cs="Arial" w:eastAsia="Arial" w:hAnsi="Arial"/>
          <w:color w:val="0F172A"/>
          <w:sz w:val="22"/>
          <w:szCs w:val="22"/>
        </w:rPr>
        <w:t xml:space="preserve">Institute tier calibration: CGPA is normalised against the institute's known grading difficulty level — a 7.5 CGPA from an IIT is weighted differently from a 7.5 CGPA from an unranked college, reflecting real-world recruiter perception.</w:t>
      </w:r>
    </w:p>
    <w:p>
      <w:pPr>
        <w:pStyle w:val="ListParagraph"/>
        <w:numPr>
          <w:ilvl w:val="0"/>
          <w:numId w:val="2"/>
        </w:numPr>
        <w:spacing w:before="48" w:after="48"/>
      </w:pPr>
      <w:r>
        <w:rPr>
          <w:rFonts w:ascii="Arial" w:cs="Arial" w:eastAsia="Arial" w:hAnsi="Arial"/>
          <w:color w:val="0F172A"/>
          <w:sz w:val="22"/>
          <w:szCs w:val="22"/>
        </w:rPr>
        <w:t xml:space="preserve">Gap year handling: A documented, explained gap year (internship, family, health) does not penalise this pillar. An unexplained gap of more than 12 months reduces the pillar score by up to 10 points.</w:t>
      </w:r>
    </w:p>
    <w:p>
      <w:pPr>
        <w:pStyle w:val="ListParagraph"/>
        <w:numPr>
          <w:ilvl w:val="0"/>
          <w:numId w:val="2"/>
        </w:numPr>
        <w:spacing w:before="48" w:after="48"/>
      </w:pPr>
      <w:r>
        <w:rPr>
          <w:rFonts w:ascii="Arial" w:cs="Arial" w:eastAsia="Arial" w:hAnsi="Arial"/>
          <w:color w:val="0F172A"/>
          <w:sz w:val="22"/>
          <w:szCs w:val="22"/>
        </w:rPr>
        <w:t xml:space="preserve">Academic awards bonus: Ranked positions (university topper, department rank 1–3), scholarships, and academic awards documented in the profile add a bonus of up to 5 points to this pillar.</w:t>
      </w:r>
    </w:p>
    <w:p>
      <w:pPr>
        <w:pStyle w:val="Heading2"/>
        <w:spacing w:before="300" w:after="100"/>
      </w:pPr>
      <w:r>
        <w:rPr>
          <w:rFonts w:ascii="Arial" w:cs="Arial" w:eastAsia="Arial" w:hAnsi="Arial"/>
          <w:b/>
          <w:bCs/>
          <w:color w:val="1460A8"/>
          <w:sz w:val="28"/>
          <w:szCs w:val="28"/>
        </w:rPr>
        <w:t xml:space="preserve">Pillar 5: Practical Experience (Weight: 12%)</w:t>
      </w:r>
    </w:p>
    <w:p>
      <w:pPr>
        <w:pStyle w:val="ListParagraph"/>
        <w:numPr>
          <w:ilvl w:val="0"/>
          <w:numId w:val="2"/>
        </w:numPr>
        <w:spacing w:before="48" w:after="48"/>
      </w:pPr>
      <w:r>
        <w:rPr>
          <w:rFonts w:ascii="Arial" w:cs="Arial" w:eastAsia="Arial" w:hAnsi="Arial"/>
          <w:color w:val="0F172A"/>
          <w:sz w:val="22"/>
          <w:szCs w:val="22"/>
        </w:rPr>
        <w:t xml:space="preserve">Source: Work Experience, Projects, Certifications, and Achievements entries in the student's profile.</w:t>
      </w:r>
    </w:p>
    <w:p>
      <w:pPr>
        <w:pStyle w:val="ListParagraph"/>
        <w:numPr>
          <w:ilvl w:val="0"/>
          <w:numId w:val="2"/>
        </w:numPr>
        <w:spacing w:before="48" w:after="48"/>
      </w:pPr>
      <w:r>
        <w:rPr>
          <w:rFonts w:ascii="Arial" w:cs="Arial" w:eastAsia="Arial" w:hAnsi="Arial"/>
          <w:color w:val="0F172A"/>
          <w:sz w:val="22"/>
          <w:szCs w:val="22"/>
        </w:rPr>
        <w:t xml:space="preserve">Work experience component (50% of pillar): Internship and job history — scored by relevance to target role, duration, and organisation tier. Industry-relevant internships score highest; unrelated part-time work scores low but still positive.</w:t>
      </w:r>
    </w:p>
    <w:p>
      <w:pPr>
        <w:pStyle w:val="ListParagraph"/>
        <w:numPr>
          <w:ilvl w:val="0"/>
          <w:numId w:val="2"/>
        </w:numPr>
        <w:spacing w:before="48" w:after="48"/>
      </w:pPr>
      <w:r>
        <w:rPr>
          <w:rFonts w:ascii="Arial" w:cs="Arial" w:eastAsia="Arial" w:hAnsi="Arial"/>
          <w:color w:val="0F172A"/>
          <w:sz w:val="22"/>
          <w:szCs w:val="22"/>
        </w:rPr>
        <w:t xml:space="preserve">Projects component (30% of pillar): Portfolio projects — scored by technical depth (assessed from project description NLP and linked GitHub repository), evidence of real-world impact (quantifiable outcomes mentioned), and number of projects with verified external links.</w:t>
      </w:r>
    </w:p>
    <w:p>
      <w:pPr>
        <w:pStyle w:val="ListParagraph"/>
        <w:numPr>
          <w:ilvl w:val="0"/>
          <w:numId w:val="2"/>
        </w:numPr>
        <w:spacing w:before="48" w:after="48"/>
      </w:pPr>
      <w:r>
        <w:rPr>
          <w:rFonts w:ascii="Arial" w:cs="Arial" w:eastAsia="Arial" w:hAnsi="Arial"/>
          <w:color w:val="0F172A"/>
          <w:sz w:val="22"/>
          <w:szCs w:val="22"/>
        </w:rPr>
        <w:t xml:space="preserve">Certifications component (20% of pillar): Industry-recognised certifications from high-trust issuers (AWS, Google, Microsoft, NPTEL, CFA, SHRM) score highest. Completion certificates from free beginner courses score low but are still counted.</w:t>
      </w:r>
    </w:p>
    <w:p>
      <w:pPr>
        <w:pStyle w:val="ListParagraph"/>
        <w:numPr>
          <w:ilvl w:val="0"/>
          <w:numId w:val="2"/>
        </w:numPr>
        <w:spacing w:before="48" w:after="48"/>
      </w:pPr>
      <w:r>
        <w:rPr>
          <w:rFonts w:ascii="Arial" w:cs="Arial" w:eastAsia="Arial" w:hAnsi="Arial"/>
          <w:color w:val="0F172A"/>
          <w:sz w:val="22"/>
          <w:szCs w:val="22"/>
        </w:rPr>
        <w:t xml:space="preserve">Freshness weighting: Experience from the last 24 months receives full weight; experience older than 36 months receives 50% weight — reflecting recency bias in actual recruiting.</w:t>
      </w:r>
    </w:p>
    <w:p>
      <w:pPr>
        <w:pStyle w:val="Heading2"/>
        <w:spacing w:before="300" w:after="100"/>
      </w:pPr>
      <w:r>
        <w:rPr>
          <w:rFonts w:ascii="Arial" w:cs="Arial" w:eastAsia="Arial" w:hAnsi="Arial"/>
          <w:b/>
          <w:bCs/>
          <w:color w:val="1460A8"/>
          <w:sz w:val="28"/>
          <w:szCs w:val="28"/>
        </w:rPr>
        <w:t xml:space="preserve">Pillar 6: Profile Completeness &amp; Engagement (Weight: 8%)</w:t>
      </w:r>
    </w:p>
    <w:p>
      <w:pPr>
        <w:pStyle w:val="ListParagraph"/>
        <w:numPr>
          <w:ilvl w:val="0"/>
          <w:numId w:val="2"/>
        </w:numPr>
        <w:spacing w:before="48" w:after="48"/>
      </w:pPr>
      <w:r>
        <w:rPr>
          <w:rFonts w:ascii="Arial" w:cs="Arial" w:eastAsia="Arial" w:hAnsi="Arial"/>
          <w:color w:val="0F172A"/>
          <w:sz w:val="22"/>
          <w:szCs w:val="22"/>
        </w:rPr>
        <w:t xml:space="preserve">Source: Profile completion data, platform engagement logs, and learning activity data.</w:t>
      </w:r>
    </w:p>
    <w:p>
      <w:pPr>
        <w:pStyle w:val="ListParagraph"/>
        <w:numPr>
          <w:ilvl w:val="0"/>
          <w:numId w:val="2"/>
        </w:numPr>
        <w:spacing w:before="48" w:after="48"/>
      </w:pPr>
      <w:r>
        <w:rPr>
          <w:rFonts w:ascii="Arial" w:cs="Arial" w:eastAsia="Arial" w:hAnsi="Arial"/>
          <w:color w:val="0F172A"/>
          <w:sz w:val="22"/>
          <w:szCs w:val="22"/>
        </w:rPr>
        <w:t xml:space="preserve">Profile completeness component (50% of pillar): Percentage of high-value profile fields completed — weighted by recruiter view frequency. Profile photo, headline, education details, and skills are highest weight; optional fields like blood group are excluded.</w:t>
      </w:r>
    </w:p>
    <w:p>
      <w:pPr>
        <w:pStyle w:val="ListParagraph"/>
        <w:numPr>
          <w:ilvl w:val="0"/>
          <w:numId w:val="2"/>
        </w:numPr>
        <w:spacing w:before="48" w:after="48"/>
      </w:pPr>
      <w:r>
        <w:rPr>
          <w:rFonts w:ascii="Arial" w:cs="Arial" w:eastAsia="Arial" w:hAnsi="Arial"/>
          <w:color w:val="0F172A"/>
          <w:sz w:val="22"/>
          <w:szCs w:val="22"/>
        </w:rPr>
        <w:t xml:space="preserve">Platform engagement component (30% of pillar): Recency and breadth of platform activity — students who have been active on the platform within the last 30 days, across multiple modules (learning, assessments, Dojo), score higher than students who completed an assessment once and never returned.</w:t>
      </w:r>
    </w:p>
    <w:p>
      <w:pPr>
        <w:pStyle w:val="ListParagraph"/>
        <w:numPr>
          <w:ilvl w:val="0"/>
          <w:numId w:val="2"/>
        </w:numPr>
        <w:spacing w:before="48" w:after="48"/>
      </w:pPr>
      <w:r>
        <w:rPr>
          <w:rFonts w:ascii="Arial" w:cs="Arial" w:eastAsia="Arial" w:hAnsi="Arial"/>
          <w:color w:val="0F172A"/>
          <w:sz w:val="22"/>
          <w:szCs w:val="22"/>
        </w:rPr>
        <w:t xml:space="preserve">Assessment coverage component (20% of pillar): Percentage of the platform's core assessments completed by the student. Students who have completed the Intelligence Assessment, at least 5 Skill Assessments, and the Behaviour Analysis receive full marks on this sub-component.</w:t>
      </w:r>
    </w:p>
    <w:p>
      <w:pPr>
        <w:pStyle w:val="ListParagraph"/>
        <w:numPr>
          <w:ilvl w:val="0"/>
          <w:numId w:val="2"/>
        </w:numPr>
        <w:spacing w:before="48" w:after="48"/>
      </w:pPr>
      <w:r>
        <w:rPr>
          <w:rFonts w:ascii="Arial" w:cs="Arial" w:eastAsia="Arial" w:hAnsi="Arial"/>
          <w:color w:val="0F172A"/>
          <w:sz w:val="22"/>
          <w:szCs w:val="22"/>
        </w:rPr>
        <w:t xml:space="preserve">This pillar has the lowest weight by design — it should not reward activity for its own sake, but a moderately low score here signals to students that completing their profile and staying active will improve their overall score.</w:t>
      </w:r>
    </w:p>
    <w:p>
      <w:pPr>
        <w:pStyle w:val="Heading2"/>
        <w:spacing w:before="300" w:after="100"/>
      </w:pPr>
      <w:r>
        <w:rPr>
          <w:rFonts w:ascii="Arial" w:cs="Arial" w:eastAsia="Arial" w:hAnsi="Arial"/>
          <w:b/>
          <w:bCs/>
          <w:color w:val="1460A8"/>
          <w:sz w:val="28"/>
          <w:szCs w:val="28"/>
        </w:rPr>
        <w:t xml:space="preserve">Composite Score Aggregation &amp; Display</w:t>
      </w:r>
    </w:p>
    <w:p>
      <w:pPr>
        <w:pStyle w:val="ListParagraph"/>
        <w:numPr>
          <w:ilvl w:val="0"/>
          <w:numId w:val="2"/>
        </w:numPr>
        <w:spacing w:before="48" w:after="48"/>
      </w:pPr>
      <w:r>
        <w:rPr>
          <w:rFonts w:ascii="Arial" w:cs="Arial" w:eastAsia="Arial" w:hAnsi="Arial"/>
          <w:color w:val="0F172A"/>
          <w:sz w:val="22"/>
          <w:szCs w:val="22"/>
        </w:rPr>
        <w:t xml:space="preserve">Employability Score = Σ (Pillar Score × Pillar Weight) — computed in real time from live profile data.</w:t>
      </w:r>
    </w:p>
    <w:p>
      <w:pPr>
        <w:pStyle w:val="ListParagraph"/>
        <w:numPr>
          <w:ilvl w:val="0"/>
          <w:numId w:val="2"/>
        </w:numPr>
        <w:spacing w:before="48" w:after="48"/>
      </w:pPr>
      <w:r>
        <w:rPr>
          <w:rFonts w:ascii="Arial" w:cs="Arial" w:eastAsia="Arial" w:hAnsi="Arial"/>
          <w:color w:val="0F172A"/>
          <w:sz w:val="22"/>
          <w:szCs w:val="22"/>
        </w:rPr>
        <w:t xml:space="preserve">Score bands and labels: 0–39 (Not Placement-Ready — significant development needed), 40–54 (Developing Readiness), 55–69 (Approaching Placement-Ready), 70–79 (Placement-Ready), 80–89 (Competitive), 90–100 (Highly Competitive).</w:t>
      </w:r>
    </w:p>
    <w:p>
      <w:pPr>
        <w:pStyle w:val="ListParagraph"/>
        <w:numPr>
          <w:ilvl w:val="0"/>
          <w:numId w:val="2"/>
        </w:numPr>
        <w:spacing w:before="48" w:after="48"/>
      </w:pPr>
      <w:r>
        <w:rPr>
          <w:rFonts w:ascii="Arial" w:cs="Arial" w:eastAsia="Arial" w:hAnsi="Arial"/>
          <w:color w:val="0F172A"/>
          <w:sz w:val="22"/>
          <w:szCs w:val="22"/>
        </w:rPr>
        <w:t xml:space="preserve">Display on student dashboard: Large circular gauge showing the overall score, with 6 pillar mini-bars surrounding it. Each pillar mini-bar is colour-coded Red/Amber/Green by score band.</w:t>
      </w:r>
    </w:p>
    <w:p>
      <w:pPr>
        <w:pStyle w:val="ListParagraph"/>
        <w:numPr>
          <w:ilvl w:val="0"/>
          <w:numId w:val="2"/>
        </w:numPr>
        <w:spacing w:before="48" w:after="48"/>
      </w:pPr>
      <w:r>
        <w:rPr>
          <w:rFonts w:ascii="Arial" w:cs="Arial" w:eastAsia="Arial" w:hAnsi="Arial"/>
          <w:color w:val="0F172A"/>
          <w:sz w:val="22"/>
          <w:szCs w:val="22"/>
        </w:rPr>
        <w:t xml:space="preserve">Display on recruiter profile view: The overall score is shown as a large badge with band label. A 'View Breakdown' button expands to show the six pillar scores and the evidence summary for each.</w:t>
      </w:r>
    </w:p>
    <w:p>
      <w:pPr>
        <w:pStyle w:val="ListParagraph"/>
        <w:numPr>
          <w:ilvl w:val="0"/>
          <w:numId w:val="2"/>
        </w:numPr>
        <w:spacing w:before="48" w:after="48"/>
      </w:pPr>
      <w:r>
        <w:rPr>
          <w:rFonts w:ascii="Arial" w:cs="Arial" w:eastAsia="Arial" w:hAnsi="Arial"/>
          <w:color w:val="0F172A"/>
          <w:sz w:val="22"/>
          <w:szCs w:val="22"/>
        </w:rPr>
        <w:t xml:space="preserve">Score percentile context: Alongside the raw score, the student sees their percentile rank within their cohort (same degree, same batch year) — e.g., 'Your Employability Score of 74 places you in the top 22% of BE Computer Engineering 2026 batch students on the platform.'</w:t>
      </w:r>
    </w:p>
    <w:p>
      <w:pPr>
        <w:pStyle w:val="Heading2"/>
        <w:spacing w:before="300" w:after="100"/>
      </w:pPr>
      <w:r>
        <w:rPr>
          <w:rFonts w:ascii="Arial" w:cs="Arial" w:eastAsia="Arial" w:hAnsi="Arial"/>
          <w:b/>
          <w:bCs/>
          <w:color w:val="1460A8"/>
          <w:sz w:val="28"/>
          <w:szCs w:val="28"/>
        </w:rPr>
        <w:t xml:space="preserve">Score Improvement Guidance</w:t>
      </w:r>
    </w:p>
    <w:p>
      <w:pPr>
        <w:pStyle w:val="ListParagraph"/>
        <w:numPr>
          <w:ilvl w:val="0"/>
          <w:numId w:val="2"/>
        </w:numPr>
        <w:spacing w:before="48" w:after="48"/>
      </w:pPr>
      <w:r>
        <w:rPr>
          <w:rFonts w:ascii="Arial" w:cs="Arial" w:eastAsia="Arial" w:hAnsi="Arial"/>
          <w:color w:val="0F172A"/>
          <w:sz w:val="22"/>
          <w:szCs w:val="22"/>
        </w:rPr>
        <w:t xml:space="preserve">After every score update, the student sees a 'How to Improve' panel showing the top 3 highest-ROI actions they can take to increase their score — ranked by the expected score increase per unit of effort.</w:t>
      </w:r>
    </w:p>
    <w:p>
      <w:pPr>
        <w:pStyle w:val="ListParagraph"/>
        <w:numPr>
          <w:ilvl w:val="0"/>
          <w:numId w:val="2"/>
        </w:numPr>
        <w:spacing w:before="48" w:after="48"/>
      </w:pPr>
      <w:r>
        <w:rPr>
          <w:rFonts w:ascii="Arial" w:cs="Arial" w:eastAsia="Arial" w:hAnsi="Arial"/>
          <w:color w:val="0F172A"/>
          <w:sz w:val="22"/>
          <w:szCs w:val="22"/>
        </w:rPr>
        <w:t xml:space="preserve">Each action is specific and linked: not 'improve your skills' but 'Complete the Python Intermediate Assessment — estimated +3.2 points to your Technical Skill Depth pillar.'</w:t>
      </w:r>
    </w:p>
    <w:p>
      <w:pPr>
        <w:pStyle w:val="ListParagraph"/>
        <w:numPr>
          <w:ilvl w:val="0"/>
          <w:numId w:val="2"/>
        </w:numPr>
        <w:spacing w:before="48" w:after="48"/>
      </w:pPr>
      <w:r>
        <w:rPr>
          <w:rFonts w:ascii="Arial" w:cs="Arial" w:eastAsia="Arial" w:hAnsi="Arial"/>
          <w:color w:val="0F172A"/>
          <w:sz w:val="22"/>
          <w:szCs w:val="22"/>
        </w:rPr>
        <w:t xml:space="preserve">Score simulator: Students can use an interactive simulator to model 'what-if' scenarios — e.g., 'What would my score be if I completed the AWS Cloud Practitioner certification?' — showing the projected impact before committing effort.</w:t>
      </w:r>
    </w:p>
    <w:p>
      <w:pPr>
        <w:pStyle w:val="ListParagraph"/>
        <w:numPr>
          <w:ilvl w:val="0"/>
          <w:numId w:val="2"/>
        </w:numPr>
        <w:spacing w:before="48" w:after="48"/>
      </w:pPr>
      <w:r>
        <w:rPr>
          <w:rFonts w:ascii="Arial" w:cs="Arial" w:eastAsia="Arial" w:hAnsi="Arial"/>
          <w:color w:val="0F172A"/>
          <w:sz w:val="22"/>
          <w:szCs w:val="22"/>
        </w:rPr>
        <w:t xml:space="preserve">Placement coordinator view: Coordinators see a score distribution histogram for their entire enrolled cohort, with drill-down to identify which pillars are weakest across the cohort — enabling targeted training investment decisions.</w:t>
      </w:r>
    </w:p>
    <w:p>
      <w:pPr>
        <w:pBdr>
          <w:bottom w:val="single" w:color="0C2D57" w:sz="6" w:space="1"/>
        </w:pBdr>
        <w:spacing w:before="220" w:after="220"/>
      </w:pPr>
    </w:p>
    <w:p>
      <w:pPr>
        <w:pageBreakBefore/>
      </w:pPr>
    </w:p>
    <w:p>
      <w:pPr>
        <w:pStyle w:val="Heading1"/>
        <w:spacing w:before="500" w:after="160"/>
      </w:pPr>
      <w:r>
        <w:rPr>
          <w:rFonts w:ascii="Arial" w:cs="Arial" w:eastAsia="Arial" w:hAnsi="Arial"/>
          <w:b/>
          <w:bCs/>
          <w:color w:val="0C2D57"/>
          <w:sz w:val="36"/>
          <w:szCs w:val="36"/>
        </w:rPr>
        <w:t xml:space="preserve">Feature J.4: Career Path Suggestions</w:t>
      </w:r>
    </w:p>
    <w:p>
      <w:pPr>
        <w:pBdr>
          <w:bottom w:val="single" w:color="1460A8" w:sz="6" w:space="1"/>
        </w:pBdr>
        <w:spacing w:before="220" w:after="220"/>
      </w:pPr>
    </w:p>
    <w:p>
      <w:pPr>
        <w:pStyle w:val="Heading2"/>
        <w:spacing w:before="300" w:after="100"/>
      </w:pPr>
      <w:r>
        <w:rPr>
          <w:rFonts w:ascii="Arial" w:cs="Arial" w:eastAsia="Arial" w:hAnsi="Arial"/>
          <w:b/>
          <w:bCs/>
          <w:color w:val="1460A8"/>
          <w:sz w:val="28"/>
          <w:szCs w:val="28"/>
        </w:rPr>
        <w:t xml:space="preserve">Overview</w:t>
      </w:r>
    </w:p>
    <w:p>
      <w:pPr>
        <w:spacing w:before="65" w:after="65"/>
      </w:pPr>
      <w:r>
        <w:rPr>
          <w:rFonts w:ascii="Arial" w:cs="Arial" w:eastAsia="Arial" w:hAnsi="Arial"/>
          <w:color w:val="0F172A"/>
          <w:sz w:val="22"/>
          <w:szCs w:val="22"/>
        </w:rPr>
        <w:t xml:space="preserve">Career Path Suggestions is the long-horizon strategic guidance feature of the Career Guidance module. While the Career Recommendation Engine (Feature J.1) identifies which career roles a student should target for their immediate placement, Career Path Suggestions maps the 3–10 year trajectory beyond the first job — showing the student where each career starting point leads, what transitions are possible, how skills compound across moves, and what choices made today have the largest positive impact on long-term career trajectory and earning potential. It transforms the student's perspective from 'what job do I get now?' to 'what career am I building?'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Feature ID</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J.4</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Module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Career Guidance</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Type</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Long-Horizon Career Trajectory Visualisation &amp; Strategic Planning System</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Data Sources</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Career Transition Data (LinkedIn/public datasets), CTC Progression Models, Skill Compounding Analysis, Alumni Outcome Data, Industry Growth Projections</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Output</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Multi-Stage Career Path Maps, Transition Probability Data, Skill Compounding Plans, Milestone Checkpoints</w:t>
            </w:r>
          </w:p>
        </w:tc>
      </w:tr>
      <w:tr>
        <w:tc>
          <w:tcPr>
            <w:tcW w:type="dxa" w:w="2800"/>
            <w:tcBorders>
              <w:top w:val="single" w:color="9DBAD8" w:sz="1"/>
              <w:left w:val="single" w:color="9DBAD8" w:sz="1"/>
              <w:bottom w:val="single" w:color="9DBAD8" w:sz="1"/>
              <w:right w:val="single" w:color="9DBAD8" w:sz="1"/>
            </w:tcBorders>
            <w:shd w:fill="EAF2FF" w:val="clear"/>
            <w:tcMar>
              <w:top w:type="dxa" w:w="90"/>
              <w:left w:type="dxa" w:w="150"/>
              <w:bottom w:type="dxa" w:w="90"/>
              <w:right w:type="dxa" w:w="150"/>
            </w:tcMar>
          </w:tcPr>
          <w:p>
            <w:r>
              <w:rPr>
                <w:rFonts w:ascii="Arial" w:cs="Arial" w:eastAsia="Arial" w:hAnsi="Arial"/>
                <w:b/>
                <w:bCs/>
                <w:color w:val="0C2D57"/>
                <w:sz w:val="20"/>
                <w:szCs w:val="20"/>
              </w:rPr>
              <w:t xml:space="preserve">Priority</w:t>
            </w:r>
          </w:p>
        </w:tc>
        <w:tc>
          <w:tcPr>
            <w:tcW w:type="dxa" w:w="6560"/>
            <w:tcBorders>
              <w:top w:val="single" w:color="9DBAD8" w:sz="1"/>
              <w:left w:val="single" w:color="9DBAD8" w:sz="1"/>
              <w:bottom w:val="single" w:color="9DBAD8" w:sz="1"/>
              <w:right w:val="single" w:color="9DBAD8" w:sz="1"/>
            </w:tcBorders>
            <w:tcMar>
              <w:top w:type="dxa" w:w="90"/>
              <w:left w:type="dxa" w:w="150"/>
              <w:bottom w:type="dxa" w:w="90"/>
              <w:right w:type="dxa" w:w="150"/>
            </w:tcMar>
          </w:tcPr>
          <w:p>
            <w:r>
              <w:rPr>
                <w:rFonts w:ascii="Arial" w:cs="Arial" w:eastAsia="Arial" w:hAnsi="Arial"/>
                <w:color w:val="0F172A"/>
                <w:sz w:val="20"/>
                <w:szCs w:val="20"/>
              </w:rPr>
              <w:t xml:space="preserve">High — Long-Term Student Value &amp; Platform Retention Driver</w:t>
            </w:r>
          </w:p>
        </w:tc>
      </w:tr>
    </w:tbl>
    <w:p>
      <w:pPr>
        <w:pStyle w:val="Heading2"/>
        <w:spacing w:before="300" w:after="100"/>
      </w:pPr>
      <w:r>
        <w:rPr>
          <w:rFonts w:ascii="Arial" w:cs="Arial" w:eastAsia="Arial" w:hAnsi="Arial"/>
          <w:b/>
          <w:bCs/>
          <w:color w:val="1460A8"/>
          <w:sz w:val="28"/>
          <w:szCs w:val="28"/>
        </w:rPr>
        <w:t xml:space="preserve">Detailed Description</w:t>
      </w:r>
    </w:p>
    <w:p>
      <w:pPr>
        <w:spacing w:before="65" w:after="65"/>
      </w:pPr>
      <w:r>
        <w:rPr>
          <w:rFonts w:ascii="Arial" w:cs="Arial" w:eastAsia="Arial" w:hAnsi="Arial"/>
          <w:color w:val="0F172A"/>
          <w:sz w:val="22"/>
          <w:szCs w:val="22"/>
        </w:rPr>
        <w:t xml:space="preserve">Career Path Suggestions operates from a career graph — a directed network of roles connected by historically documented transition patterns, with edges weighted by transition frequency, typical time between transitions, skill requirements for each transition, and compensation change associated with each move. The student's current position on this graph (their likely starting role, based on the Career Recommendation Engine output) is used as the origin point, and the system maps forward across 3, 5, and 10-year horizons to show the branching tree of plausible trajectories — with probabilities, required skills, and landmark milestones at each node.</w:t>
      </w:r>
    </w:p>
    <w:p>
      <w:pPr>
        <w:pStyle w:val="Heading2"/>
        <w:spacing w:before="300" w:after="100"/>
      </w:pPr>
      <w:r>
        <w:rPr>
          <w:rFonts w:ascii="Arial" w:cs="Arial" w:eastAsia="Arial" w:hAnsi="Arial"/>
          <w:b/>
          <w:bCs/>
          <w:color w:val="1460A8"/>
          <w:sz w:val="28"/>
          <w:szCs w:val="28"/>
        </w:rPr>
        <w:t xml:space="preserve">Career Graph Architecture</w:t>
      </w:r>
    </w:p>
    <w:p>
      <w:pPr>
        <w:pStyle w:val="ListParagraph"/>
        <w:numPr>
          <w:ilvl w:val="0"/>
          <w:numId w:val="2"/>
        </w:numPr>
        <w:spacing w:before="48" w:after="48"/>
      </w:pPr>
      <w:r>
        <w:rPr>
          <w:rFonts w:ascii="Arial" w:cs="Arial" w:eastAsia="Arial" w:hAnsi="Arial"/>
          <w:color w:val="0F172A"/>
          <w:sz w:val="22"/>
          <w:szCs w:val="22"/>
        </w:rPr>
        <w:t xml:space="preserve">Role nodes: 500+ distinct role nodes covering entry-level through C-suite across technology, business, finance, engineering, healthcare management, design, and policy sectors.</w:t>
      </w:r>
    </w:p>
    <w:p>
      <w:pPr>
        <w:pStyle w:val="ListParagraph"/>
        <w:numPr>
          <w:ilvl w:val="0"/>
          <w:numId w:val="2"/>
        </w:numPr>
        <w:spacing w:before="48" w:after="48"/>
      </w:pPr>
      <w:r>
        <w:rPr>
          <w:rFonts w:ascii="Arial" w:cs="Arial" w:eastAsia="Arial" w:hAnsi="Arial"/>
          <w:color w:val="0F172A"/>
          <w:sz w:val="22"/>
          <w:szCs w:val="22"/>
        </w:rPr>
        <w:t xml:space="preserve">Transition edges: Each edge between two role nodes represents a documented career transition, with attributes: transition frequency (how commonly professionals make this move), typical time in prior role before transitioning (average tenure before the move), skill delta (new skills required for the transition), and compensation change (median CTC change associated with the move).</w:t>
      </w:r>
    </w:p>
    <w:p>
      <w:pPr>
        <w:pStyle w:val="ListParagraph"/>
        <w:numPr>
          <w:ilvl w:val="0"/>
          <w:numId w:val="2"/>
        </w:numPr>
        <w:spacing w:before="48" w:after="48"/>
      </w:pPr>
      <w:r>
        <w:rPr>
          <w:rFonts w:ascii="Arial" w:cs="Arial" w:eastAsia="Arial" w:hAnsi="Arial"/>
          <w:color w:val="0F172A"/>
          <w:sz w:val="22"/>
          <w:szCs w:val="22"/>
        </w:rPr>
        <w:t xml:space="preserve">Transition data sources: Anonymised LinkedIn career history data (via public datasets), alumni outcome surveys, recruiter-reported placement progression data, and industry compensation benchmarking reports.</w:t>
      </w:r>
    </w:p>
    <w:p>
      <w:pPr>
        <w:pStyle w:val="ListParagraph"/>
        <w:numPr>
          <w:ilvl w:val="0"/>
          <w:numId w:val="2"/>
        </w:numPr>
        <w:spacing w:before="48" w:after="48"/>
      </w:pPr>
      <w:r>
        <w:rPr>
          <w:rFonts w:ascii="Arial" w:cs="Arial" w:eastAsia="Arial" w:hAnsi="Arial"/>
          <w:color w:val="0F172A"/>
          <w:sz w:val="22"/>
          <w:szCs w:val="22"/>
        </w:rPr>
        <w:t xml:space="preserve">Directed graph structure: The graph is directed (transitions have a typical direction — not all moves are symmetric) and probabilistic — each edge carries a transition probability, enabling the engine to compute the likelihood of each forward trajectory.</w:t>
      </w:r>
    </w:p>
    <w:p>
      <w:pPr>
        <w:pStyle w:val="ListParagraph"/>
        <w:numPr>
          <w:ilvl w:val="0"/>
          <w:numId w:val="2"/>
        </w:numPr>
        <w:spacing w:before="48" w:after="48"/>
      </w:pPr>
      <w:r>
        <w:rPr>
          <w:rFonts w:ascii="Arial" w:cs="Arial" w:eastAsia="Arial" w:hAnsi="Arial"/>
          <w:color w:val="0F172A"/>
          <w:sz w:val="22"/>
          <w:szCs w:val="22"/>
        </w:rPr>
        <w:t xml:space="preserve">Graph updates: Transition data is refreshed quarterly with new alumni outcome data and market movement observations.</w:t>
      </w:r>
    </w:p>
    <w:p>
      <w:pPr>
        <w:pStyle w:val="Heading2"/>
        <w:spacing w:before="300" w:after="100"/>
      </w:pPr>
      <w:r>
        <w:rPr>
          <w:rFonts w:ascii="Arial" w:cs="Arial" w:eastAsia="Arial" w:hAnsi="Arial"/>
          <w:b/>
          <w:bCs/>
          <w:color w:val="1460A8"/>
          <w:sz w:val="28"/>
          <w:szCs w:val="28"/>
        </w:rPr>
        <w:t xml:space="preserve">Career Path Visualisation</w:t>
      </w:r>
    </w:p>
    <w:p>
      <w:pPr>
        <w:pStyle w:val="ListParagraph"/>
        <w:numPr>
          <w:ilvl w:val="0"/>
          <w:numId w:val="2"/>
        </w:numPr>
        <w:spacing w:before="48" w:after="48"/>
      </w:pPr>
      <w:r>
        <w:rPr>
          <w:rFonts w:ascii="Arial" w:cs="Arial" w:eastAsia="Arial" w:hAnsi="Arial"/>
          <w:color w:val="0F172A"/>
          <w:sz w:val="22"/>
          <w:szCs w:val="22"/>
        </w:rPr>
        <w:t xml:space="preserve">Tree-map visualisation: The primary display is an interactive tree-map starting from the student's recommended entry role. The first level shows the most common 3-year next moves from that role. Clicking any next-move node expands to show 5-year transitions from that position, and again to 10 years.</w:t>
      </w:r>
    </w:p>
    <w:p>
      <w:pPr>
        <w:pStyle w:val="ListParagraph"/>
        <w:numPr>
          <w:ilvl w:val="0"/>
          <w:numId w:val="2"/>
        </w:numPr>
        <w:spacing w:before="48" w:after="48"/>
      </w:pPr>
      <w:r>
        <w:rPr>
          <w:rFonts w:ascii="Arial" w:cs="Arial" w:eastAsia="Arial" w:hAnsi="Arial"/>
          <w:color w:val="0F172A"/>
          <w:sz w:val="22"/>
          <w:szCs w:val="22"/>
        </w:rPr>
        <w:t xml:space="preserve">Path probability indicators: Each branch in the tree is annotated with a transition probability percentage — showing how common that particular move is among professionals who started from the same entry point.</w:t>
      </w:r>
    </w:p>
    <w:p>
      <w:pPr>
        <w:pStyle w:val="ListParagraph"/>
        <w:numPr>
          <w:ilvl w:val="0"/>
          <w:numId w:val="2"/>
        </w:numPr>
        <w:spacing w:before="48" w:after="48"/>
      </w:pPr>
      <w:r>
        <w:rPr>
          <w:rFonts w:ascii="Arial" w:cs="Arial" w:eastAsia="Arial" w:hAnsi="Arial"/>
          <w:color w:val="0F172A"/>
          <w:sz w:val="22"/>
          <w:szCs w:val="22"/>
        </w:rPr>
        <w:t xml:space="preserve">Compensation trajectory overlay: A toggle shows estimated median CTC at each node — allowing students to see how compensation evolves along different trajectory branches.</w:t>
      </w:r>
    </w:p>
    <w:p>
      <w:pPr>
        <w:pStyle w:val="ListParagraph"/>
        <w:numPr>
          <w:ilvl w:val="0"/>
          <w:numId w:val="2"/>
        </w:numPr>
        <w:spacing w:before="48" w:after="48"/>
      </w:pPr>
      <w:r>
        <w:rPr>
          <w:rFonts w:ascii="Arial" w:cs="Arial" w:eastAsia="Arial" w:hAnsi="Arial"/>
          <w:color w:val="0F172A"/>
          <w:sz w:val="22"/>
          <w:szCs w:val="22"/>
        </w:rPr>
        <w:t xml:space="preserve">Highlighted pathways: 3 specific high-value pathways are pre-highlighted for each student based on their profile fit — the 'High Growth Path' (fastest compensation growth), the 'High Satisfaction Path' (best personality fit at senior levels), and the 'High Stability Path' (most consistent progression, lowest volatility).</w:t>
      </w:r>
    </w:p>
    <w:p>
      <w:pPr>
        <w:pStyle w:val="ListParagraph"/>
        <w:numPr>
          <w:ilvl w:val="0"/>
          <w:numId w:val="2"/>
        </w:numPr>
        <w:spacing w:before="48" w:after="48"/>
      </w:pPr>
      <w:r>
        <w:rPr>
          <w:rFonts w:ascii="Arial" w:cs="Arial" w:eastAsia="Arial" w:hAnsi="Arial"/>
          <w:color w:val="0F172A"/>
          <w:sz w:val="22"/>
          <w:szCs w:val="22"/>
        </w:rPr>
        <w:t xml:space="preserve">Personalised probability boost: The transition probabilities shown to the student are adjusted based on their specific profile. A student with strong analytical skills sees higher probability annotations on analytical senior roles than a student with a more generalist profile — making the probabilities personalised, not just population averages.</w:t>
      </w:r>
    </w:p>
    <w:p>
      <w:pPr>
        <w:pStyle w:val="Heading2"/>
        <w:spacing w:before="300" w:after="100"/>
      </w:pPr>
      <w:r>
        <w:rPr>
          <w:rFonts w:ascii="Arial" w:cs="Arial" w:eastAsia="Arial" w:hAnsi="Arial"/>
          <w:b/>
          <w:bCs/>
          <w:color w:val="1460A8"/>
          <w:sz w:val="28"/>
          <w:szCs w:val="28"/>
        </w:rPr>
        <w:t xml:space="preserve">Milestone Checkpoint System</w:t>
      </w:r>
    </w:p>
    <w:p>
      <w:pPr>
        <w:pStyle w:val="ListParagraph"/>
        <w:numPr>
          <w:ilvl w:val="0"/>
          <w:numId w:val="2"/>
        </w:numPr>
        <w:spacing w:before="48" w:after="48"/>
      </w:pPr>
      <w:r>
        <w:rPr>
          <w:rFonts w:ascii="Arial" w:cs="Arial" w:eastAsia="Arial" w:hAnsi="Arial"/>
          <w:color w:val="0F172A"/>
          <w:sz w:val="22"/>
          <w:szCs w:val="22"/>
        </w:rPr>
        <w:t xml:space="preserve">Each significant role transition on the career graph is associated with a Milestone Checkpoint — a structured set of skills, experiences, and accomplishments that the student should accumulate before making that transition.</w:t>
      </w:r>
    </w:p>
    <w:p>
      <w:pPr>
        <w:pStyle w:val="ListParagraph"/>
        <w:numPr>
          <w:ilvl w:val="0"/>
          <w:numId w:val="2"/>
        </w:numPr>
        <w:spacing w:before="48" w:after="48"/>
      </w:pPr>
      <w:r>
        <w:rPr>
          <w:rFonts w:ascii="Arial" w:cs="Arial" w:eastAsia="Arial" w:hAnsi="Arial"/>
          <w:color w:val="0F172A"/>
          <w:sz w:val="22"/>
          <w:szCs w:val="22"/>
        </w:rPr>
        <w:t xml:space="preserve">Year-1 Checkpoint (First 12 months in first role): Technical skills to deepen, soft skills to develop, certifications to complete, and performance metrics to target.</w:t>
      </w:r>
    </w:p>
    <w:p>
      <w:pPr>
        <w:pStyle w:val="ListParagraph"/>
        <w:numPr>
          <w:ilvl w:val="0"/>
          <w:numId w:val="2"/>
        </w:numPr>
        <w:spacing w:before="48" w:after="48"/>
      </w:pPr>
      <w:r>
        <w:rPr>
          <w:rFonts w:ascii="Arial" w:cs="Arial" w:eastAsia="Arial" w:hAnsi="Arial"/>
          <w:color w:val="0F172A"/>
          <w:sz w:val="22"/>
          <w:szCs w:val="22"/>
        </w:rPr>
        <w:t xml:space="preserve">Year-3 Checkpoint (First transition readiness): Skills required for the next-role transition, experience signals that make the student competitive (specific project types, team sizes managed, technologies used), and professional network development targets.</w:t>
      </w:r>
    </w:p>
    <w:p>
      <w:pPr>
        <w:pStyle w:val="ListParagraph"/>
        <w:numPr>
          <w:ilvl w:val="0"/>
          <w:numId w:val="2"/>
        </w:numPr>
        <w:spacing w:before="48" w:after="48"/>
      </w:pPr>
      <w:r>
        <w:rPr>
          <w:rFonts w:ascii="Arial" w:cs="Arial" w:eastAsia="Arial" w:hAnsi="Arial"/>
          <w:color w:val="0F172A"/>
          <w:sz w:val="22"/>
          <w:szCs w:val="22"/>
        </w:rPr>
        <w:t xml:space="preserve">Year-5 Checkpoint (Mid-career positioning): Strategic choices — specialisation vs. generalisation, management track vs. individual contributor track, domain expertise vs. cross-functional breadth — with the platform providing data on what each choice typically leads to.</w:t>
      </w:r>
    </w:p>
    <w:p>
      <w:pPr>
        <w:pStyle w:val="ListParagraph"/>
        <w:numPr>
          <w:ilvl w:val="0"/>
          <w:numId w:val="2"/>
        </w:numPr>
        <w:spacing w:before="48" w:after="48"/>
      </w:pPr>
      <w:r>
        <w:rPr>
          <w:rFonts w:ascii="Arial" w:cs="Arial" w:eastAsia="Arial" w:hAnsi="Arial"/>
          <w:color w:val="0F172A"/>
          <w:sz w:val="22"/>
          <w:szCs w:val="22"/>
        </w:rPr>
        <w:t xml:space="preserve">Milestone progress tracking: As students enter work experience, certifications, and achievements into their profile over time, the platform automatically maps their progress against the relevant career milestones — showing how on-track they are for their target path.</w:t>
      </w:r>
    </w:p>
    <w:p>
      <w:pPr>
        <w:pStyle w:val="ListParagraph"/>
        <w:numPr>
          <w:ilvl w:val="0"/>
          <w:numId w:val="2"/>
        </w:numPr>
        <w:spacing w:before="48" w:after="48"/>
      </w:pPr>
      <w:r>
        <w:rPr>
          <w:rFonts w:ascii="Arial" w:cs="Arial" w:eastAsia="Arial" w:hAnsi="Arial"/>
          <w:color w:val="0F172A"/>
          <w:sz w:val="22"/>
          <w:szCs w:val="22"/>
        </w:rPr>
        <w:t xml:space="preserve">Re-engagement: The milestone system is designed to bring students back to the platform post-placement — checking in at 12-month intervals to update their profile and receive refreshed milestone guidance.</w:t>
      </w:r>
    </w:p>
    <w:p>
      <w:pPr>
        <w:pStyle w:val="Heading2"/>
        <w:spacing w:before="300" w:after="100"/>
      </w:pPr>
      <w:r>
        <w:rPr>
          <w:rFonts w:ascii="Arial" w:cs="Arial" w:eastAsia="Arial" w:hAnsi="Arial"/>
          <w:b/>
          <w:bCs/>
          <w:color w:val="1460A8"/>
          <w:sz w:val="28"/>
          <w:szCs w:val="28"/>
        </w:rPr>
        <w:t xml:space="preserve">Skill Compounding Plans</w:t>
      </w:r>
    </w:p>
    <w:p>
      <w:pPr>
        <w:pStyle w:val="ListParagraph"/>
        <w:numPr>
          <w:ilvl w:val="0"/>
          <w:numId w:val="2"/>
        </w:numPr>
        <w:spacing w:before="48" w:after="48"/>
      </w:pPr>
      <w:r>
        <w:rPr>
          <w:rFonts w:ascii="Arial" w:cs="Arial" w:eastAsia="Arial" w:hAnsi="Arial"/>
          <w:color w:val="0F172A"/>
          <w:sz w:val="22"/>
          <w:szCs w:val="22"/>
        </w:rPr>
        <w:t xml:space="preserve">Skill compounding: Some skill combinations grow exponentially more valuable as they are combined across a career — the platform identifies these compounding skill combinations for the student's chosen path.</w:t>
      </w:r>
    </w:p>
    <w:p>
      <w:pPr>
        <w:pStyle w:val="ListParagraph"/>
        <w:numPr>
          <w:ilvl w:val="0"/>
          <w:numId w:val="2"/>
        </w:numPr>
        <w:spacing w:before="48" w:after="48"/>
      </w:pPr>
      <w:r>
        <w:rPr>
          <w:rFonts w:ascii="Arial" w:cs="Arial" w:eastAsia="Arial" w:hAnsi="Arial"/>
          <w:color w:val="0F172A"/>
          <w:sz w:val="22"/>
          <w:szCs w:val="22"/>
        </w:rPr>
        <w:t xml:space="preserve">Example compounding chain for a Software Engineer → Engineering Manager path: Year 1 (Python + System Design), Year 2 (add Cloud Architecture), Year 3 (add Leadership / People Management), Year 4 (add Product Thinking, Budget Management) — each addition multiplies the value of the prior skills in the context of senior engineering leadership roles.</w:t>
      </w:r>
    </w:p>
    <w:p>
      <w:pPr>
        <w:pStyle w:val="ListParagraph"/>
        <w:numPr>
          <w:ilvl w:val="0"/>
          <w:numId w:val="2"/>
        </w:numPr>
        <w:spacing w:before="48" w:after="48"/>
      </w:pPr>
      <w:r>
        <w:rPr>
          <w:rFonts w:ascii="Arial" w:cs="Arial" w:eastAsia="Arial" w:hAnsi="Arial"/>
          <w:color w:val="0F172A"/>
          <w:sz w:val="22"/>
          <w:szCs w:val="22"/>
        </w:rPr>
        <w:t xml:space="preserve">Compounding plan output: A year-by-year skill development roadmap showing which skills to deepen first (foundation), which to add next (amplifiers), and which to acquire later (differentiators) — in the right sequence to maximise compounding effect.</w:t>
      </w:r>
    </w:p>
    <w:p>
      <w:pPr>
        <w:pStyle w:val="ListParagraph"/>
        <w:numPr>
          <w:ilvl w:val="0"/>
          <w:numId w:val="2"/>
        </w:numPr>
        <w:spacing w:before="48" w:after="48"/>
      </w:pPr>
      <w:r>
        <w:rPr>
          <w:rFonts w:ascii="Arial" w:cs="Arial" w:eastAsia="Arial" w:hAnsi="Arial"/>
          <w:color w:val="0F172A"/>
          <w:sz w:val="22"/>
          <w:szCs w:val="22"/>
        </w:rPr>
        <w:t xml:space="preserve">Platform course alignment: Each skill in the compounding plan is linked to the relevant EcoSkiller courses and assessments — creating a direct line from long-term career planning to immediate daily learning actions.</w:t>
      </w:r>
    </w:p>
    <w:p>
      <w:pPr>
        <w:pStyle w:val="ListParagraph"/>
        <w:numPr>
          <w:ilvl w:val="0"/>
          <w:numId w:val="2"/>
        </w:numPr>
        <w:spacing w:before="48" w:after="48"/>
      </w:pPr>
      <w:r>
        <w:rPr>
          <w:rFonts w:ascii="Arial" w:cs="Arial" w:eastAsia="Arial" w:hAnsi="Arial"/>
          <w:color w:val="0F172A"/>
          <w:sz w:val="22"/>
          <w:szCs w:val="22"/>
        </w:rPr>
        <w:t xml:space="preserve">Learning investment ROI: For each skill in the compounding plan, the platform shows the estimated long-term CTC impact of acquiring that skill — converting abstract career advice into concrete financial context.</w:t>
      </w:r>
    </w:p>
    <w:p>
      <w:pPr>
        <w:pStyle w:val="Heading2"/>
        <w:spacing w:before="300" w:after="100"/>
      </w:pPr>
      <w:r>
        <w:rPr>
          <w:rFonts w:ascii="Arial" w:cs="Arial" w:eastAsia="Arial" w:hAnsi="Arial"/>
          <w:b/>
          <w:bCs/>
          <w:color w:val="1460A8"/>
          <w:sz w:val="28"/>
          <w:szCs w:val="28"/>
        </w:rPr>
        <w:t xml:space="preserve">Alternative Path Discovery</w:t>
      </w:r>
    </w:p>
    <w:p>
      <w:pPr>
        <w:pStyle w:val="ListParagraph"/>
        <w:numPr>
          <w:ilvl w:val="0"/>
          <w:numId w:val="2"/>
        </w:numPr>
        <w:spacing w:before="48" w:after="48"/>
      </w:pPr>
      <w:r>
        <w:rPr>
          <w:rFonts w:ascii="Arial" w:cs="Arial" w:eastAsia="Arial" w:hAnsi="Arial"/>
          <w:color w:val="0F172A"/>
          <w:sz w:val="22"/>
          <w:szCs w:val="22"/>
        </w:rPr>
        <w:t xml:space="preserve">Pivot paths: For each starting role, the platform surfaces 2–3 non-obvious pivot opportunities — roles that require significant skill transition but are achievable within 3–5 years and may offer better long-term fit.</w:t>
      </w:r>
    </w:p>
    <w:p>
      <w:pPr>
        <w:pStyle w:val="ListParagraph"/>
        <w:numPr>
          <w:ilvl w:val="0"/>
          <w:numId w:val="2"/>
        </w:numPr>
        <w:spacing w:before="48" w:after="48"/>
      </w:pPr>
      <w:r>
        <w:rPr>
          <w:rFonts w:ascii="Arial" w:cs="Arial" w:eastAsia="Arial" w:hAnsi="Arial"/>
          <w:color w:val="0F172A"/>
          <w:sz w:val="22"/>
          <w:szCs w:val="22"/>
        </w:rPr>
        <w:t xml:space="preserve">Cross-industry paths: The engine identifies when the student's skill combination opens up opportunities in multiple industries — showing how a software engineering background translates to fintech, edtech, healthtech, and enterprise SaaS with different trajectory shapes.</w:t>
      </w:r>
    </w:p>
    <w:p>
      <w:pPr>
        <w:pStyle w:val="ListParagraph"/>
        <w:numPr>
          <w:ilvl w:val="0"/>
          <w:numId w:val="2"/>
        </w:numPr>
        <w:spacing w:before="48" w:after="48"/>
      </w:pPr>
      <w:r>
        <w:rPr>
          <w:rFonts w:ascii="Arial" w:cs="Arial" w:eastAsia="Arial" w:hAnsi="Arial"/>
          <w:color w:val="0F172A"/>
          <w:sz w:val="22"/>
          <w:szCs w:val="22"/>
        </w:rPr>
        <w:t xml:space="preserve">Non-traditional paths: Entrepreneurship, research, policy, and social impact paths are modelled alongside corporate paths — ensuring students with non-standard ambitions see relevant guidance.</w:t>
      </w:r>
    </w:p>
    <w:p>
      <w:pPr>
        <w:pStyle w:val="ListParagraph"/>
        <w:numPr>
          <w:ilvl w:val="0"/>
          <w:numId w:val="2"/>
        </w:numPr>
        <w:spacing w:before="48" w:after="48"/>
      </w:pPr>
      <w:r>
        <w:rPr>
          <w:rFonts w:ascii="Arial" w:cs="Arial" w:eastAsia="Arial" w:hAnsi="Arial"/>
          <w:color w:val="0F172A"/>
          <w:sz w:val="22"/>
          <w:szCs w:val="22"/>
        </w:rPr>
        <w:t xml:space="preserve">Salary-adjusted path ranking: Students who explicitly prioritise earnings can re-sort all path suggestions by projected 10-year cumulative CTC — enabling purely financial optimisation of career choices.</w:t>
      </w:r>
    </w:p>
    <w:p>
      <w:pPr>
        <w:pStyle w:val="ListParagraph"/>
        <w:numPr>
          <w:ilvl w:val="0"/>
          <w:numId w:val="2"/>
        </w:numPr>
        <w:spacing w:before="48" w:after="48"/>
      </w:pPr>
      <w:r>
        <w:rPr>
          <w:rFonts w:ascii="Arial" w:cs="Arial" w:eastAsia="Arial" w:hAnsi="Arial"/>
          <w:color w:val="0F172A"/>
          <w:sz w:val="22"/>
          <w:szCs w:val="22"/>
        </w:rPr>
        <w:t xml:space="preserve">Peer path exploration: Students can browse anonymised career path data of alumni from their institute — seeing real outcomes from real peers rather than population-level statistics. This data is shown only in aggregate (minimum 10 alumni per data point) to protect individual privacy.</w:t>
      </w:r>
    </w:p>
    <w:p>
      <w:pPr>
        <w:pStyle w:val="Heading2"/>
        <w:spacing w:before="300" w:after="100"/>
      </w:pPr>
      <w:r>
        <w:rPr>
          <w:rFonts w:ascii="Arial" w:cs="Arial" w:eastAsia="Arial" w:hAnsi="Arial"/>
          <w:b/>
          <w:bCs/>
          <w:color w:val="1460A8"/>
          <w:sz w:val="28"/>
          <w:szCs w:val="28"/>
        </w:rPr>
        <w:t xml:space="preserve">Path Comparison Tool</w:t>
      </w:r>
    </w:p>
    <w:p>
      <w:pPr>
        <w:pStyle w:val="ListParagraph"/>
        <w:numPr>
          <w:ilvl w:val="0"/>
          <w:numId w:val="2"/>
        </w:numPr>
        <w:spacing w:before="48" w:after="48"/>
      </w:pPr>
      <w:r>
        <w:rPr>
          <w:rFonts w:ascii="Arial" w:cs="Arial" w:eastAsia="Arial" w:hAnsi="Arial"/>
          <w:color w:val="0F172A"/>
          <w:sz w:val="22"/>
          <w:szCs w:val="22"/>
        </w:rPr>
        <w:t xml:space="preserve">Students can select 2 or 3 career paths to compare directly on a structured matrix showing: Entry role, Typical entry CTC, 5-year projected CTC, 10-year projected CTC, Required skill additions from current profile, Estimated months to become placement-ready, Day-to-day work environment description, Typical work-life balance signal (derived from industry benchmark data), and Personality fit score for the student.</w:t>
      </w:r>
    </w:p>
    <w:p>
      <w:pPr>
        <w:pStyle w:val="ListParagraph"/>
        <w:numPr>
          <w:ilvl w:val="0"/>
          <w:numId w:val="2"/>
        </w:numPr>
        <w:spacing w:before="48" w:after="48"/>
      </w:pPr>
      <w:r>
        <w:rPr>
          <w:rFonts w:ascii="Arial" w:cs="Arial" w:eastAsia="Arial" w:hAnsi="Arial"/>
          <w:color w:val="0F172A"/>
          <w:sz w:val="22"/>
          <w:szCs w:val="22"/>
        </w:rPr>
        <w:t xml:space="preserve">The comparison tool includes a 'Regret Minimisation' frame — presenting each path's downside risks: 'What does the bad case look like for this path? What is the escape route if this path doesn't work out?'</w:t>
      </w:r>
    </w:p>
    <w:p>
      <w:pPr>
        <w:pStyle w:val="ListParagraph"/>
        <w:numPr>
          <w:ilvl w:val="0"/>
          <w:numId w:val="2"/>
        </w:numPr>
        <w:spacing w:before="48" w:after="48"/>
      </w:pPr>
      <w:r>
        <w:rPr>
          <w:rFonts w:ascii="Arial" w:cs="Arial" w:eastAsia="Arial" w:hAnsi="Arial"/>
          <w:color w:val="0F172A"/>
          <w:sz w:val="22"/>
          <w:szCs w:val="22"/>
        </w:rPr>
        <w:t xml:space="preserve">Export: The comparison table can be exported as a PDF for use in career counselling conversations, family discussions, or mentor reviews.</w:t>
      </w:r>
    </w:p>
    <w:p>
      <w:pPr>
        <w:pStyle w:val="ListParagraph"/>
        <w:numPr>
          <w:ilvl w:val="0"/>
          <w:numId w:val="2"/>
        </w:numPr>
        <w:spacing w:before="48" w:after="48"/>
      </w:pPr>
      <w:r>
        <w:rPr>
          <w:rFonts w:ascii="Arial" w:cs="Arial" w:eastAsia="Arial" w:hAnsi="Arial"/>
          <w:color w:val="0F172A"/>
          <w:sz w:val="22"/>
          <w:szCs w:val="22"/>
        </w:rPr>
        <w:t xml:space="preserve">Decision log: Students can save a note explaining why they chose a particular path — this decision log is private and stored in their profile for future self-reflection.</w:t>
      </w:r>
    </w:p>
    <w:p>
      <w:pPr>
        <w:pStyle w:val="Heading2"/>
        <w:spacing w:before="300" w:after="100"/>
      </w:pPr>
      <w:r>
        <w:rPr>
          <w:rFonts w:ascii="Arial" w:cs="Arial" w:eastAsia="Arial" w:hAnsi="Arial"/>
          <w:b/>
          <w:bCs/>
          <w:color w:val="1460A8"/>
          <w:sz w:val="28"/>
          <w:szCs w:val="28"/>
        </w:rPr>
        <w:t xml:space="preserve">Integration with Recruitment &amp; Learning Modules</w:t>
      </w:r>
    </w:p>
    <w:p>
      <w:pPr>
        <w:pStyle w:val="ListParagraph"/>
        <w:numPr>
          <w:ilvl w:val="0"/>
          <w:numId w:val="2"/>
        </w:numPr>
        <w:spacing w:before="48" w:after="48"/>
      </w:pPr>
      <w:r>
        <w:rPr>
          <w:rFonts w:ascii="Arial" w:cs="Arial" w:eastAsia="Arial" w:hAnsi="Arial"/>
          <w:color w:val="0F172A"/>
          <w:sz w:val="22"/>
          <w:szCs w:val="22"/>
        </w:rPr>
        <w:t xml:space="preserve">Career path selection feeds directly back into the Career Recommendation Engine (J.1) — confirming the student's primary and backup paths and recalibrating recommendation weights accordingly.</w:t>
      </w:r>
    </w:p>
    <w:p>
      <w:pPr>
        <w:pStyle w:val="ListParagraph"/>
        <w:numPr>
          <w:ilvl w:val="0"/>
          <w:numId w:val="2"/>
        </w:numPr>
        <w:spacing w:before="48" w:after="48"/>
      </w:pPr>
      <w:r>
        <w:rPr>
          <w:rFonts w:ascii="Arial" w:cs="Arial" w:eastAsia="Arial" w:hAnsi="Arial"/>
          <w:color w:val="0F172A"/>
          <w:sz w:val="22"/>
          <w:szCs w:val="22"/>
        </w:rPr>
        <w:t xml:space="preserve">Chosen paths update the Skill-Job Mapping (J.2) — switching the ISP baseline to the skills required for the chosen path's specific entry roles.</w:t>
      </w:r>
    </w:p>
    <w:p>
      <w:pPr>
        <w:pStyle w:val="ListParagraph"/>
        <w:numPr>
          <w:ilvl w:val="0"/>
          <w:numId w:val="2"/>
        </w:numPr>
        <w:spacing w:before="48" w:after="48"/>
      </w:pPr>
      <w:r>
        <w:rPr>
          <w:rFonts w:ascii="Arial" w:cs="Arial" w:eastAsia="Arial" w:hAnsi="Arial"/>
          <w:color w:val="0F172A"/>
          <w:sz w:val="22"/>
          <w:szCs w:val="22"/>
        </w:rPr>
        <w:t xml:space="preserve">The Employability Score (J.3) incorporates path alignment — a student whose skill development is clearly aligned with their declared career path scores higher on the Practical Experience and Technical Skill Depth pillars than a student whose profile is inconsistent with their stated goals.</w:t>
      </w:r>
    </w:p>
    <w:p>
      <w:pPr>
        <w:pStyle w:val="ListParagraph"/>
        <w:numPr>
          <w:ilvl w:val="0"/>
          <w:numId w:val="2"/>
        </w:numPr>
        <w:spacing w:before="48" w:after="48"/>
      </w:pPr>
      <w:r>
        <w:rPr>
          <w:rFonts w:ascii="Arial" w:cs="Arial" w:eastAsia="Arial" w:hAnsi="Arial"/>
          <w:color w:val="0F172A"/>
          <w:sz w:val="22"/>
          <w:szCs w:val="22"/>
        </w:rPr>
        <w:t xml:space="preserve">Learning module course recommendations (Feature E.1) are reconfigured to prioritise courses on the chosen path's skill compounding plan.</w:t>
      </w:r>
    </w:p>
    <w:p>
      <w:pPr>
        <w:pStyle w:val="ListParagraph"/>
        <w:numPr>
          <w:ilvl w:val="0"/>
          <w:numId w:val="2"/>
        </w:numPr>
        <w:spacing w:before="48" w:after="48"/>
      </w:pPr>
      <w:r>
        <w:rPr>
          <w:rFonts w:ascii="Arial" w:cs="Arial" w:eastAsia="Arial" w:hAnsi="Arial"/>
          <w:color w:val="0F172A"/>
          <w:sz w:val="22"/>
          <w:szCs w:val="22"/>
        </w:rPr>
        <w:t xml:space="preserve">Job application recommendations in the Placement module are filtered to show roles that are on-path — ensuring students apply to roles that advance their chosen trajectory, not random roles.</w:t>
      </w:r>
    </w:p>
    <w:p>
      <w:pPr>
        <w:pBdr>
          <w:bottom w:val="single" w:color="0C2D57" w:sz="6" w:space="1"/>
        </w:pBdr>
        <w:spacing w:before="220" w:after="220"/>
      </w:pPr>
    </w:p>
    <w:p>
      <w:pPr>
        <w:pageBreakBefore/>
      </w:pPr>
    </w:p>
    <w:p>
      <w:pPr>
        <w:spacing w:before="400" w:after="0"/>
        <w:jc w:val="center"/>
      </w:pPr>
      <w:r>
        <w:rPr>
          <w:rFonts w:ascii="Arial" w:cs="Arial" w:eastAsia="Arial" w:hAnsi="Arial"/>
          <w:i/>
          <w:iCs/>
          <w:color w:val="64748B"/>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60A8" w:sz="4" w:space="1"/>
      </w:pBdr>
      <w:tabs>
        <w:tab w:val="right" w:pos="9026"/>
      </w:tabs>
    </w:pPr>
    <w:r>
      <w:rPr>
        <w:rFonts w:ascii="Arial" w:cs="Arial" w:eastAsia="Arial" w:hAnsi="Arial"/>
        <w:color w:val="64748B"/>
        <w:sz w:val="16"/>
        <w:szCs w:val="16"/>
      </w:rPr>
      <w:t xml:space="preserve">Confidential | EcoSkiller Platform</w:t>
    </w:r>
    <w:r>
      <w:rPr>
        <w:rFonts w:ascii="Arial" w:cs="Arial" w:eastAsia="Arial" w:hAnsi="Arial"/>
        <w:color w:val="64748B"/>
        <w:sz w:val="16"/>
        <w:szCs w:val="16"/>
      </w:rPr>
      <w:t xml:space="preserve">	Page </w:t>
    </w:r>
    <w:r>
      <w:rPr>
        <w:rFonts w:ascii="Arial" w:cs="Arial" w:eastAsia="Arial" w:hAnsi="Arial"/>
        <w:color w:val="146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60A8" w:sz="4" w:space="1"/>
      </w:pBdr>
    </w:pPr>
    <w:r>
      <w:rPr>
        <w:rFonts w:ascii="Arial" w:cs="Arial" w:eastAsia="Arial" w:hAnsi="Arial"/>
        <w:color w:val="64748B"/>
        <w:sz w:val="18"/>
        <w:szCs w:val="18"/>
      </w:rPr>
      <w:t xml:space="preserve">EcoSkiller — Module J: Career Guidance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60"/>
      <w:outlineLvl w:val="0"/>
    </w:pPr>
    <w:rPr>
      <w:rFonts w:ascii="Arial" w:cs="Arial" w:eastAsia="Arial" w:hAnsi="Arial"/>
      <w:b/>
      <w:bCs/>
      <w:color w:val="0C2D57"/>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460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2026-03-09T10:38:37.766Z</dcterms:created>
  <dcterms:modified xsi:type="dcterms:W3CDTF">2026-03-09T10:38:37.766Z</dcterms:modified>
</cp:coreProperties>
</file>

<file path=docProps/custom.xml><?xml version="1.0" encoding="utf-8"?>
<Properties xmlns="http://schemas.openxmlformats.org/officeDocument/2006/custom-properties" xmlns:vt="http://schemas.openxmlformats.org/officeDocument/2006/docPropsVTypes"/>
</file>