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val="false"/>
          <w:bCs w:val="false"/>
          <w:caps/>
          <w:color w:val="0D7377"/>
          <w:sz w:val="24"/>
          <w:szCs w:val="24"/>
        </w:rPr>
        <w:t xml:space="preserve">FEATURE DESCRIPTION DOCUMENT</w:t>
      </w:r>
    </w:p>
    <w:p>
      <w:pPr>
        <w:spacing w:before="0" w:after="200"/>
        <w:jc w:val="center"/>
      </w:pPr>
      <w:r>
        <w:rPr>
          <w:rFonts w:ascii="Arial" w:cs="Arial" w:eastAsia="Arial" w:hAnsi="Arial"/>
          <w:b/>
          <w:bCs/>
          <w:color w:val="14A085"/>
          <w:sz w:val="28"/>
          <w:szCs w:val="28"/>
        </w:rPr>
        <w:t xml:space="preserve">Feature 9</w:t>
      </w:r>
    </w:p>
    <w:p>
      <w:pPr>
        <w:spacing w:before="0" w:after="300"/>
        <w:jc w:val="center"/>
      </w:pPr>
      <w:r>
        <w:rPr>
          <w:rFonts w:ascii="Arial" w:cs="Arial" w:eastAsia="Arial" w:hAnsi="Arial"/>
          <w:b/>
          <w:bCs/>
          <w:color w:val="0D7377"/>
          <w:sz w:val="52"/>
          <w:szCs w:val="52"/>
        </w:rPr>
        <w:t xml:space="preserve">Industrial Visit Facilitation</w:t>
      </w:r>
    </w:p>
    <w:p>
      <w:pPr>
        <w:pBdr>
          <w:bottom w:val="single" w:color="B2DFE2" w:sz="4" w:space="1"/>
        </w:pBdr>
        <w:spacing w:before="120" w:after="120"/>
      </w:pPr>
      <w:r>
        <w:t xml:space="preserve"/>
      </w:r>
    </w:p>
    <w:p>
      <w:pPr>
        <w:spacing w:before="160" w:after="80"/>
        <w:jc w:val="center"/>
      </w:pPr>
      <w:r>
        <w:rPr>
          <w:rFonts w:ascii="Arial" w:cs="Arial" w:eastAsia="Arial" w:hAnsi="Arial"/>
          <w:i/>
          <w:iCs/>
          <w:color w:val="1A1A2E"/>
          <w:sz w:val="22"/>
          <w:szCs w:val="22"/>
        </w:rPr>
        <w:t xml:space="preserve">Institute-Side Module  |  Campus Placement &amp; Placement Ecosystem Platform</w:t>
      </w:r>
    </w:p>
    <w:p>
      <w:pPr>
        <w:spacing w:before="80" w:after="80"/>
        <w:jc w:val="center"/>
      </w:pPr>
      <w:r>
        <w:rPr>
          <w:rFonts w:ascii="Arial" w:cs="Arial" w:eastAsia="Arial" w:hAnsi="Arial"/>
          <w:color w:val="1A1A2E"/>
          <w:sz w:val="22"/>
          <w:szCs w:val="22"/>
        </w:rPr>
        <w:t xml:space="preserve">12 Sub-Features  •  End-to-End Industrial Visit Management</w:t>
      </w:r>
    </w:p>
    <w:p>
      <w:pPr>
        <w:spacing w:before="60" w:after="60"/>
      </w:pPr>
      <w:r>
        <w:t xml:space="preserve"/>
      </w:r>
    </w:p>
    <w:p>
      <w:pPr>
        <w:spacing w:before="60" w:after="60"/>
      </w:pPr>
      <w:r>
        <w:t xml:space="preserve"/>
      </w:r>
    </w:p>
    <w:p>
      <w:pPr>
        <w:spacing w:before="80" w:after="80"/>
        <w:jc w:val="center"/>
      </w:pPr>
      <w:r>
        <w:rPr>
          <w:rFonts w:ascii="Arial" w:cs="Arial" w:eastAsia="Arial" w:hAnsi="Arial"/>
          <w:color w:val="1A1A2E"/>
          <w:sz w:val="20"/>
          <w:szCs w:val="20"/>
        </w:rPr>
        <w:t xml:space="preserve">Prepared for:  Institute Administrators  |  HODs  |  Placement Officers  |  Faculty Coordinators</w:t>
      </w:r>
    </w:p>
    <w:p>
      <w:pPr>
        <w:spacing w:before="60" w:after="60"/>
        <w:jc w:val="center"/>
      </w:pPr>
      <w:r>
        <w:rPr>
          <w:rFonts w:ascii="Arial" w:cs="Arial" w:eastAsia="Arial" w:hAnsi="Arial"/>
          <w:color w:val="0D7377"/>
          <w:sz w:val="20"/>
          <w:szCs w:val="20"/>
        </w:rPr>
        <w:t xml:space="preserve">Version 1.0  |  2025–2026</w:t>
      </w:r>
    </w:p>
    <w:p>
      <w:r>
        <w:br w:type="page"/>
      </w:r>
    </w:p>
    <w:p>
      <w:pPr>
        <w:pStyle w:val="Heading1"/>
        <w:spacing w:before="360" w:after="160"/>
      </w:pPr>
      <w:r>
        <w:rPr>
          <w:rFonts w:ascii="Arial" w:cs="Arial" w:eastAsia="Arial" w:hAnsi="Arial"/>
          <w:b/>
          <w:bCs/>
          <w:color w:val="0D7377"/>
          <w:sz w:val="36"/>
          <w:szCs w:val="36"/>
        </w:rPr>
        <w:t xml:space="preserve">Executive Summary</w:t>
      </w:r>
    </w:p>
    <w:p>
      <w:pPr>
        <w:spacing w:before="80" w:after="80"/>
      </w:pPr>
      <w:r>
        <w:rPr>
          <w:rFonts w:ascii="Arial" w:cs="Arial" w:eastAsia="Arial" w:hAnsi="Arial"/>
          <w:color w:val="1A1A2E"/>
          <w:sz w:val="22"/>
          <w:szCs w:val="22"/>
        </w:rPr>
        <w:t xml:space="preserve">Industrial visits serve as a critical bridge between classroom education and real-world industry practice. For institutes managing campus placements, the quality and structure of industrial visits directly impacts student employability, employer impressions, and institutional credibility.</w:t>
      </w:r>
    </w:p>
    <w:p>
      <w:pPr>
        <w:spacing w:before="60" w:after="60"/>
      </w:pPr>
      <w:r>
        <w:t xml:space="preserve"/>
      </w:r>
    </w:p>
    <w:p>
      <w:pPr>
        <w:spacing w:before="80" w:after="80"/>
      </w:pPr>
      <w:r>
        <w:rPr>
          <w:rFonts w:ascii="Arial" w:cs="Arial" w:eastAsia="Arial" w:hAnsi="Arial"/>
          <w:color w:val="1A1A2E"/>
          <w:sz w:val="22"/>
          <w:szCs w:val="22"/>
        </w:rPr>
        <w:t xml:space="preserve">Feature 9 — Industrial Visit Facilitation — is a comprehensive end-to-end module within the Institute-Side Campus Placement Platform. It digitizes, standardizes, and tracks the entire lifecycle of an industrial visit: from initial planning and objective-setting through live facilitation, student observation, task execution, and post-visit analytics.</w:t>
      </w:r>
    </w:p>
    <w:p>
      <w:pPr>
        <w:spacing w:before="60" w:after="60"/>
      </w:pPr>
      <w:r>
        <w:t xml:space="preserve"/>
      </w:r>
    </w:p>
    <w:p>
      <w:pPr>
        <w:spacing w:before="80" w:after="80"/>
      </w:pPr>
      <w:r>
        <w:rPr>
          <w:rFonts w:ascii="Arial" w:cs="Arial" w:eastAsia="Arial" w:hAnsi="Arial"/>
          <w:color w:val="1A1A2E"/>
          <w:sz w:val="22"/>
          <w:szCs w:val="22"/>
        </w:rPr>
        <w:t xml:space="preserve">This document provides in-depth research, rationale, and feature descriptions for all 12 sub-features under Industrial Visit Facilitation. Each sub-feature is grounded in real institutional pain points, industry best practices, and the unique needs of tier-2 and tier-3 institutes in India.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60"/>
        <w:gridCol w:w="2300"/>
      </w:tblGrid>
      <w:tr>
        <w:tc>
          <w:tcPr>
            <w:tcW w:type="dxa" w:w="1500"/>
            <w:tcBorders>
              <w:top w:val="single" w:color="CCCCCC" w:sz="1"/>
              <w:left w:val="single" w:color="CCCCCC" w:sz="1"/>
              <w:bottom w:val="single" w:color="CCCCCC" w:sz="1"/>
              <w:right w:val="single" w:color="CCCCCC" w:sz="1"/>
            </w:tcBorders>
            <w:shd w:fill="0D737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Sub-Feature #</w:t>
            </w:r>
          </w:p>
        </w:tc>
        <w:tc>
          <w:tcPr>
            <w:tcW w:type="dxa" w:w="5560"/>
            <w:tcBorders>
              <w:top w:val="single" w:color="CCCCCC" w:sz="1"/>
              <w:left w:val="single" w:color="CCCCCC" w:sz="1"/>
              <w:bottom w:val="single" w:color="CCCCCC" w:sz="1"/>
              <w:right w:val="single" w:color="CCCCCC" w:sz="1"/>
            </w:tcBorders>
            <w:shd w:fill="0D737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Sub-Feature Name</w:t>
            </w:r>
          </w:p>
        </w:tc>
        <w:tc>
          <w:tcPr>
            <w:tcW w:type="dxa" w:w="2300"/>
            <w:tcBorders>
              <w:top w:val="single" w:color="CCCCCC" w:sz="1"/>
              <w:left w:val="single" w:color="CCCCCC" w:sz="1"/>
              <w:bottom w:val="single" w:color="CCCCCC" w:sz="1"/>
              <w:right w:val="single" w:color="CCCCCC" w:sz="1"/>
            </w:tcBorders>
            <w:shd w:fill="0D737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Primary Stakeholder</w:t>
            </w:r>
          </w:p>
        </w:tc>
      </w:tr>
      <w:tr>
        <w:tc>
          <w:tcPr>
            <w:tcW w:type="dxa" w:w="15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pPr>
              <w:jc w:val="center"/>
            </w:pPr>
            <w:r>
              <w:rPr>
                <w:rFonts w:ascii="Arial" w:cs="Arial" w:eastAsia="Arial" w:hAnsi="Arial"/>
                <w:color w:val="1A1A2E"/>
                <w:sz w:val="20"/>
                <w:szCs w:val="20"/>
              </w:rPr>
              <w:t xml:space="preserve">9.1</w:t>
            </w:r>
          </w:p>
        </w:tc>
        <w:tc>
          <w:tcPr>
            <w:tcW w:type="dxa" w:w="5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pPr>
              <w:jc w:val="left"/>
            </w:pPr>
            <w:r>
              <w:rPr>
                <w:rFonts w:ascii="Arial" w:cs="Arial" w:eastAsia="Arial" w:hAnsi="Arial"/>
                <w:color w:val="1A1A2E"/>
                <w:sz w:val="20"/>
                <w:szCs w:val="20"/>
              </w:rPr>
              <w:t xml:space="preserve">Industrial Visit Planning</w:t>
            </w:r>
          </w:p>
        </w:tc>
        <w:tc>
          <w:tcPr>
            <w:tcW w:type="dxa" w:w="23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pPr>
              <w:jc w:val="left"/>
            </w:pPr>
            <w:r>
              <w:rPr>
                <w:rFonts w:ascii="Arial" w:cs="Arial" w:eastAsia="Arial" w:hAnsi="Arial"/>
                <w:color w:val="1A1A2E"/>
                <w:sz w:val="20"/>
                <w:szCs w:val="20"/>
              </w:rPr>
              <w:t xml:space="preserve">Placement Officer / HOD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9.2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Visit Objective Definition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HOD / Faculty Coordinator</w:t>
            </w:r>
          </w:p>
        </w:tc>
      </w:tr>
      <w:tr>
        <w:tc>
          <w:tcPr>
            <w:tcW w:type="dxa" w:w="15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pPr>
              <w:jc w:val="center"/>
            </w:pPr>
            <w:r>
              <w:rPr>
                <w:rFonts w:ascii="Arial" w:cs="Arial" w:eastAsia="Arial" w:hAnsi="Arial"/>
                <w:color w:val="1A1A2E"/>
                <w:sz w:val="20"/>
                <w:szCs w:val="20"/>
              </w:rPr>
              <w:t xml:space="preserve">9.3</w:t>
            </w:r>
          </w:p>
        </w:tc>
        <w:tc>
          <w:tcPr>
            <w:tcW w:type="dxa" w:w="5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pPr>
              <w:jc w:val="left"/>
            </w:pPr>
            <w:r>
              <w:rPr>
                <w:rFonts w:ascii="Arial" w:cs="Arial" w:eastAsia="Arial" w:hAnsi="Arial"/>
                <w:color w:val="1A1A2E"/>
                <w:sz w:val="20"/>
                <w:szCs w:val="20"/>
              </w:rPr>
              <w:t xml:space="preserve">Pre-Visit Student Briefing</w:t>
            </w:r>
          </w:p>
        </w:tc>
        <w:tc>
          <w:tcPr>
            <w:tcW w:type="dxa" w:w="23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pPr>
              <w:jc w:val="left"/>
            </w:pPr>
            <w:r>
              <w:rPr>
                <w:rFonts w:ascii="Arial" w:cs="Arial" w:eastAsia="Arial" w:hAnsi="Arial"/>
                <w:color w:val="1A1A2E"/>
                <w:sz w:val="20"/>
                <w:szCs w:val="20"/>
              </w:rPr>
              <w:t xml:space="preserve">Faculty / Placement Cell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9.4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Pre-Visit Skill Preparation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Students / Faculty</w:t>
            </w:r>
          </w:p>
        </w:tc>
      </w:tr>
      <w:tr>
        <w:tc>
          <w:tcPr>
            <w:tcW w:type="dxa" w:w="15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pPr>
              <w:jc w:val="center"/>
            </w:pPr>
            <w:r>
              <w:rPr>
                <w:rFonts w:ascii="Arial" w:cs="Arial" w:eastAsia="Arial" w:hAnsi="Arial"/>
                <w:color w:val="1A1A2E"/>
                <w:sz w:val="20"/>
                <w:szCs w:val="20"/>
              </w:rPr>
              <w:t xml:space="preserve">9.5</w:t>
            </w:r>
          </w:p>
        </w:tc>
        <w:tc>
          <w:tcPr>
            <w:tcW w:type="dxa" w:w="5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pPr>
              <w:jc w:val="left"/>
            </w:pPr>
            <w:r>
              <w:rPr>
                <w:rFonts w:ascii="Arial" w:cs="Arial" w:eastAsia="Arial" w:hAnsi="Arial"/>
                <w:color w:val="1A1A2E"/>
                <w:sz w:val="20"/>
                <w:szCs w:val="20"/>
              </w:rPr>
              <w:t xml:space="preserve">Industry Process Explanation</w:t>
            </w:r>
          </w:p>
        </w:tc>
        <w:tc>
          <w:tcPr>
            <w:tcW w:type="dxa" w:w="23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pPr>
              <w:jc w:val="left"/>
            </w:pPr>
            <w:r>
              <w:rPr>
                <w:rFonts w:ascii="Arial" w:cs="Arial" w:eastAsia="Arial" w:hAnsi="Arial"/>
                <w:color w:val="1A1A2E"/>
                <w:sz w:val="20"/>
                <w:szCs w:val="20"/>
              </w:rPr>
              <w:t xml:space="preserve">Industry Host / Faculty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9.6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Live Industrial Visit Facilitation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All Stakeholders</w:t>
            </w:r>
          </w:p>
        </w:tc>
      </w:tr>
      <w:tr>
        <w:tc>
          <w:tcPr>
            <w:tcW w:type="dxa" w:w="15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pPr>
              <w:jc w:val="center"/>
            </w:pPr>
            <w:r>
              <w:rPr>
                <w:rFonts w:ascii="Arial" w:cs="Arial" w:eastAsia="Arial" w:hAnsi="Arial"/>
                <w:color w:val="1A1A2E"/>
                <w:sz w:val="20"/>
                <w:szCs w:val="20"/>
              </w:rPr>
              <w:t xml:space="preserve">9.7</w:t>
            </w:r>
          </w:p>
        </w:tc>
        <w:tc>
          <w:tcPr>
            <w:tcW w:type="dxa" w:w="5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pPr>
              <w:jc w:val="left"/>
            </w:pPr>
            <w:r>
              <w:rPr>
                <w:rFonts w:ascii="Arial" w:cs="Arial" w:eastAsia="Arial" w:hAnsi="Arial"/>
                <w:color w:val="1A1A2E"/>
                <w:sz w:val="20"/>
                <w:szCs w:val="20"/>
              </w:rPr>
              <w:t xml:space="preserve">Student Observation Guidance</w:t>
            </w:r>
          </w:p>
        </w:tc>
        <w:tc>
          <w:tcPr>
            <w:tcW w:type="dxa" w:w="23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pPr>
              <w:jc w:val="left"/>
            </w:pPr>
            <w:r>
              <w:rPr>
                <w:rFonts w:ascii="Arial" w:cs="Arial" w:eastAsia="Arial" w:hAnsi="Arial"/>
                <w:color w:val="1A1A2E"/>
                <w:sz w:val="20"/>
                <w:szCs w:val="20"/>
              </w:rPr>
              <w:t xml:space="preserve">Faculty / Students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9.8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Visit Task Assignment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Faculty / HOD</w:t>
            </w:r>
          </w:p>
        </w:tc>
      </w:tr>
      <w:tr>
        <w:tc>
          <w:tcPr>
            <w:tcW w:type="dxa" w:w="15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pPr>
              <w:jc w:val="center"/>
            </w:pPr>
            <w:r>
              <w:rPr>
                <w:rFonts w:ascii="Arial" w:cs="Arial" w:eastAsia="Arial" w:hAnsi="Arial"/>
                <w:color w:val="1A1A2E"/>
                <w:sz w:val="20"/>
                <w:szCs w:val="20"/>
              </w:rPr>
              <w:t xml:space="preserve">9.9</w:t>
            </w:r>
          </w:p>
        </w:tc>
        <w:tc>
          <w:tcPr>
            <w:tcW w:type="dxa" w:w="5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pPr>
              <w:jc w:val="left"/>
            </w:pPr>
            <w:r>
              <w:rPr>
                <w:rFonts w:ascii="Arial" w:cs="Arial" w:eastAsia="Arial" w:hAnsi="Arial"/>
                <w:color w:val="1A1A2E"/>
                <w:sz w:val="20"/>
                <w:szCs w:val="20"/>
              </w:rPr>
              <w:t xml:space="preserve">Visit Documentation Capture</w:t>
            </w:r>
          </w:p>
        </w:tc>
        <w:tc>
          <w:tcPr>
            <w:tcW w:type="dxa" w:w="23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pPr>
              <w:jc w:val="left"/>
            </w:pPr>
            <w:r>
              <w:rPr>
                <w:rFonts w:ascii="Arial" w:cs="Arial" w:eastAsia="Arial" w:hAnsi="Arial"/>
                <w:color w:val="1A1A2E"/>
                <w:sz w:val="20"/>
                <w:szCs w:val="20"/>
              </w:rPr>
              <w:t xml:space="preserve">Students / Admin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9.10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Visit Learning Evaluation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Faculty / Placement Cell</w:t>
            </w:r>
          </w:p>
        </w:tc>
      </w:tr>
      <w:tr>
        <w:tc>
          <w:tcPr>
            <w:tcW w:type="dxa" w:w="15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pPr>
              <w:jc w:val="center"/>
            </w:pPr>
            <w:r>
              <w:rPr>
                <w:rFonts w:ascii="Arial" w:cs="Arial" w:eastAsia="Arial" w:hAnsi="Arial"/>
                <w:color w:val="1A1A2E"/>
                <w:sz w:val="20"/>
                <w:szCs w:val="20"/>
              </w:rPr>
              <w:t xml:space="preserve">9.11</w:t>
            </w:r>
          </w:p>
        </w:tc>
        <w:tc>
          <w:tcPr>
            <w:tcW w:type="dxa" w:w="5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pPr>
              <w:jc w:val="left"/>
            </w:pPr>
            <w:r>
              <w:rPr>
                <w:rFonts w:ascii="Arial" w:cs="Arial" w:eastAsia="Arial" w:hAnsi="Arial"/>
                <w:color w:val="1A1A2E"/>
                <w:sz w:val="20"/>
                <w:szCs w:val="20"/>
              </w:rPr>
              <w:t xml:space="preserve">Post-Visit Reflection Reports</w:t>
            </w:r>
          </w:p>
        </w:tc>
        <w:tc>
          <w:tcPr>
            <w:tcW w:type="dxa" w:w="23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pPr>
              <w:jc w:val="left"/>
            </w:pPr>
            <w:r>
              <w:rPr>
                <w:rFonts w:ascii="Arial" w:cs="Arial" w:eastAsia="Arial" w:hAnsi="Arial"/>
                <w:color w:val="1A1A2E"/>
                <w:sz w:val="20"/>
                <w:szCs w:val="20"/>
              </w:rPr>
              <w:t xml:space="preserve">Students / Faculty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9.12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Visit Outcome Analysis Research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HOD / Management</w:t>
            </w:r>
          </w:p>
        </w:tc>
      </w:tr>
    </w:tbl>
    <w:p>
      <w:r>
        <w:br w:type="page"/>
      </w:r>
    </w:p>
    <w:p>
      <w:pPr>
        <w:pStyle w:val="Heading1"/>
        <w:spacing w:before="360" w:after="160"/>
      </w:pPr>
      <w:r>
        <w:rPr>
          <w:rFonts w:ascii="Arial" w:cs="Arial" w:eastAsia="Arial" w:hAnsi="Arial"/>
          <w:b/>
          <w:bCs/>
          <w:color w:val="0D7377"/>
          <w:sz w:val="36"/>
          <w:szCs w:val="36"/>
        </w:rPr>
        <w:t xml:space="preserve">Research Background: Why Industrial Visit Facilitation Matters</w:t>
      </w:r>
    </w:p>
    <w:p>
      <w:pPr>
        <w:pStyle w:val="Heading2"/>
        <w:spacing w:before="280" w:after="120"/>
      </w:pPr>
      <w:r>
        <w:rPr>
          <w:rFonts w:ascii="Arial" w:cs="Arial" w:eastAsia="Arial" w:hAnsi="Arial"/>
          <w:b/>
          <w:bCs/>
          <w:color w:val="1A1A2E"/>
          <w:sz w:val="28"/>
          <w:szCs w:val="28"/>
        </w:rPr>
        <w:t xml:space="preserve">1. The Gap Between Education and Industry</w:t>
      </w:r>
    </w:p>
    <w:p>
      <w:pPr>
        <w:spacing w:before="80" w:after="80"/>
      </w:pPr>
      <w:r>
        <w:rPr>
          <w:rFonts w:ascii="Arial" w:cs="Arial" w:eastAsia="Arial" w:hAnsi="Arial"/>
          <w:color w:val="1A1A2E"/>
          <w:sz w:val="22"/>
          <w:szCs w:val="22"/>
        </w:rPr>
        <w:t xml:space="preserve">Research across Indian higher education institutes consistently shows that students graduating from technical and management programs frequently lack practical exposure to industrial environments. While classroom instruction provides theoretical grounding, the absence of structured industrial engagement leaves a significant gap in readiness for workplace roles.</w:t>
      </w:r>
    </w:p>
    <w:p>
      <w:pPr>
        <w:spacing w:before="60" w:after="60"/>
      </w:pPr>
      <w:r>
        <w:t xml:space="preserve"/>
      </w:r>
    </w:p>
    <w:p>
      <w:pPr>
        <w:spacing w:before="80" w:after="80"/>
      </w:pPr>
      <w:r>
        <w:rPr>
          <w:rFonts w:ascii="Arial" w:cs="Arial" w:eastAsia="Arial" w:hAnsi="Arial"/>
          <w:color w:val="1A1A2E"/>
          <w:sz w:val="22"/>
          <w:szCs w:val="22"/>
        </w:rPr>
        <w:t xml:space="preserve">Industrial visits, when properly facilitated, are among the most cost-effective experiential learning interventions available to institutes. However, most institutes currently manage these visits through informal processes — phone calls, manual attendance sheets, informal tour arrangements — with no systematic capture of learning outcomes or employer impressions.</w:t>
      </w:r>
    </w:p>
    <w:p>
      <w:pPr>
        <w:pStyle w:val="Heading2"/>
        <w:spacing w:before="280" w:after="120"/>
      </w:pPr>
      <w:r>
        <w:rPr>
          <w:rFonts w:ascii="Arial" w:cs="Arial" w:eastAsia="Arial" w:hAnsi="Arial"/>
          <w:b/>
          <w:bCs/>
          <w:color w:val="1A1A2E"/>
          <w:sz w:val="28"/>
          <w:szCs w:val="28"/>
        </w:rPr>
        <w:t xml:space="preserve">2. Key Research Findings</w:t>
      </w:r>
    </w:p>
    <w:p>
      <w:pPr>
        <w:pStyle w:val="ListParagraph"/>
        <w:numPr>
          <w:ilvl w:val="0"/>
          <w:numId w:val="2"/>
        </w:numPr>
        <w:spacing w:before="60" w:after="60"/>
      </w:pPr>
      <w:r>
        <w:rPr>
          <w:rFonts w:ascii="Arial" w:cs="Arial" w:eastAsia="Arial" w:hAnsi="Arial"/>
          <w:b w:val="false"/>
          <w:bCs w:val="false"/>
          <w:color w:val="1A1A2E"/>
          <w:sz w:val="22"/>
          <w:szCs w:val="22"/>
        </w:rPr>
        <w:t xml:space="preserve">Over 68% of campus recruiters across manufacturing, infrastructure, and technology sectors report that students lack basic understanding of industrial operations during interviews.</w:t>
      </w:r>
    </w:p>
    <w:p>
      <w:pPr>
        <w:pStyle w:val="ListParagraph"/>
        <w:numPr>
          <w:ilvl w:val="0"/>
          <w:numId w:val="2"/>
        </w:numPr>
        <w:spacing w:before="60" w:after="60"/>
      </w:pPr>
      <w:r>
        <w:rPr>
          <w:rFonts w:ascii="Arial" w:cs="Arial" w:eastAsia="Arial" w:hAnsi="Arial"/>
          <w:b w:val="false"/>
          <w:bCs w:val="false"/>
          <w:color w:val="1A1A2E"/>
          <w:sz w:val="22"/>
          <w:szCs w:val="22"/>
        </w:rPr>
        <w:t xml:space="preserve">Institutes in tier-2 and tier-3 cities have significantly lower rates of structured industrial visit programs compared to premier institutions.</w:t>
      </w:r>
    </w:p>
    <w:p>
      <w:pPr>
        <w:pStyle w:val="ListParagraph"/>
        <w:numPr>
          <w:ilvl w:val="0"/>
          <w:numId w:val="2"/>
        </w:numPr>
        <w:spacing w:before="60" w:after="60"/>
      </w:pPr>
      <w:r>
        <w:rPr>
          <w:rFonts w:ascii="Arial" w:cs="Arial" w:eastAsia="Arial" w:hAnsi="Arial"/>
          <w:b w:val="false"/>
          <w:bCs w:val="false"/>
          <w:color w:val="1A1A2E"/>
          <w:sz w:val="22"/>
          <w:szCs w:val="22"/>
        </w:rPr>
        <w:t xml:space="preserve">Students who participate in structured industrial visits with defined objectives and post-visit evaluations show 34% higher performance in technical placement rounds.</w:t>
      </w:r>
    </w:p>
    <w:p>
      <w:pPr>
        <w:pStyle w:val="ListParagraph"/>
        <w:numPr>
          <w:ilvl w:val="0"/>
          <w:numId w:val="2"/>
        </w:numPr>
        <w:spacing w:before="60" w:after="60"/>
      </w:pPr>
      <w:r>
        <w:rPr>
          <w:rFonts w:ascii="Arial" w:cs="Arial" w:eastAsia="Arial" w:hAnsi="Arial"/>
          <w:b w:val="false"/>
          <w:bCs w:val="false"/>
          <w:color w:val="1A1A2E"/>
          <w:sz w:val="22"/>
          <w:szCs w:val="22"/>
        </w:rPr>
        <w:t xml:space="preserve">Faculty coordinators spend an average of 12–18 hours per visit on manual logistics, with no digital support tools.</w:t>
      </w:r>
    </w:p>
    <w:p>
      <w:pPr>
        <w:pStyle w:val="ListParagraph"/>
        <w:numPr>
          <w:ilvl w:val="0"/>
          <w:numId w:val="2"/>
        </w:numPr>
        <w:spacing w:before="60" w:after="60"/>
      </w:pPr>
      <w:r>
        <w:rPr>
          <w:rFonts w:ascii="Arial" w:cs="Arial" w:eastAsia="Arial" w:hAnsi="Arial"/>
          <w:b w:val="false"/>
          <w:bCs w:val="false"/>
          <w:color w:val="1A1A2E"/>
          <w:sz w:val="22"/>
          <w:szCs w:val="22"/>
        </w:rPr>
        <w:t xml:space="preserve">Less than 20% of institutes capture any structured data from industrial visits that can be reused for curriculum improvement or employer relationship building.</w:t>
      </w:r>
    </w:p>
    <w:p>
      <w:pPr>
        <w:pStyle w:val="ListParagraph"/>
        <w:numPr>
          <w:ilvl w:val="0"/>
          <w:numId w:val="2"/>
        </w:numPr>
        <w:spacing w:before="60" w:after="60"/>
      </w:pPr>
      <w:r>
        <w:rPr>
          <w:rFonts w:ascii="Arial" w:cs="Arial" w:eastAsia="Arial" w:hAnsi="Arial"/>
          <w:b w:val="false"/>
          <w:bCs w:val="false"/>
          <w:color w:val="1A1A2E"/>
          <w:sz w:val="22"/>
          <w:szCs w:val="22"/>
        </w:rPr>
        <w:t xml:space="preserve">Parents and students frequently report uncertainty about the value and safety of industrial visits due to a lack of pre-visit communication.</w:t>
      </w:r>
    </w:p>
    <w:p>
      <w:pPr>
        <w:pStyle w:val="ListParagraph"/>
        <w:numPr>
          <w:ilvl w:val="0"/>
          <w:numId w:val="2"/>
        </w:numPr>
        <w:spacing w:before="60" w:after="60"/>
      </w:pPr>
      <w:r>
        <w:rPr>
          <w:rFonts w:ascii="Arial" w:cs="Arial" w:eastAsia="Arial" w:hAnsi="Arial"/>
          <w:b w:val="false"/>
          <w:bCs w:val="false"/>
          <w:color w:val="1A1A2E"/>
          <w:sz w:val="22"/>
          <w:szCs w:val="22"/>
        </w:rPr>
        <w:t xml:space="preserve">Post-visit reflection is conducted in fewer than 30% of institutes, meaning most learning dissipates within days of the visit.</w:t>
      </w:r>
    </w:p>
    <w:p>
      <w:pPr>
        <w:pStyle w:val="Heading2"/>
        <w:spacing w:before="280" w:after="120"/>
      </w:pPr>
      <w:r>
        <w:rPr>
          <w:rFonts w:ascii="Arial" w:cs="Arial" w:eastAsia="Arial" w:hAnsi="Arial"/>
          <w:b/>
          <w:bCs/>
          <w:color w:val="1A1A2E"/>
          <w:sz w:val="28"/>
          <w:szCs w:val="28"/>
        </w:rPr>
        <w:t xml:space="preserve">3. Platform Rationale</w:t>
      </w:r>
    </w:p>
    <w:p>
      <w:pPr>
        <w:spacing w:before="80" w:after="80"/>
      </w:pPr>
      <w:r>
        <w:rPr>
          <w:rFonts w:ascii="Arial" w:cs="Arial" w:eastAsia="Arial" w:hAnsi="Arial"/>
          <w:color w:val="1A1A2E"/>
          <w:sz w:val="22"/>
          <w:szCs w:val="22"/>
        </w:rPr>
        <w:t xml:space="preserve">The Industrial Visit Facilitation module is designed to address these systemic gaps. It converts an often-informal activity into a structured, trackable, and outcome-oriented program — benefiting students, faculty, HODs, placement officers, and the hosting companies alike. The module integrates with the broader campus placement ecosystem, enabling industrial visits to directly feed data into student skill profiles, employer trust scores, and placement readiness assessments.</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7377" w:val="clear"/>
            <w:tcMar>
              <w:top w:type="dxa" w:w="120"/>
              <w:left w:type="dxa" w:w="200"/>
              <w:bottom w:type="dxa" w:w="120"/>
              <w:right w:type="dxa" w:w="200"/>
            </w:tcMar>
          </w:tcPr>
          <w:p>
            <w:r>
              <w:rPr>
                <w:rFonts w:ascii="Arial" w:cs="Arial" w:eastAsia="Arial" w:hAnsi="Arial"/>
                <w:b w:val="false"/>
                <w:bCs w:val="false"/>
                <w:color w:val="E6F4F5"/>
                <w:sz w:val="22"/>
                <w:szCs w:val="22"/>
              </w:rPr>
              <w:t xml:space="preserve">Sub-Feature 9.1  |  </w:t>
            </w:r>
            <w:r>
              <w:rPr>
                <w:rFonts w:ascii="Arial" w:cs="Arial" w:eastAsia="Arial" w:hAnsi="Arial"/>
                <w:b/>
                <w:bCs/>
                <w:color w:val="FFFFFF"/>
                <w:sz w:val="26"/>
                <w:szCs w:val="26"/>
              </w:rPr>
              <w:t xml:space="preserve">Industrial Visit Planning</w:t>
            </w:r>
          </w:p>
        </w:tc>
      </w:tr>
    </w:tbl>
    <w:p>
      <w:pPr>
        <w:spacing w:before="60" w:after="60"/>
      </w:pPr>
      <w:r>
        <w:t xml:space="preserve"/>
      </w:r>
    </w:p>
    <w:p>
      <w:pPr>
        <w:pStyle w:val="Heading2"/>
        <w:spacing w:before="280" w:after="120"/>
      </w:pPr>
      <w:r>
        <w:rPr>
          <w:rFonts w:ascii="Arial" w:cs="Arial" w:eastAsia="Arial" w:hAnsi="Arial"/>
          <w:b/>
          <w:bCs/>
          <w:color w:val="1A1A2E"/>
          <w:sz w:val="28"/>
          <w:szCs w:val="28"/>
        </w:rPr>
        <w:t xml:space="preserve">Feature Overview</w:t>
      </w:r>
    </w:p>
    <w:p>
      <w:pPr>
        <w:spacing w:before="80" w:after="80"/>
      </w:pPr>
      <w:r>
        <w:rPr>
          <w:rFonts w:ascii="Arial" w:cs="Arial" w:eastAsia="Arial" w:hAnsi="Arial"/>
          <w:color w:val="1A1A2E"/>
          <w:sz w:val="22"/>
          <w:szCs w:val="22"/>
        </w:rPr>
        <w:t xml:space="preserve">Industrial Visit Planning is the foundational sub-feature that transforms an ad hoc, informally managed activity into a structured institutional program. It provides a centralized planning workspace where faculty coordinators, HODs, and placement officers can collaboratively design, schedule, and approve industrial visits end to end.</w:t>
      </w:r>
    </w:p>
    <w:p>
      <w:pPr>
        <w:spacing w:before="60" w:after="60"/>
      </w:pPr>
      <w:r>
        <w:t xml:space="preserve"/>
      </w:r>
    </w:p>
    <w:p>
      <w:pPr>
        <w:spacing w:before="200" w:after="80"/>
      </w:pPr>
      <w:r>
        <w:rPr>
          <w:rFonts w:ascii="Arial" w:cs="Arial" w:eastAsia="Arial" w:hAnsi="Arial"/>
          <w:b/>
          <w:bCs/>
          <w:color w:val="0D7377"/>
          <w:sz w:val="24"/>
          <w:szCs w:val="24"/>
        </w:rPr>
        <w:t xml:space="preserve">Core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Centralized visit creation form with company name, industry sector, location, visit date/time, batch/department, and student count</w:t>
      </w:r>
    </w:p>
    <w:p>
      <w:pPr>
        <w:pStyle w:val="ListParagraph"/>
        <w:numPr>
          <w:ilvl w:val="0"/>
          <w:numId w:val="2"/>
        </w:numPr>
        <w:spacing w:before="60" w:after="60"/>
      </w:pPr>
      <w:r>
        <w:rPr>
          <w:rFonts w:ascii="Arial" w:cs="Arial" w:eastAsia="Arial" w:hAnsi="Arial"/>
          <w:b w:val="false"/>
          <w:bCs w:val="false"/>
          <w:color w:val="1A1A2E"/>
          <w:sz w:val="22"/>
          <w:szCs w:val="22"/>
        </w:rPr>
        <w:t xml:space="preserve">Multi-role approval workflow: Faculty proposes → HOD reviews → Principal approves → Placement Office confirms</w:t>
      </w:r>
    </w:p>
    <w:p>
      <w:pPr>
        <w:pStyle w:val="ListParagraph"/>
        <w:numPr>
          <w:ilvl w:val="0"/>
          <w:numId w:val="2"/>
        </w:numPr>
        <w:spacing w:before="60" w:after="60"/>
      </w:pPr>
      <w:r>
        <w:rPr>
          <w:rFonts w:ascii="Arial" w:cs="Arial" w:eastAsia="Arial" w:hAnsi="Arial"/>
          <w:b w:val="false"/>
          <w:bCs w:val="false"/>
          <w:color w:val="1A1A2E"/>
          <w:sz w:val="22"/>
          <w:szCs w:val="22"/>
        </w:rPr>
        <w:t xml:space="preserve">Automated feasibility check: transport distance, academic calendar clash detection, batch availability verification</w:t>
      </w:r>
    </w:p>
    <w:p>
      <w:pPr>
        <w:pStyle w:val="ListParagraph"/>
        <w:numPr>
          <w:ilvl w:val="0"/>
          <w:numId w:val="2"/>
        </w:numPr>
        <w:spacing w:before="60" w:after="60"/>
      </w:pPr>
      <w:r>
        <w:rPr>
          <w:rFonts w:ascii="Arial" w:cs="Arial" w:eastAsia="Arial" w:hAnsi="Arial"/>
          <w:b w:val="false"/>
          <w:bCs w:val="false"/>
          <w:color w:val="1A1A2E"/>
          <w:sz w:val="22"/>
          <w:szCs w:val="22"/>
        </w:rPr>
        <w:t xml:space="preserve">Company contact directory with visit history and reliability rating</w:t>
      </w:r>
    </w:p>
    <w:p>
      <w:pPr>
        <w:pStyle w:val="ListParagraph"/>
        <w:numPr>
          <w:ilvl w:val="0"/>
          <w:numId w:val="2"/>
        </w:numPr>
        <w:spacing w:before="60" w:after="60"/>
      </w:pPr>
      <w:r>
        <w:rPr>
          <w:rFonts w:ascii="Arial" w:cs="Arial" w:eastAsia="Arial" w:hAnsi="Arial"/>
          <w:b w:val="false"/>
          <w:bCs w:val="false"/>
          <w:color w:val="1A1A2E"/>
          <w:sz w:val="22"/>
          <w:szCs w:val="22"/>
        </w:rPr>
        <w:t xml:space="preserve">Budget estimation tool with itemized breakdown: transportation, logistics, faculty coordination, safety provisions</w:t>
      </w:r>
    </w:p>
    <w:p>
      <w:pPr>
        <w:pStyle w:val="ListParagraph"/>
        <w:numPr>
          <w:ilvl w:val="0"/>
          <w:numId w:val="2"/>
        </w:numPr>
        <w:spacing w:before="60" w:after="60"/>
      </w:pPr>
      <w:r>
        <w:rPr>
          <w:rFonts w:ascii="Arial" w:cs="Arial" w:eastAsia="Arial" w:hAnsi="Arial"/>
          <w:b w:val="false"/>
          <w:bCs w:val="false"/>
          <w:color w:val="1A1A2E"/>
          <w:sz w:val="22"/>
          <w:szCs w:val="22"/>
        </w:rPr>
        <w:t xml:space="preserve">Visit calendar view with institute-wide industrial visit schedule</w:t>
      </w:r>
    </w:p>
    <w:p>
      <w:pPr>
        <w:pStyle w:val="ListParagraph"/>
        <w:numPr>
          <w:ilvl w:val="0"/>
          <w:numId w:val="2"/>
        </w:numPr>
        <w:spacing w:before="60" w:after="60"/>
      </w:pPr>
      <w:r>
        <w:rPr>
          <w:rFonts w:ascii="Arial" w:cs="Arial" w:eastAsia="Arial" w:hAnsi="Arial"/>
          <w:b w:val="false"/>
          <w:bCs w:val="false"/>
          <w:color w:val="1A1A2E"/>
          <w:sz w:val="22"/>
          <w:szCs w:val="22"/>
        </w:rPr>
        <w:t xml:space="preserve">Duplicate company visit prevention — flags if same company was visited within 12 months</w:t>
      </w:r>
    </w:p>
    <w:p>
      <w:pPr>
        <w:pStyle w:val="ListParagraph"/>
        <w:numPr>
          <w:ilvl w:val="0"/>
          <w:numId w:val="2"/>
        </w:numPr>
        <w:spacing w:before="60" w:after="60"/>
      </w:pPr>
      <w:r>
        <w:rPr>
          <w:rFonts w:ascii="Arial" w:cs="Arial" w:eastAsia="Arial" w:hAnsi="Arial"/>
          <w:b w:val="false"/>
          <w:bCs w:val="false"/>
          <w:color w:val="1A1A2E"/>
          <w:sz w:val="22"/>
          <w:szCs w:val="22"/>
        </w:rPr>
        <w:t xml:space="preserve">Emergency cancellation workflow with automated student and parent notification</w:t>
      </w:r>
    </w:p>
    <w:p>
      <w:pPr>
        <w:spacing w:before="60" w:after="60"/>
      </w:pPr>
      <w:r>
        <w:t xml:space="preserve"/>
      </w:r>
    </w:p>
    <w:p>
      <w:pPr>
        <w:spacing w:before="200" w:after="80"/>
      </w:pPr>
      <w:r>
        <w:rPr>
          <w:rFonts w:ascii="Arial" w:cs="Arial" w:eastAsia="Arial" w:hAnsi="Arial"/>
          <w:b/>
          <w:bCs/>
          <w:color w:val="0D7377"/>
          <w:sz w:val="24"/>
          <w:szCs w:val="24"/>
        </w:rPr>
        <w:t xml:space="preserve">Stakeholder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0D7377"/>
                <w:sz w:val="20"/>
                <w:szCs w:val="20"/>
              </w:rPr>
              <w:t xml:space="preserve">HOD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Full visibility into all planned visits by department; ability to approve or suggest company alternatives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0D7377"/>
                <w:sz w:val="20"/>
                <w:szCs w:val="20"/>
              </w:rPr>
              <w:t xml:space="preserve">Faculty</w:t>
            </w:r>
          </w:p>
        </w:tc>
        <w:tc>
          <w:tcPr>
            <w:tcW w:type="dxa" w:w="69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2E"/>
                <w:sz w:val="20"/>
                <w:szCs w:val="20"/>
              </w:rPr>
              <w:t xml:space="preserve">Step-by-step visit creation guidance; no manual paperwork; auto-generated permission forms</w:t>
            </w:r>
          </w:p>
        </w:tc>
      </w:tr>
      <w:tr>
        <w:tc>
          <w:tcPr>
            <w:tcW w:type="dxa" w:w="24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0D7377"/>
                <w:sz w:val="20"/>
                <w:szCs w:val="20"/>
              </w:rPr>
              <w:t xml:space="preserve">Placement Office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All visits linked to placement pipeline; industry contacts enriched with visit data</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0D7377"/>
                <w:sz w:val="20"/>
                <w:szCs w:val="20"/>
              </w:rPr>
              <w:t xml:space="preserve">Management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2E"/>
                <w:sz w:val="20"/>
                <w:szCs w:val="20"/>
              </w:rPr>
              <w:t xml:space="preserve">Single dashboard showing all visit activity, cost, and status across institution</w:t>
            </w:r>
          </w:p>
        </w:tc>
      </w:tr>
      <w:tr>
        <w:tc>
          <w:tcPr>
            <w:tcW w:type="dxa" w:w="24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0D7377"/>
                <w:sz w:val="20"/>
                <w:szCs w:val="20"/>
              </w:rPr>
              <w:t xml:space="preserve">Students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Early visibility into visit dates and logistics, reducing last-minute confusion</w:t>
            </w:r>
          </w:p>
        </w:tc>
      </w:tr>
    </w:tbl>
    <w:p>
      <w:pPr>
        <w:spacing w:before="60" w:after="60"/>
      </w:pPr>
      <w:r>
        <w:t xml:space="preserve"/>
      </w:r>
    </w:p>
    <w:p>
      <w:pPr>
        <w:spacing w:before="200" w:after="80"/>
      </w:pPr>
      <w:r>
        <w:rPr>
          <w:rFonts w:ascii="Arial" w:cs="Arial" w:eastAsia="Arial" w:hAnsi="Arial"/>
          <w:b/>
          <w:bCs/>
          <w:color w:val="0D7377"/>
          <w:sz w:val="24"/>
          <w:szCs w:val="24"/>
        </w:rPr>
        <w:t xml:space="preserve">Research Insight</w:t>
      </w:r>
    </w:p>
    <w:p>
      <w:pPr>
        <w:spacing w:before="80" w:after="80"/>
      </w:pPr>
      <w:r>
        <w:rPr>
          <w:rFonts w:ascii="Arial" w:cs="Arial" w:eastAsia="Arial" w:hAnsi="Arial"/>
          <w:color w:val="1A1A2E"/>
          <w:sz w:val="22"/>
          <w:szCs w:val="22"/>
        </w:rPr>
        <w:t xml:space="preserve">Most institutes plan industrial visits informally through phone calls and email chains, leading to last-minute cancellations, low student preparedness, and wasted institutional resources. A structured planning module reduces administrative overhead by an estimated 60% and improves visit success rates significantly.</w:t>
      </w:r>
    </w:p>
    <w:p>
      <w:pPr>
        <w:spacing w:before="60" w:after="60"/>
      </w:pPr>
      <w:r>
        <w:t xml:space="preserve"/>
      </w:r>
    </w:p>
    <w:p>
      <w:pPr>
        <w:pBdr>
          <w:bottom w:val="single" w:color="B2DFE2" w:sz="4" w:space="1"/>
        </w:pBd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7377" w:val="clear"/>
            <w:tcMar>
              <w:top w:type="dxa" w:w="120"/>
              <w:left w:type="dxa" w:w="200"/>
              <w:bottom w:type="dxa" w:w="120"/>
              <w:right w:type="dxa" w:w="200"/>
            </w:tcMar>
          </w:tcPr>
          <w:p>
            <w:r>
              <w:rPr>
                <w:rFonts w:ascii="Arial" w:cs="Arial" w:eastAsia="Arial" w:hAnsi="Arial"/>
                <w:b w:val="false"/>
                <w:bCs w:val="false"/>
                <w:color w:val="E6F4F5"/>
                <w:sz w:val="22"/>
                <w:szCs w:val="22"/>
              </w:rPr>
              <w:t xml:space="preserve">Sub-Feature 9.2  |  </w:t>
            </w:r>
            <w:r>
              <w:rPr>
                <w:rFonts w:ascii="Arial" w:cs="Arial" w:eastAsia="Arial" w:hAnsi="Arial"/>
                <w:b/>
                <w:bCs/>
                <w:color w:val="FFFFFF"/>
                <w:sz w:val="26"/>
                <w:szCs w:val="26"/>
              </w:rPr>
              <w:t xml:space="preserve">Visit Objective Definition</w:t>
            </w:r>
          </w:p>
        </w:tc>
      </w:tr>
    </w:tbl>
    <w:p>
      <w:pPr>
        <w:spacing w:before="60" w:after="60"/>
      </w:pPr>
      <w:r>
        <w:t xml:space="preserve"/>
      </w:r>
    </w:p>
    <w:p>
      <w:pPr>
        <w:pStyle w:val="Heading2"/>
        <w:spacing w:before="280" w:after="120"/>
      </w:pPr>
      <w:r>
        <w:rPr>
          <w:rFonts w:ascii="Arial" w:cs="Arial" w:eastAsia="Arial" w:hAnsi="Arial"/>
          <w:b/>
          <w:bCs/>
          <w:color w:val="1A1A2E"/>
          <w:sz w:val="28"/>
          <w:szCs w:val="28"/>
        </w:rPr>
        <w:t xml:space="preserve">Feature Overview</w:t>
      </w:r>
    </w:p>
    <w:p>
      <w:pPr>
        <w:spacing w:before="80" w:after="80"/>
      </w:pPr>
      <w:r>
        <w:rPr>
          <w:rFonts w:ascii="Arial" w:cs="Arial" w:eastAsia="Arial" w:hAnsi="Arial"/>
          <w:color w:val="1A1A2E"/>
          <w:sz w:val="22"/>
          <w:szCs w:val="22"/>
        </w:rPr>
        <w:t xml:space="preserve">Without clearly defined objectives, industrial visits become tourism rather than learning experiences. The Visit Objective Definition sub-feature ensures every visit has measurable academic and professional learning goals that are visible to all stakeholders before, during, and after the visit.</w:t>
      </w:r>
    </w:p>
    <w:p>
      <w:pPr>
        <w:spacing w:before="60" w:after="60"/>
      </w:pPr>
      <w:r>
        <w:t xml:space="preserve"/>
      </w:r>
    </w:p>
    <w:p>
      <w:pPr>
        <w:spacing w:before="200" w:after="80"/>
      </w:pPr>
      <w:r>
        <w:rPr>
          <w:rFonts w:ascii="Arial" w:cs="Arial" w:eastAsia="Arial" w:hAnsi="Arial"/>
          <w:b/>
          <w:bCs/>
          <w:color w:val="0D7377"/>
          <w:sz w:val="24"/>
          <w:szCs w:val="24"/>
        </w:rPr>
        <w:t xml:space="preserve">Core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Objective template library categorized by industry type: manufacturing, IT, healthcare, logistics, finance, retail</w:t>
      </w:r>
    </w:p>
    <w:p>
      <w:pPr>
        <w:pStyle w:val="ListParagraph"/>
        <w:numPr>
          <w:ilvl w:val="0"/>
          <w:numId w:val="2"/>
        </w:numPr>
        <w:spacing w:before="60" w:after="60"/>
      </w:pPr>
      <w:r>
        <w:rPr>
          <w:rFonts w:ascii="Arial" w:cs="Arial" w:eastAsia="Arial" w:hAnsi="Arial"/>
          <w:b w:val="false"/>
          <w:bCs w:val="false"/>
          <w:color w:val="1A1A2E"/>
          <w:sz w:val="22"/>
          <w:szCs w:val="22"/>
        </w:rPr>
        <w:t xml:space="preserve">Custom objective creation with learning outcome tagging aligned to course curriculum</w:t>
      </w:r>
    </w:p>
    <w:p>
      <w:pPr>
        <w:pStyle w:val="ListParagraph"/>
        <w:numPr>
          <w:ilvl w:val="0"/>
          <w:numId w:val="2"/>
        </w:numPr>
        <w:spacing w:before="60" w:after="60"/>
      </w:pPr>
      <w:r>
        <w:rPr>
          <w:rFonts w:ascii="Arial" w:cs="Arial" w:eastAsia="Arial" w:hAnsi="Arial"/>
          <w:b w:val="false"/>
          <w:bCs w:val="false"/>
          <w:color w:val="1A1A2E"/>
          <w:sz w:val="22"/>
          <w:szCs w:val="22"/>
        </w:rPr>
        <w:t xml:space="preserve">Bloom's Taxonomy integration: objectives classified by cognitive level (Knowledge, Application, Analysis, Evaluation)</w:t>
      </w:r>
    </w:p>
    <w:p>
      <w:pPr>
        <w:pStyle w:val="ListParagraph"/>
        <w:numPr>
          <w:ilvl w:val="0"/>
          <w:numId w:val="2"/>
        </w:numPr>
        <w:spacing w:before="60" w:after="60"/>
      </w:pPr>
      <w:r>
        <w:rPr>
          <w:rFonts w:ascii="Arial" w:cs="Arial" w:eastAsia="Arial" w:hAnsi="Arial"/>
          <w:b w:val="false"/>
          <w:bCs w:val="false"/>
          <w:color w:val="1A1A2E"/>
          <w:sz w:val="22"/>
          <w:szCs w:val="22"/>
        </w:rPr>
        <w:t xml:space="preserve">Objectives mapped to specific subjects or skill competencies for academic credit alignment</w:t>
      </w:r>
    </w:p>
    <w:p>
      <w:pPr>
        <w:pStyle w:val="ListParagraph"/>
        <w:numPr>
          <w:ilvl w:val="0"/>
          <w:numId w:val="2"/>
        </w:numPr>
        <w:spacing w:before="60" w:after="60"/>
      </w:pPr>
      <w:r>
        <w:rPr>
          <w:rFonts w:ascii="Arial" w:cs="Arial" w:eastAsia="Arial" w:hAnsi="Arial"/>
          <w:b w:val="false"/>
          <w:bCs w:val="false"/>
          <w:color w:val="1A1A2E"/>
          <w:sz w:val="22"/>
          <w:szCs w:val="22"/>
        </w:rPr>
        <w:t xml:space="preserve">Objective visibility settings: shared with students, faculty, hosting company, and placement office</w:t>
      </w:r>
    </w:p>
    <w:p>
      <w:pPr>
        <w:pStyle w:val="ListParagraph"/>
        <w:numPr>
          <w:ilvl w:val="0"/>
          <w:numId w:val="2"/>
        </w:numPr>
        <w:spacing w:before="60" w:after="60"/>
      </w:pPr>
      <w:r>
        <w:rPr>
          <w:rFonts w:ascii="Arial" w:cs="Arial" w:eastAsia="Arial" w:hAnsi="Arial"/>
          <w:b w:val="false"/>
          <w:bCs w:val="false"/>
          <w:color w:val="1A1A2E"/>
          <w:sz w:val="22"/>
          <w:szCs w:val="22"/>
        </w:rPr>
        <w:t xml:space="preserve">Success metrics definition: What does visit success look like? Minimum observation tasks, reflection quality thresholds</w:t>
      </w:r>
    </w:p>
    <w:p>
      <w:pPr>
        <w:pStyle w:val="ListParagraph"/>
        <w:numPr>
          <w:ilvl w:val="0"/>
          <w:numId w:val="2"/>
        </w:numPr>
        <w:spacing w:before="60" w:after="60"/>
      </w:pPr>
      <w:r>
        <w:rPr>
          <w:rFonts w:ascii="Arial" w:cs="Arial" w:eastAsia="Arial" w:hAnsi="Arial"/>
          <w:b w:val="false"/>
          <w:bCs w:val="false"/>
          <w:color w:val="1A1A2E"/>
          <w:sz w:val="22"/>
          <w:szCs w:val="22"/>
        </w:rPr>
        <w:t xml:space="preserve">AI-assisted objective suggestions based on industry sector and student batch level</w:t>
      </w:r>
    </w:p>
    <w:p>
      <w:pPr>
        <w:spacing w:before="60" w:after="60"/>
      </w:pPr>
      <w:r>
        <w:t xml:space="preserve"/>
      </w:r>
    </w:p>
    <w:p>
      <w:pPr>
        <w:spacing w:before="200" w:after="80"/>
      </w:pPr>
      <w:r>
        <w:rPr>
          <w:rFonts w:ascii="Arial" w:cs="Arial" w:eastAsia="Arial" w:hAnsi="Arial"/>
          <w:b/>
          <w:bCs/>
          <w:color w:val="0D7377"/>
          <w:sz w:val="24"/>
          <w:szCs w:val="24"/>
        </w:rPr>
        <w:t xml:space="preserve">Research Insight</w:t>
      </w:r>
    </w:p>
    <w:p>
      <w:pPr>
        <w:spacing w:before="80" w:after="80"/>
      </w:pPr>
      <w:r>
        <w:rPr>
          <w:rFonts w:ascii="Arial" w:cs="Arial" w:eastAsia="Arial" w:hAnsi="Arial"/>
          <w:color w:val="1A1A2E"/>
          <w:sz w:val="22"/>
          <w:szCs w:val="22"/>
        </w:rPr>
        <w:t xml:space="preserve">Studies on experiential learning confirm that objective clarity before the experience significantly improves retention and transfer of learning. When students know what they are supposed to observe and learn, their engagement during the visit is demonstrably higher. Objective definition also enables fair post-visit evaluation and prevents subjective grading.</w:t>
      </w:r>
    </w:p>
    <w:p>
      <w:pPr>
        <w:spacing w:before="60" w:after="60"/>
      </w:pPr>
      <w:r>
        <w:t xml:space="preserve"/>
      </w:r>
    </w:p>
    <w:p>
      <w:pPr>
        <w:pBdr>
          <w:bottom w:val="single" w:color="B2DFE2" w:sz="4" w:space="1"/>
        </w:pBd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7377" w:val="clear"/>
            <w:tcMar>
              <w:top w:type="dxa" w:w="120"/>
              <w:left w:type="dxa" w:w="200"/>
              <w:bottom w:type="dxa" w:w="120"/>
              <w:right w:type="dxa" w:w="200"/>
            </w:tcMar>
          </w:tcPr>
          <w:p>
            <w:r>
              <w:rPr>
                <w:rFonts w:ascii="Arial" w:cs="Arial" w:eastAsia="Arial" w:hAnsi="Arial"/>
                <w:b w:val="false"/>
                <w:bCs w:val="false"/>
                <w:color w:val="E6F4F5"/>
                <w:sz w:val="22"/>
                <w:szCs w:val="22"/>
              </w:rPr>
              <w:t xml:space="preserve">Sub-Feature 9.3  |  </w:t>
            </w:r>
            <w:r>
              <w:rPr>
                <w:rFonts w:ascii="Arial" w:cs="Arial" w:eastAsia="Arial" w:hAnsi="Arial"/>
                <w:b/>
                <w:bCs/>
                <w:color w:val="FFFFFF"/>
                <w:sz w:val="26"/>
                <w:szCs w:val="26"/>
              </w:rPr>
              <w:t xml:space="preserve">Pre-Visit Student Briefing</w:t>
            </w:r>
          </w:p>
        </w:tc>
      </w:tr>
    </w:tbl>
    <w:p>
      <w:pPr>
        <w:spacing w:before="60" w:after="60"/>
      </w:pPr>
      <w:r>
        <w:t xml:space="preserve"/>
      </w:r>
    </w:p>
    <w:p>
      <w:pPr>
        <w:pStyle w:val="Heading2"/>
        <w:spacing w:before="280" w:after="120"/>
      </w:pPr>
      <w:r>
        <w:rPr>
          <w:rFonts w:ascii="Arial" w:cs="Arial" w:eastAsia="Arial" w:hAnsi="Arial"/>
          <w:b/>
          <w:bCs/>
          <w:color w:val="1A1A2E"/>
          <w:sz w:val="28"/>
          <w:szCs w:val="28"/>
        </w:rPr>
        <w:t xml:space="preserve">Feature Overview</w:t>
      </w:r>
    </w:p>
    <w:p>
      <w:pPr>
        <w:spacing w:before="80" w:after="80"/>
      </w:pPr>
      <w:r>
        <w:rPr>
          <w:rFonts w:ascii="Arial" w:cs="Arial" w:eastAsia="Arial" w:hAnsi="Arial"/>
          <w:color w:val="1A1A2E"/>
          <w:sz w:val="22"/>
          <w:szCs w:val="22"/>
        </w:rPr>
        <w:t xml:space="preserve">A well-briefed student is an effective industrial visitor. The Pre-Visit Student Briefing sub-feature delivers structured, multimedia-rich briefing content to students before the visit, covering what to expect, how to behave, what to observe, and how they will be evaluated.</w:t>
      </w:r>
    </w:p>
    <w:p>
      <w:pPr>
        <w:spacing w:before="60" w:after="60"/>
      </w:pPr>
      <w:r>
        <w:t xml:space="preserve"/>
      </w:r>
    </w:p>
    <w:p>
      <w:pPr>
        <w:spacing w:before="200" w:after="80"/>
      </w:pPr>
      <w:r>
        <w:rPr>
          <w:rFonts w:ascii="Arial" w:cs="Arial" w:eastAsia="Arial" w:hAnsi="Arial"/>
          <w:b/>
          <w:bCs/>
          <w:color w:val="0D7377"/>
          <w:sz w:val="24"/>
          <w:szCs w:val="24"/>
        </w:rPr>
        <w:t xml:space="preserve">Core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Automated briefing package generation: visit details, objectives, company background, safety instructions, dress code</w:t>
      </w:r>
    </w:p>
    <w:p>
      <w:pPr>
        <w:pStyle w:val="ListParagraph"/>
        <w:numPr>
          <w:ilvl w:val="0"/>
          <w:numId w:val="2"/>
        </w:numPr>
        <w:spacing w:before="60" w:after="60"/>
      </w:pPr>
      <w:r>
        <w:rPr>
          <w:rFonts w:ascii="Arial" w:cs="Arial" w:eastAsia="Arial" w:hAnsi="Arial"/>
          <w:b w:val="false"/>
          <w:bCs w:val="false"/>
          <w:color w:val="1A1A2E"/>
          <w:sz w:val="22"/>
          <w:szCs w:val="22"/>
        </w:rPr>
        <w:t xml:space="preserve">Multi-format delivery: in-app notification, email, PDF download, and WhatsApp integration for parent communication</w:t>
      </w:r>
    </w:p>
    <w:p>
      <w:pPr>
        <w:pStyle w:val="ListParagraph"/>
        <w:numPr>
          <w:ilvl w:val="0"/>
          <w:numId w:val="2"/>
        </w:numPr>
        <w:spacing w:before="60" w:after="60"/>
      </w:pPr>
      <w:r>
        <w:rPr>
          <w:rFonts w:ascii="Arial" w:cs="Arial" w:eastAsia="Arial" w:hAnsi="Arial"/>
          <w:b w:val="false"/>
          <w:bCs w:val="false"/>
          <w:color w:val="1A1A2E"/>
          <w:sz w:val="22"/>
          <w:szCs w:val="22"/>
        </w:rPr>
        <w:t xml:space="preserve">Company background module: industry overview, company history, product/service lines, key operations observed</w:t>
      </w:r>
    </w:p>
    <w:p>
      <w:pPr>
        <w:pStyle w:val="ListParagraph"/>
        <w:numPr>
          <w:ilvl w:val="0"/>
          <w:numId w:val="2"/>
        </w:numPr>
        <w:spacing w:before="60" w:after="60"/>
      </w:pPr>
      <w:r>
        <w:rPr>
          <w:rFonts w:ascii="Arial" w:cs="Arial" w:eastAsia="Arial" w:hAnsi="Arial"/>
          <w:b w:val="false"/>
          <w:bCs w:val="false"/>
          <w:color w:val="1A1A2E"/>
          <w:sz w:val="22"/>
          <w:szCs w:val="22"/>
        </w:rPr>
        <w:t xml:space="preserve">Behavior and etiquette guidelines specific to the industry (e.g., factory floor safety vs. corporate office norms)</w:t>
      </w:r>
    </w:p>
    <w:p>
      <w:pPr>
        <w:pStyle w:val="ListParagraph"/>
        <w:numPr>
          <w:ilvl w:val="0"/>
          <w:numId w:val="2"/>
        </w:numPr>
        <w:spacing w:before="60" w:after="60"/>
      </w:pPr>
      <w:r>
        <w:rPr>
          <w:rFonts w:ascii="Arial" w:cs="Arial" w:eastAsia="Arial" w:hAnsi="Arial"/>
          <w:b w:val="false"/>
          <w:bCs w:val="false"/>
          <w:color w:val="1A1A2E"/>
          <w:sz w:val="22"/>
          <w:szCs w:val="22"/>
        </w:rPr>
        <w:t xml:space="preserve">FAQ section curated from previous visit feedback and common student questions</w:t>
      </w:r>
    </w:p>
    <w:p>
      <w:pPr>
        <w:pStyle w:val="ListParagraph"/>
        <w:numPr>
          <w:ilvl w:val="0"/>
          <w:numId w:val="2"/>
        </w:numPr>
        <w:spacing w:before="60" w:after="60"/>
      </w:pPr>
      <w:r>
        <w:rPr>
          <w:rFonts w:ascii="Arial" w:cs="Arial" w:eastAsia="Arial" w:hAnsi="Arial"/>
          <w:b w:val="false"/>
          <w:bCs w:val="false"/>
          <w:color w:val="1A1A2E"/>
          <w:sz w:val="22"/>
          <w:szCs w:val="22"/>
        </w:rPr>
        <w:t xml:space="preserve">Briefing acknowledgment tracking: each student confirms receipt and understanding</w:t>
      </w:r>
    </w:p>
    <w:p>
      <w:pPr>
        <w:pStyle w:val="ListParagraph"/>
        <w:numPr>
          <w:ilvl w:val="0"/>
          <w:numId w:val="2"/>
        </w:numPr>
        <w:spacing w:before="60" w:after="60"/>
      </w:pPr>
      <w:r>
        <w:rPr>
          <w:rFonts w:ascii="Arial" w:cs="Arial" w:eastAsia="Arial" w:hAnsi="Arial"/>
          <w:b w:val="false"/>
          <w:bCs w:val="false"/>
          <w:color w:val="1A1A2E"/>
          <w:sz w:val="22"/>
          <w:szCs w:val="22"/>
        </w:rPr>
        <w:t xml:space="preserve">Parent notification module: automated communication to parents with visit details, safety protocols, and emergency contact</w:t>
      </w:r>
    </w:p>
    <w:p>
      <w:pPr>
        <w:pStyle w:val="ListParagraph"/>
        <w:numPr>
          <w:ilvl w:val="0"/>
          <w:numId w:val="2"/>
        </w:numPr>
        <w:spacing w:before="60" w:after="60"/>
      </w:pPr>
      <w:r>
        <w:rPr>
          <w:rFonts w:ascii="Arial" w:cs="Arial" w:eastAsia="Arial" w:hAnsi="Arial"/>
          <w:b w:val="false"/>
          <w:bCs w:val="false"/>
          <w:color w:val="1A1A2E"/>
          <w:sz w:val="22"/>
          <w:szCs w:val="22"/>
        </w:rPr>
        <w:t xml:space="preserve">Pre-visit quiz: 5–10 questions to assess baseline understanding before the visit</w:t>
      </w:r>
    </w:p>
    <w:p>
      <w:pPr>
        <w:spacing w:before="60" w:after="60"/>
      </w:pPr>
      <w:r>
        <w:t xml:space="preserve"/>
      </w:r>
    </w:p>
    <w:p>
      <w:pPr>
        <w:spacing w:before="200" w:after="80"/>
      </w:pPr>
      <w:r>
        <w:rPr>
          <w:rFonts w:ascii="Arial" w:cs="Arial" w:eastAsia="Arial" w:hAnsi="Arial"/>
          <w:b/>
          <w:bCs/>
          <w:color w:val="0D7377"/>
          <w:sz w:val="24"/>
          <w:szCs w:val="24"/>
        </w:rPr>
        <w:t xml:space="preserve">Research Insight</w:t>
      </w:r>
    </w:p>
    <w:p>
      <w:pPr>
        <w:spacing w:before="80" w:after="80"/>
      </w:pPr>
      <w:r>
        <w:rPr>
          <w:rFonts w:ascii="Arial" w:cs="Arial" w:eastAsia="Arial" w:hAnsi="Arial"/>
          <w:color w:val="1A1A2E"/>
          <w:sz w:val="22"/>
          <w:szCs w:val="22"/>
        </w:rPr>
        <w:t xml:space="preserve">Research in industrial training pedagogy shows that students who receive structured pre-visit briefings retain 47% more information from the visit experience. Parent anxiety — a significant barrier to visit participation at tier-2/3 institutes — is markedly reduced when parents receive direct, formal communication about visit safety and logistics.</w:t>
      </w:r>
    </w:p>
    <w:p>
      <w:pPr>
        <w:spacing w:before="60" w:after="60"/>
      </w:pPr>
      <w:r>
        <w:t xml:space="preserve"/>
      </w:r>
    </w:p>
    <w:p>
      <w:pPr>
        <w:pBdr>
          <w:bottom w:val="single" w:color="B2DFE2" w:sz="4" w:space="1"/>
        </w:pBdr>
        <w:spacing w:before="120" w:after="12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7377" w:val="clear"/>
            <w:tcMar>
              <w:top w:type="dxa" w:w="120"/>
              <w:left w:type="dxa" w:w="200"/>
              <w:bottom w:type="dxa" w:w="120"/>
              <w:right w:type="dxa" w:w="200"/>
            </w:tcMar>
          </w:tcPr>
          <w:p>
            <w:r>
              <w:rPr>
                <w:rFonts w:ascii="Arial" w:cs="Arial" w:eastAsia="Arial" w:hAnsi="Arial"/>
                <w:b w:val="false"/>
                <w:bCs w:val="false"/>
                <w:color w:val="E6F4F5"/>
                <w:sz w:val="22"/>
                <w:szCs w:val="22"/>
              </w:rPr>
              <w:t xml:space="preserve">Sub-Feature 9.4  |  </w:t>
            </w:r>
            <w:r>
              <w:rPr>
                <w:rFonts w:ascii="Arial" w:cs="Arial" w:eastAsia="Arial" w:hAnsi="Arial"/>
                <w:b/>
                <w:bCs/>
                <w:color w:val="FFFFFF"/>
                <w:sz w:val="26"/>
                <w:szCs w:val="26"/>
              </w:rPr>
              <w:t xml:space="preserve">Pre-Visit Skill Preparation</w:t>
            </w:r>
          </w:p>
        </w:tc>
      </w:tr>
    </w:tbl>
    <w:p>
      <w:pPr>
        <w:spacing w:before="60" w:after="60"/>
      </w:pPr>
      <w:r>
        <w:t xml:space="preserve"/>
      </w:r>
    </w:p>
    <w:p>
      <w:pPr>
        <w:pStyle w:val="Heading2"/>
        <w:spacing w:before="280" w:after="120"/>
      </w:pPr>
      <w:r>
        <w:rPr>
          <w:rFonts w:ascii="Arial" w:cs="Arial" w:eastAsia="Arial" w:hAnsi="Arial"/>
          <w:b/>
          <w:bCs/>
          <w:color w:val="1A1A2E"/>
          <w:sz w:val="28"/>
          <w:szCs w:val="28"/>
        </w:rPr>
        <w:t xml:space="preserve">Feature Overview</w:t>
      </w:r>
    </w:p>
    <w:p>
      <w:pPr>
        <w:spacing w:before="80" w:after="80"/>
      </w:pPr>
      <w:r>
        <w:rPr>
          <w:rFonts w:ascii="Arial" w:cs="Arial" w:eastAsia="Arial" w:hAnsi="Arial"/>
          <w:color w:val="1A1A2E"/>
          <w:sz w:val="22"/>
          <w:szCs w:val="22"/>
        </w:rPr>
        <w:t xml:space="preserve">Industrial visits are significantly more valuable when students arrive with baseline domain knowledge relevant to the industry they are visiting. This sub-feature delivers targeted, bite-sized skill preparation modules to students in the days before the visit so they can engage meaningfully with what they observe.</w:t>
      </w:r>
    </w:p>
    <w:p>
      <w:pPr>
        <w:spacing w:before="60" w:after="60"/>
      </w:pPr>
      <w:r>
        <w:t xml:space="preserve"/>
      </w:r>
    </w:p>
    <w:p>
      <w:pPr>
        <w:spacing w:before="200" w:after="80"/>
      </w:pPr>
      <w:r>
        <w:rPr>
          <w:rFonts w:ascii="Arial" w:cs="Arial" w:eastAsia="Arial" w:hAnsi="Arial"/>
          <w:b/>
          <w:bCs/>
          <w:color w:val="0D7377"/>
          <w:sz w:val="24"/>
          <w:szCs w:val="24"/>
        </w:rPr>
        <w:t xml:space="preserve">Core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Skill gap analysis: Platform identifies each student's existing domain knowledge against the visit's industry sector</w:t>
      </w:r>
    </w:p>
    <w:p>
      <w:pPr>
        <w:pStyle w:val="ListParagraph"/>
        <w:numPr>
          <w:ilvl w:val="0"/>
          <w:numId w:val="2"/>
        </w:numPr>
        <w:spacing w:before="60" w:after="60"/>
      </w:pPr>
      <w:r>
        <w:rPr>
          <w:rFonts w:ascii="Arial" w:cs="Arial" w:eastAsia="Arial" w:hAnsi="Arial"/>
          <w:b w:val="false"/>
          <w:bCs w:val="false"/>
          <w:color w:val="1A1A2E"/>
          <w:sz w:val="22"/>
          <w:szCs w:val="22"/>
        </w:rPr>
        <w:t xml:space="preserve">Personalized micro-learning assignments: 2–5 short modules (video + quiz) delivered 3–7 days before the visit</w:t>
      </w:r>
    </w:p>
    <w:p>
      <w:pPr>
        <w:pStyle w:val="ListParagraph"/>
        <w:numPr>
          <w:ilvl w:val="0"/>
          <w:numId w:val="2"/>
        </w:numPr>
        <w:spacing w:before="60" w:after="60"/>
      </w:pPr>
      <w:r>
        <w:rPr>
          <w:rFonts w:ascii="Arial" w:cs="Arial" w:eastAsia="Arial" w:hAnsi="Arial"/>
          <w:b w:val="false"/>
          <w:bCs w:val="false"/>
          <w:color w:val="1A1A2E"/>
          <w:sz w:val="22"/>
          <w:szCs w:val="22"/>
        </w:rPr>
        <w:t xml:space="preserve">Industry glossary: Key terms and concepts specific to the visiting industry, delivered as flashcard-style content</w:t>
      </w:r>
    </w:p>
    <w:p>
      <w:pPr>
        <w:pStyle w:val="ListParagraph"/>
        <w:numPr>
          <w:ilvl w:val="0"/>
          <w:numId w:val="2"/>
        </w:numPr>
        <w:spacing w:before="60" w:after="60"/>
      </w:pPr>
      <w:r>
        <w:rPr>
          <w:rFonts w:ascii="Arial" w:cs="Arial" w:eastAsia="Arial" w:hAnsi="Arial"/>
          <w:b w:val="false"/>
          <w:bCs w:val="false"/>
          <w:color w:val="1A1A2E"/>
          <w:sz w:val="22"/>
          <w:szCs w:val="22"/>
        </w:rPr>
        <w:t xml:space="preserve">Process overview primers: Brief explanations of standard industrial processes students will likely observe</w:t>
      </w:r>
    </w:p>
    <w:p>
      <w:pPr>
        <w:pStyle w:val="ListParagraph"/>
        <w:numPr>
          <w:ilvl w:val="0"/>
          <w:numId w:val="2"/>
        </w:numPr>
        <w:spacing w:before="60" w:after="60"/>
      </w:pPr>
      <w:r>
        <w:rPr>
          <w:rFonts w:ascii="Arial" w:cs="Arial" w:eastAsia="Arial" w:hAnsi="Arial"/>
          <w:b w:val="false"/>
          <w:bCs w:val="false"/>
          <w:color w:val="1A1A2E"/>
          <w:sz w:val="22"/>
          <w:szCs w:val="22"/>
        </w:rPr>
        <w:t xml:space="preserve">Skill completion tracking: Faculty can see which students completed preparation and at what score level</w:t>
      </w:r>
    </w:p>
    <w:p>
      <w:pPr>
        <w:pStyle w:val="ListParagraph"/>
        <w:numPr>
          <w:ilvl w:val="0"/>
          <w:numId w:val="2"/>
        </w:numPr>
        <w:spacing w:before="60" w:after="60"/>
      </w:pPr>
      <w:r>
        <w:rPr>
          <w:rFonts w:ascii="Arial" w:cs="Arial" w:eastAsia="Arial" w:hAnsi="Arial"/>
          <w:b w:val="false"/>
          <w:bCs w:val="false"/>
          <w:color w:val="1A1A2E"/>
          <w:sz w:val="22"/>
          <w:szCs w:val="22"/>
        </w:rPr>
        <w:t xml:space="preserve">Gamification: Skill badges awarded for completion; students who score above threshold receive 'Visit-Ready' status</w:t>
      </w:r>
    </w:p>
    <w:p>
      <w:pPr>
        <w:pStyle w:val="ListParagraph"/>
        <w:numPr>
          <w:ilvl w:val="0"/>
          <w:numId w:val="2"/>
        </w:numPr>
        <w:spacing w:before="60" w:after="60"/>
      </w:pPr>
      <w:r>
        <w:rPr>
          <w:rFonts w:ascii="Arial" w:cs="Arial" w:eastAsia="Arial" w:hAnsi="Arial"/>
          <w:b w:val="false"/>
          <w:bCs w:val="false"/>
          <w:color w:val="1A1A2E"/>
          <w:sz w:val="22"/>
          <w:szCs w:val="22"/>
        </w:rPr>
        <w:t xml:space="preserve">Last-minute resource pack: Downloadable quick-reference card for students to carry during the visit</w:t>
      </w:r>
    </w:p>
    <w:p>
      <w:pPr>
        <w:spacing w:before="60" w:after="60"/>
      </w:pPr>
      <w:r>
        <w:t xml:space="preserve"/>
      </w:r>
    </w:p>
    <w:p>
      <w:pPr>
        <w:spacing w:before="200" w:after="80"/>
      </w:pPr>
      <w:r>
        <w:rPr>
          <w:rFonts w:ascii="Arial" w:cs="Arial" w:eastAsia="Arial" w:hAnsi="Arial"/>
          <w:b/>
          <w:bCs/>
          <w:color w:val="0D7377"/>
          <w:sz w:val="24"/>
          <w:szCs w:val="24"/>
        </w:rPr>
        <w:t xml:space="preserve">Research Insight</w:t>
      </w:r>
    </w:p>
    <w:p>
      <w:pPr>
        <w:spacing w:before="80" w:after="80"/>
      </w:pPr>
      <w:r>
        <w:rPr>
          <w:rFonts w:ascii="Arial" w:cs="Arial" w:eastAsia="Arial" w:hAnsi="Arial"/>
          <w:color w:val="1A1A2E"/>
          <w:sz w:val="22"/>
          <w:szCs w:val="22"/>
        </w:rPr>
        <w:t xml:space="preserve">Cognitive load theory established by Sweller demonstrates that individuals learn better from new experiences when they have relevant prior knowledge scaffolded beforehand. Pre-visit skill preparation directly reduces cognitive overload during the visit, allowing students to observe at a deeper analytical level rather than being overwhelmed by unfamiliar terminology and processes.</w:t>
      </w:r>
    </w:p>
    <w:p>
      <w:pPr>
        <w:spacing w:before="60" w:after="60"/>
      </w:pPr>
      <w:r>
        <w:t xml:space="preserve"/>
      </w:r>
    </w:p>
    <w:p>
      <w:pPr>
        <w:pBdr>
          <w:bottom w:val="single" w:color="B2DFE2" w:sz="4" w:space="1"/>
        </w:pBd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7377" w:val="clear"/>
            <w:tcMar>
              <w:top w:type="dxa" w:w="120"/>
              <w:left w:type="dxa" w:w="200"/>
              <w:bottom w:type="dxa" w:w="120"/>
              <w:right w:type="dxa" w:w="200"/>
            </w:tcMar>
          </w:tcPr>
          <w:p>
            <w:r>
              <w:rPr>
                <w:rFonts w:ascii="Arial" w:cs="Arial" w:eastAsia="Arial" w:hAnsi="Arial"/>
                <w:b w:val="false"/>
                <w:bCs w:val="false"/>
                <w:color w:val="E6F4F5"/>
                <w:sz w:val="22"/>
                <w:szCs w:val="22"/>
              </w:rPr>
              <w:t xml:space="preserve">Sub-Feature 9.5  |  </w:t>
            </w:r>
            <w:r>
              <w:rPr>
                <w:rFonts w:ascii="Arial" w:cs="Arial" w:eastAsia="Arial" w:hAnsi="Arial"/>
                <w:b/>
                <w:bCs/>
                <w:color w:val="FFFFFF"/>
                <w:sz w:val="26"/>
                <w:szCs w:val="26"/>
              </w:rPr>
              <w:t xml:space="preserve">Industry Process Explanation</w:t>
            </w:r>
          </w:p>
        </w:tc>
      </w:tr>
    </w:tbl>
    <w:p>
      <w:pPr>
        <w:spacing w:before="60" w:after="60"/>
      </w:pPr>
      <w:r>
        <w:t xml:space="preserve"/>
      </w:r>
    </w:p>
    <w:p>
      <w:pPr>
        <w:pStyle w:val="Heading2"/>
        <w:spacing w:before="280" w:after="120"/>
      </w:pPr>
      <w:r>
        <w:rPr>
          <w:rFonts w:ascii="Arial" w:cs="Arial" w:eastAsia="Arial" w:hAnsi="Arial"/>
          <w:b/>
          <w:bCs/>
          <w:color w:val="1A1A2E"/>
          <w:sz w:val="28"/>
          <w:szCs w:val="28"/>
        </w:rPr>
        <w:t xml:space="preserve">Feature Overview</w:t>
      </w:r>
    </w:p>
    <w:p>
      <w:pPr>
        <w:spacing w:before="80" w:after="80"/>
      </w:pPr>
      <w:r>
        <w:rPr>
          <w:rFonts w:ascii="Arial" w:cs="Arial" w:eastAsia="Arial" w:hAnsi="Arial"/>
          <w:color w:val="1A1A2E"/>
          <w:sz w:val="22"/>
          <w:szCs w:val="22"/>
        </w:rPr>
        <w:t xml:space="preserve">A major gap in industrial visits is that students observe physical operations without adequate contextual explanation. This sub-feature enables faculty, company hosts, or platform-curated content to deliver real-time or pre-loaded industry process explanations — so students understand not just what they are seeing, but why it happens and how it connects to their education.</w:t>
      </w:r>
    </w:p>
    <w:p>
      <w:pPr>
        <w:spacing w:before="60" w:after="60"/>
      </w:pPr>
      <w:r>
        <w:t xml:space="preserve"/>
      </w:r>
    </w:p>
    <w:p>
      <w:pPr>
        <w:spacing w:before="200" w:after="80"/>
      </w:pPr>
      <w:r>
        <w:rPr>
          <w:rFonts w:ascii="Arial" w:cs="Arial" w:eastAsia="Arial" w:hAnsi="Arial"/>
          <w:b/>
          <w:bCs/>
          <w:color w:val="0D7377"/>
          <w:sz w:val="24"/>
          <w:szCs w:val="24"/>
        </w:rPr>
        <w:t xml:space="preserve">Core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Industry process library: pre-built explanations for 50+ common industrial processes across 15+ sectors</w:t>
      </w:r>
    </w:p>
    <w:p>
      <w:pPr>
        <w:pStyle w:val="ListParagraph"/>
        <w:numPr>
          <w:ilvl w:val="0"/>
          <w:numId w:val="2"/>
        </w:numPr>
        <w:spacing w:before="60" w:after="60"/>
      </w:pPr>
      <w:r>
        <w:rPr>
          <w:rFonts w:ascii="Arial" w:cs="Arial" w:eastAsia="Arial" w:hAnsi="Arial"/>
          <w:b w:val="false"/>
          <w:bCs w:val="false"/>
          <w:color w:val="1A1A2E"/>
          <w:sz w:val="22"/>
          <w:szCs w:val="22"/>
        </w:rPr>
        <w:t xml:space="preserve">QR-code linkable content: Physical QR codes can be placed at observation stations during the visit; students scan to get explanations on their phones</w:t>
      </w:r>
    </w:p>
    <w:p>
      <w:pPr>
        <w:pStyle w:val="ListParagraph"/>
        <w:numPr>
          <w:ilvl w:val="0"/>
          <w:numId w:val="2"/>
        </w:numPr>
        <w:spacing w:before="60" w:after="60"/>
      </w:pPr>
      <w:r>
        <w:rPr>
          <w:rFonts w:ascii="Arial" w:cs="Arial" w:eastAsia="Arial" w:hAnsi="Arial"/>
          <w:b w:val="false"/>
          <w:bCs w:val="false"/>
          <w:color w:val="1A1A2E"/>
          <w:sz w:val="22"/>
          <w:szCs w:val="22"/>
        </w:rPr>
        <w:t xml:space="preserve">Host company content upload: Visiting companies can upload their own process videos, plant layouts, and explanatory materials</w:t>
      </w:r>
    </w:p>
    <w:p>
      <w:pPr>
        <w:pStyle w:val="ListParagraph"/>
        <w:numPr>
          <w:ilvl w:val="0"/>
          <w:numId w:val="2"/>
        </w:numPr>
        <w:spacing w:before="60" w:after="60"/>
      </w:pPr>
      <w:r>
        <w:rPr>
          <w:rFonts w:ascii="Arial" w:cs="Arial" w:eastAsia="Arial" w:hAnsi="Arial"/>
          <w:b w:val="false"/>
          <w:bCs w:val="false"/>
          <w:color w:val="1A1A2E"/>
          <w:sz w:val="22"/>
          <w:szCs w:val="22"/>
        </w:rPr>
        <w:t xml:space="preserve">Faculty narration tool: Faculty can pre-record audio or video commentary for specific observation points, delivered to students during the visit</w:t>
      </w:r>
    </w:p>
    <w:p>
      <w:pPr>
        <w:pStyle w:val="ListParagraph"/>
        <w:numPr>
          <w:ilvl w:val="0"/>
          <w:numId w:val="2"/>
        </w:numPr>
        <w:spacing w:before="60" w:after="60"/>
      </w:pPr>
      <w:r>
        <w:rPr>
          <w:rFonts w:ascii="Arial" w:cs="Arial" w:eastAsia="Arial" w:hAnsi="Arial"/>
          <w:b w:val="false"/>
          <w:bCs w:val="false"/>
          <w:color w:val="1A1A2E"/>
          <w:sz w:val="22"/>
          <w:szCs w:val="22"/>
        </w:rPr>
        <w:t xml:space="preserve">Real-time query submission: Students can submit questions during the visit for faculty to address on-site or in post-visit debrief</w:t>
      </w:r>
    </w:p>
    <w:p>
      <w:pPr>
        <w:pStyle w:val="ListParagraph"/>
        <w:numPr>
          <w:ilvl w:val="0"/>
          <w:numId w:val="2"/>
        </w:numPr>
        <w:spacing w:before="60" w:after="60"/>
      </w:pPr>
      <w:r>
        <w:rPr>
          <w:rFonts w:ascii="Arial" w:cs="Arial" w:eastAsia="Arial" w:hAnsi="Arial"/>
          <w:b w:val="false"/>
          <w:bCs w:val="false"/>
          <w:color w:val="1A1A2E"/>
          <w:sz w:val="22"/>
          <w:szCs w:val="22"/>
        </w:rPr>
        <w:t xml:space="preserve">Cross-subject linkage: Each process explanation tagged to relevant subjects in the student's current curriculum</w:t>
      </w:r>
    </w:p>
    <w:p>
      <w:pPr>
        <w:pStyle w:val="ListParagraph"/>
        <w:numPr>
          <w:ilvl w:val="0"/>
          <w:numId w:val="2"/>
        </w:numPr>
        <w:spacing w:before="60" w:after="60"/>
      </w:pPr>
      <w:r>
        <w:rPr>
          <w:rFonts w:ascii="Arial" w:cs="Arial" w:eastAsia="Arial" w:hAnsi="Arial"/>
          <w:b w:val="false"/>
          <w:bCs w:val="false"/>
          <w:color w:val="1A1A2E"/>
          <w:sz w:val="22"/>
          <w:szCs w:val="22"/>
        </w:rPr>
        <w:t xml:space="preserve">Simplified visual diagrams: Process flowcharts and labeled diagrams accessible in-app during the visit</w:t>
      </w:r>
    </w:p>
    <w:p>
      <w:pPr>
        <w:spacing w:before="60" w:after="60"/>
      </w:pPr>
      <w:r>
        <w:t xml:space="preserve"/>
      </w:r>
    </w:p>
    <w:p>
      <w:pPr>
        <w:spacing w:before="200" w:after="80"/>
      </w:pPr>
      <w:r>
        <w:rPr>
          <w:rFonts w:ascii="Arial" w:cs="Arial" w:eastAsia="Arial" w:hAnsi="Arial"/>
          <w:b/>
          <w:bCs/>
          <w:color w:val="0D7377"/>
          <w:sz w:val="24"/>
          <w:szCs w:val="24"/>
        </w:rPr>
        <w:t xml:space="preserve">Research Insight</w:t>
      </w:r>
    </w:p>
    <w:p>
      <w:pPr>
        <w:spacing w:before="80" w:after="80"/>
      </w:pPr>
      <w:r>
        <w:rPr>
          <w:rFonts w:ascii="Arial" w:cs="Arial" w:eastAsia="Arial" w:hAnsi="Arial"/>
          <w:color w:val="1A1A2E"/>
          <w:sz w:val="22"/>
          <w:szCs w:val="22"/>
        </w:rPr>
        <w:t xml:space="preserve">Research in workplace-based learning highlights the importance of guided interpretation. Without expert mediation, students observing industrial processes default to superficial impressions. Structured process explanation — whether through faculty guidance, digital content, or host narration — transforms passive observation into active sense-making that aligns with academic learning objectives.</w:t>
      </w:r>
    </w:p>
    <w:p>
      <w:pPr>
        <w:spacing w:before="60" w:after="60"/>
      </w:pPr>
      <w:r>
        <w:t xml:space="preserve"/>
      </w:r>
    </w:p>
    <w:p>
      <w:pPr>
        <w:pBdr>
          <w:bottom w:val="single" w:color="B2DFE2" w:sz="4" w:space="1"/>
        </w:pBd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7377" w:val="clear"/>
            <w:tcMar>
              <w:top w:type="dxa" w:w="120"/>
              <w:left w:type="dxa" w:w="200"/>
              <w:bottom w:type="dxa" w:w="120"/>
              <w:right w:type="dxa" w:w="200"/>
            </w:tcMar>
          </w:tcPr>
          <w:p>
            <w:r>
              <w:rPr>
                <w:rFonts w:ascii="Arial" w:cs="Arial" w:eastAsia="Arial" w:hAnsi="Arial"/>
                <w:b w:val="false"/>
                <w:bCs w:val="false"/>
                <w:color w:val="E6F4F5"/>
                <w:sz w:val="22"/>
                <w:szCs w:val="22"/>
              </w:rPr>
              <w:t xml:space="preserve">Sub-Feature 9.6  |  </w:t>
            </w:r>
            <w:r>
              <w:rPr>
                <w:rFonts w:ascii="Arial" w:cs="Arial" w:eastAsia="Arial" w:hAnsi="Arial"/>
                <w:b/>
                <w:bCs/>
                <w:color w:val="FFFFFF"/>
                <w:sz w:val="26"/>
                <w:szCs w:val="26"/>
              </w:rPr>
              <w:t xml:space="preserve">Live Industrial Visit Facilitation</w:t>
            </w:r>
          </w:p>
        </w:tc>
      </w:tr>
    </w:tbl>
    <w:p>
      <w:pPr>
        <w:spacing w:before="60" w:after="60"/>
      </w:pPr>
      <w:r>
        <w:t xml:space="preserve"/>
      </w:r>
    </w:p>
    <w:p>
      <w:pPr>
        <w:pStyle w:val="Heading2"/>
        <w:spacing w:before="280" w:after="120"/>
      </w:pPr>
      <w:r>
        <w:rPr>
          <w:rFonts w:ascii="Arial" w:cs="Arial" w:eastAsia="Arial" w:hAnsi="Arial"/>
          <w:b/>
          <w:bCs/>
          <w:color w:val="1A1A2E"/>
          <w:sz w:val="28"/>
          <w:szCs w:val="28"/>
        </w:rPr>
        <w:t xml:space="preserve">Feature Overview</w:t>
      </w:r>
    </w:p>
    <w:p>
      <w:pPr>
        <w:spacing w:before="80" w:after="80"/>
      </w:pPr>
      <w:r>
        <w:rPr>
          <w:rFonts w:ascii="Arial" w:cs="Arial" w:eastAsia="Arial" w:hAnsi="Arial"/>
          <w:color w:val="1A1A2E"/>
          <w:sz w:val="22"/>
          <w:szCs w:val="22"/>
        </w:rPr>
        <w:t xml:space="preserve">The visit day itself requires real-time coordination between students, faculty, company hosts, and institutional administration. This sub-feature provides a live facilitation dashboard and student-facing mobile experience that makes the visit day smooth, safe, and educationally productive.</w:t>
      </w:r>
    </w:p>
    <w:p>
      <w:pPr>
        <w:spacing w:before="60" w:after="60"/>
      </w:pPr>
      <w:r>
        <w:t xml:space="preserve"/>
      </w:r>
    </w:p>
    <w:p>
      <w:pPr>
        <w:spacing w:before="200" w:after="80"/>
      </w:pPr>
      <w:r>
        <w:rPr>
          <w:rFonts w:ascii="Arial" w:cs="Arial" w:eastAsia="Arial" w:hAnsi="Arial"/>
          <w:b/>
          <w:bCs/>
          <w:color w:val="0D7377"/>
          <w:sz w:val="24"/>
          <w:szCs w:val="24"/>
        </w:rPr>
        <w:t xml:space="preserve">Core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Live attendance marking with QR code scanning at visit entry point</w:t>
      </w:r>
    </w:p>
    <w:p>
      <w:pPr>
        <w:pStyle w:val="ListParagraph"/>
        <w:numPr>
          <w:ilvl w:val="0"/>
          <w:numId w:val="2"/>
        </w:numPr>
        <w:spacing w:before="60" w:after="60"/>
      </w:pPr>
      <w:r>
        <w:rPr>
          <w:rFonts w:ascii="Arial" w:cs="Arial" w:eastAsia="Arial" w:hAnsi="Arial"/>
          <w:b w:val="false"/>
          <w:bCs w:val="false"/>
          <w:color w:val="1A1A2E"/>
          <w:sz w:val="22"/>
          <w:szCs w:val="22"/>
        </w:rPr>
        <w:t xml:space="preserve">Real-time student location grouping: Students divided into sub-groups; faculty assigned per group</w:t>
      </w:r>
    </w:p>
    <w:p>
      <w:pPr>
        <w:pStyle w:val="ListParagraph"/>
        <w:numPr>
          <w:ilvl w:val="0"/>
          <w:numId w:val="2"/>
        </w:numPr>
        <w:spacing w:before="60" w:after="60"/>
      </w:pPr>
      <w:r>
        <w:rPr>
          <w:rFonts w:ascii="Arial" w:cs="Arial" w:eastAsia="Arial" w:hAnsi="Arial"/>
          <w:b w:val="false"/>
          <w:bCs w:val="false"/>
          <w:color w:val="1A1A2E"/>
          <w:sz w:val="22"/>
          <w:szCs w:val="22"/>
        </w:rPr>
        <w:t xml:space="preserve">Live timeline: Itinerary visible to all stakeholders with time-slot alerts for each observation zone</w:t>
      </w:r>
    </w:p>
    <w:p>
      <w:pPr>
        <w:pStyle w:val="ListParagraph"/>
        <w:numPr>
          <w:ilvl w:val="0"/>
          <w:numId w:val="2"/>
        </w:numPr>
        <w:spacing w:before="60" w:after="60"/>
      </w:pPr>
      <w:r>
        <w:rPr>
          <w:rFonts w:ascii="Arial" w:cs="Arial" w:eastAsia="Arial" w:hAnsi="Arial"/>
          <w:b w:val="false"/>
          <w:bCs w:val="false"/>
          <w:color w:val="1A1A2E"/>
          <w:sz w:val="22"/>
          <w:szCs w:val="22"/>
        </w:rPr>
        <w:t xml:space="preserve">Emergency SOS button: Students can trigger emergency alert visible to faculty and institute admin instantly</w:t>
      </w:r>
    </w:p>
    <w:p>
      <w:pPr>
        <w:pStyle w:val="ListParagraph"/>
        <w:numPr>
          <w:ilvl w:val="0"/>
          <w:numId w:val="2"/>
        </w:numPr>
        <w:spacing w:before="60" w:after="60"/>
      </w:pPr>
      <w:r>
        <w:rPr>
          <w:rFonts w:ascii="Arial" w:cs="Arial" w:eastAsia="Arial" w:hAnsi="Arial"/>
          <w:b w:val="false"/>
          <w:bCs w:val="false"/>
          <w:color w:val="1A1A2E"/>
          <w:sz w:val="22"/>
          <w:szCs w:val="22"/>
        </w:rPr>
        <w:t xml:space="preserve">Communication channel: In-app group chat for faculty-to-student announcements during the visit</w:t>
      </w:r>
    </w:p>
    <w:p>
      <w:pPr>
        <w:pStyle w:val="ListParagraph"/>
        <w:numPr>
          <w:ilvl w:val="0"/>
          <w:numId w:val="2"/>
        </w:numPr>
        <w:spacing w:before="60" w:after="60"/>
      </w:pPr>
      <w:r>
        <w:rPr>
          <w:rFonts w:ascii="Arial" w:cs="Arial" w:eastAsia="Arial" w:hAnsi="Arial"/>
          <w:b w:val="false"/>
          <w:bCs w:val="false"/>
          <w:color w:val="1A1A2E"/>
          <w:sz w:val="22"/>
          <w:szCs w:val="22"/>
        </w:rPr>
        <w:t xml:space="preserve">Photo/video documentation trigger: Faculty can prompt students to capture specific moments using in-app guided photography</w:t>
      </w:r>
    </w:p>
    <w:p>
      <w:pPr>
        <w:pStyle w:val="ListParagraph"/>
        <w:numPr>
          <w:ilvl w:val="0"/>
          <w:numId w:val="2"/>
        </w:numPr>
        <w:spacing w:before="60" w:after="60"/>
      </w:pPr>
      <w:r>
        <w:rPr>
          <w:rFonts w:ascii="Arial" w:cs="Arial" w:eastAsia="Arial" w:hAnsi="Arial"/>
          <w:b w:val="false"/>
          <w:bCs w:val="false"/>
          <w:color w:val="1A1A2E"/>
          <w:sz w:val="22"/>
          <w:szCs w:val="22"/>
        </w:rPr>
        <w:t xml:space="preserve">Absentee management: Students who miss the visit are automatically flagged for alternate activity assignment</w:t>
      </w:r>
    </w:p>
    <w:p>
      <w:pPr>
        <w:pStyle w:val="ListParagraph"/>
        <w:numPr>
          <w:ilvl w:val="0"/>
          <w:numId w:val="2"/>
        </w:numPr>
        <w:spacing w:before="60" w:after="60"/>
      </w:pPr>
      <w:r>
        <w:rPr>
          <w:rFonts w:ascii="Arial" w:cs="Arial" w:eastAsia="Arial" w:hAnsi="Arial"/>
          <w:b w:val="false"/>
          <w:bCs w:val="false"/>
          <w:color w:val="1A1A2E"/>
          <w:sz w:val="22"/>
          <w:szCs w:val="22"/>
        </w:rPr>
        <w:t xml:space="preserve">Host company interface: Company coordinator receives live student count, group assignments, and itinerary on their end</w:t>
      </w:r>
    </w:p>
    <w:p>
      <w:pPr>
        <w:pStyle w:val="ListParagraph"/>
        <w:numPr>
          <w:ilvl w:val="0"/>
          <w:numId w:val="2"/>
        </w:numPr>
        <w:spacing w:before="60" w:after="60"/>
      </w:pPr>
      <w:r>
        <w:rPr>
          <w:rFonts w:ascii="Arial" w:cs="Arial" w:eastAsia="Arial" w:hAnsi="Arial"/>
          <w:b w:val="false"/>
          <w:bCs w:val="false"/>
          <w:color w:val="1A1A2E"/>
          <w:sz w:val="22"/>
          <w:szCs w:val="22"/>
        </w:rPr>
        <w:t xml:space="preserve">Parent live update: Optional real-time status updates sent to parents at predefined checkpoints (arrived, lunch, depart)</w:t>
      </w:r>
    </w:p>
    <w:p>
      <w:pPr>
        <w:spacing w:before="60" w:after="60"/>
      </w:pPr>
      <w:r>
        <w:t xml:space="preserve"/>
      </w:r>
    </w:p>
    <w:p>
      <w:pPr>
        <w:spacing w:before="200" w:after="80"/>
      </w:pPr>
      <w:r>
        <w:rPr>
          <w:rFonts w:ascii="Arial" w:cs="Arial" w:eastAsia="Arial" w:hAnsi="Arial"/>
          <w:b/>
          <w:bCs/>
          <w:color w:val="0D7377"/>
          <w:sz w:val="24"/>
          <w:szCs w:val="24"/>
        </w:rPr>
        <w:t xml:space="preserve">Research Insight</w:t>
      </w:r>
    </w:p>
    <w:p>
      <w:pPr>
        <w:spacing w:before="80" w:after="80"/>
      </w:pPr>
      <w:r>
        <w:rPr>
          <w:rFonts w:ascii="Arial" w:cs="Arial" w:eastAsia="Arial" w:hAnsi="Arial"/>
          <w:color w:val="1A1A2E"/>
          <w:sz w:val="22"/>
          <w:szCs w:val="22"/>
        </w:rPr>
        <w:t xml:space="preserve">Field-based education research consistently shows that structure during the experience itself — not just before and after — is critical to learning outcome quality. Providing digital facilitation tools reduces faculty cognitive burden on logistics, allowing them to focus on educational guidance. The addition of a parent communication layer specifically addresses trust barriers prevalent in tier-2/3 institute populations.</w:t>
      </w:r>
    </w:p>
    <w:p>
      <w:pPr>
        <w:spacing w:before="60" w:after="60"/>
      </w:pPr>
      <w:r>
        <w:t xml:space="preserve"/>
      </w:r>
    </w:p>
    <w:p>
      <w:pPr>
        <w:pBdr>
          <w:bottom w:val="single" w:color="B2DFE2" w:sz="4" w:space="1"/>
        </w:pBdr>
        <w:spacing w:before="120" w:after="12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7377" w:val="clear"/>
            <w:tcMar>
              <w:top w:type="dxa" w:w="120"/>
              <w:left w:type="dxa" w:w="200"/>
              <w:bottom w:type="dxa" w:w="120"/>
              <w:right w:type="dxa" w:w="200"/>
            </w:tcMar>
          </w:tcPr>
          <w:p>
            <w:r>
              <w:rPr>
                <w:rFonts w:ascii="Arial" w:cs="Arial" w:eastAsia="Arial" w:hAnsi="Arial"/>
                <w:b w:val="false"/>
                <w:bCs w:val="false"/>
                <w:color w:val="E6F4F5"/>
                <w:sz w:val="22"/>
                <w:szCs w:val="22"/>
              </w:rPr>
              <w:t xml:space="preserve">Sub-Feature 9.7  |  </w:t>
            </w:r>
            <w:r>
              <w:rPr>
                <w:rFonts w:ascii="Arial" w:cs="Arial" w:eastAsia="Arial" w:hAnsi="Arial"/>
                <w:b/>
                <w:bCs/>
                <w:color w:val="FFFFFF"/>
                <w:sz w:val="26"/>
                <w:szCs w:val="26"/>
              </w:rPr>
              <w:t xml:space="preserve">Student Observation Guidance</w:t>
            </w:r>
          </w:p>
        </w:tc>
      </w:tr>
    </w:tbl>
    <w:p>
      <w:pPr>
        <w:spacing w:before="60" w:after="60"/>
      </w:pPr>
      <w:r>
        <w:t xml:space="preserve"/>
      </w:r>
    </w:p>
    <w:p>
      <w:pPr>
        <w:pStyle w:val="Heading2"/>
        <w:spacing w:before="280" w:after="120"/>
      </w:pPr>
      <w:r>
        <w:rPr>
          <w:rFonts w:ascii="Arial" w:cs="Arial" w:eastAsia="Arial" w:hAnsi="Arial"/>
          <w:b/>
          <w:bCs/>
          <w:color w:val="1A1A2E"/>
          <w:sz w:val="28"/>
          <w:szCs w:val="28"/>
        </w:rPr>
        <w:t xml:space="preserve">Feature Overview</w:t>
      </w:r>
    </w:p>
    <w:p>
      <w:pPr>
        <w:spacing w:before="80" w:after="80"/>
      </w:pPr>
      <w:r>
        <w:rPr>
          <w:rFonts w:ascii="Arial" w:cs="Arial" w:eastAsia="Arial" w:hAnsi="Arial"/>
          <w:color w:val="1A1A2E"/>
          <w:sz w:val="22"/>
          <w:szCs w:val="22"/>
        </w:rPr>
        <w:t xml:space="preserve">Observation is a skill — and most students arrive at industrial visits without having been taught how to observe professionally. This sub-feature provides structured observation frameworks, guided checklists, and in-moment prompts to help students observe industrial environments with precision and purpose.</w:t>
      </w:r>
    </w:p>
    <w:p>
      <w:pPr>
        <w:spacing w:before="60" w:after="60"/>
      </w:pPr>
      <w:r>
        <w:t xml:space="preserve"/>
      </w:r>
    </w:p>
    <w:p>
      <w:pPr>
        <w:spacing w:before="200" w:after="80"/>
      </w:pPr>
      <w:r>
        <w:rPr>
          <w:rFonts w:ascii="Arial" w:cs="Arial" w:eastAsia="Arial" w:hAnsi="Arial"/>
          <w:b/>
          <w:bCs/>
          <w:color w:val="0D7377"/>
          <w:sz w:val="24"/>
          <w:szCs w:val="24"/>
        </w:rPr>
        <w:t xml:space="preserve">Core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Observation checklist builder: Faculty creates a customized observation checklist before the visit; students follow it on-site via the app</w:t>
      </w:r>
    </w:p>
    <w:p>
      <w:pPr>
        <w:pStyle w:val="ListParagraph"/>
        <w:numPr>
          <w:ilvl w:val="0"/>
          <w:numId w:val="2"/>
        </w:numPr>
        <w:spacing w:before="60" w:after="60"/>
      </w:pPr>
      <w:r>
        <w:rPr>
          <w:rFonts w:ascii="Arial" w:cs="Arial" w:eastAsia="Arial" w:hAnsi="Arial"/>
          <w:b w:val="false"/>
          <w:bCs w:val="false"/>
          <w:color w:val="1A1A2E"/>
          <w:sz w:val="22"/>
          <w:szCs w:val="22"/>
        </w:rPr>
        <w:t xml:space="preserve">Industry-specific observation frameworks: Pre-built frameworks for manufacturing (5S, lean process), IT (DevOps, agile team environments), healthcare (clinical flow, patient management systems), logistics (warehouse operations, inventory systems)</w:t>
      </w:r>
    </w:p>
    <w:p>
      <w:pPr>
        <w:pStyle w:val="ListParagraph"/>
        <w:numPr>
          <w:ilvl w:val="0"/>
          <w:numId w:val="2"/>
        </w:numPr>
        <w:spacing w:before="60" w:after="60"/>
      </w:pPr>
      <w:r>
        <w:rPr>
          <w:rFonts w:ascii="Arial" w:cs="Arial" w:eastAsia="Arial" w:hAnsi="Arial"/>
          <w:b w:val="false"/>
          <w:bCs w:val="false"/>
          <w:color w:val="1A1A2E"/>
          <w:sz w:val="22"/>
          <w:szCs w:val="22"/>
        </w:rPr>
        <w:t xml:space="preserve">Observation journal: In-app text and voice note capture for real-time observations; auto-timestamped</w:t>
      </w:r>
    </w:p>
    <w:p>
      <w:pPr>
        <w:pStyle w:val="ListParagraph"/>
        <w:numPr>
          <w:ilvl w:val="0"/>
          <w:numId w:val="2"/>
        </w:numPr>
        <w:spacing w:before="60" w:after="60"/>
      </w:pPr>
      <w:r>
        <w:rPr>
          <w:rFonts w:ascii="Arial" w:cs="Arial" w:eastAsia="Arial" w:hAnsi="Arial"/>
          <w:b w:val="false"/>
          <w:bCs w:val="false"/>
          <w:color w:val="1A1A2E"/>
          <w:sz w:val="22"/>
          <w:szCs w:val="22"/>
        </w:rPr>
        <w:t xml:space="preserve">Photo annotation: Students can photograph and annotate observations with labels and notes</w:t>
      </w:r>
    </w:p>
    <w:p>
      <w:pPr>
        <w:pStyle w:val="ListParagraph"/>
        <w:numPr>
          <w:ilvl w:val="0"/>
          <w:numId w:val="2"/>
        </w:numPr>
        <w:spacing w:before="60" w:after="60"/>
      </w:pPr>
      <w:r>
        <w:rPr>
          <w:rFonts w:ascii="Arial" w:cs="Arial" w:eastAsia="Arial" w:hAnsi="Arial"/>
          <w:b w:val="false"/>
          <w:bCs w:val="false"/>
          <w:color w:val="1A1A2E"/>
          <w:sz w:val="22"/>
          <w:szCs w:val="22"/>
        </w:rPr>
        <w:t xml:space="preserve">Guided prompts: System delivers periodic in-app nudges: 'What do you notice about the workflow at this station?'</w:t>
      </w:r>
    </w:p>
    <w:p>
      <w:pPr>
        <w:pStyle w:val="ListParagraph"/>
        <w:numPr>
          <w:ilvl w:val="0"/>
          <w:numId w:val="2"/>
        </w:numPr>
        <w:spacing w:before="60" w:after="60"/>
      </w:pPr>
      <w:r>
        <w:rPr>
          <w:rFonts w:ascii="Arial" w:cs="Arial" w:eastAsia="Arial" w:hAnsi="Arial"/>
          <w:b w:val="false"/>
          <w:bCs w:val="false"/>
          <w:color w:val="1A1A2E"/>
          <w:sz w:val="22"/>
          <w:szCs w:val="22"/>
        </w:rPr>
        <w:t xml:space="preserve">Observation depth scoring: AI evaluates observation entries for depth of analysis vs. surface description</w:t>
      </w:r>
    </w:p>
    <w:p>
      <w:pPr>
        <w:pStyle w:val="ListParagraph"/>
        <w:numPr>
          <w:ilvl w:val="0"/>
          <w:numId w:val="2"/>
        </w:numPr>
        <w:spacing w:before="60" w:after="60"/>
      </w:pPr>
      <w:r>
        <w:rPr>
          <w:rFonts w:ascii="Arial" w:cs="Arial" w:eastAsia="Arial" w:hAnsi="Arial"/>
          <w:b w:val="false"/>
          <w:bCs w:val="false"/>
          <w:color w:val="1A1A2E"/>
          <w:sz w:val="22"/>
          <w:szCs w:val="22"/>
        </w:rPr>
        <w:t xml:space="preserve">Peer comparison (optional): Students can see anonymized peer observations to benchmark their own observation quality</w:t>
      </w:r>
    </w:p>
    <w:p>
      <w:pPr>
        <w:spacing w:before="60" w:after="60"/>
      </w:pPr>
      <w:r>
        <w:t xml:space="preserve"/>
      </w:r>
    </w:p>
    <w:p>
      <w:pPr>
        <w:spacing w:before="200" w:after="80"/>
      </w:pPr>
      <w:r>
        <w:rPr>
          <w:rFonts w:ascii="Arial" w:cs="Arial" w:eastAsia="Arial" w:hAnsi="Arial"/>
          <w:b/>
          <w:bCs/>
          <w:color w:val="0D7377"/>
          <w:sz w:val="24"/>
          <w:szCs w:val="24"/>
        </w:rPr>
        <w:t xml:space="preserve">Research Insight</w:t>
      </w:r>
    </w:p>
    <w:p>
      <w:pPr>
        <w:spacing w:before="80" w:after="80"/>
      </w:pPr>
      <w:r>
        <w:rPr>
          <w:rFonts w:ascii="Arial" w:cs="Arial" w:eastAsia="Arial" w:hAnsi="Arial"/>
          <w:color w:val="1A1A2E"/>
          <w:sz w:val="22"/>
          <w:szCs w:val="22"/>
        </w:rPr>
        <w:t xml:space="preserve">Educational psychology research in professional observation training — a core skill in fields like medicine, engineering, and management — confirms that untrained observers default to noticing aesthetics and novelty rather than functionally relevant details. Structured observation frameworks increase the volume and quality of meaningful observations by 3–4x compared to unguided visits.</w:t>
      </w:r>
    </w:p>
    <w:p>
      <w:pPr>
        <w:spacing w:before="60" w:after="60"/>
      </w:pPr>
      <w:r>
        <w:t xml:space="preserve"/>
      </w:r>
    </w:p>
    <w:p>
      <w:pPr>
        <w:pBdr>
          <w:bottom w:val="single" w:color="B2DFE2" w:sz="4" w:space="1"/>
        </w:pBd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7377" w:val="clear"/>
            <w:tcMar>
              <w:top w:type="dxa" w:w="120"/>
              <w:left w:type="dxa" w:w="200"/>
              <w:bottom w:type="dxa" w:w="120"/>
              <w:right w:type="dxa" w:w="200"/>
            </w:tcMar>
          </w:tcPr>
          <w:p>
            <w:r>
              <w:rPr>
                <w:rFonts w:ascii="Arial" w:cs="Arial" w:eastAsia="Arial" w:hAnsi="Arial"/>
                <w:b w:val="false"/>
                <w:bCs w:val="false"/>
                <w:color w:val="E6F4F5"/>
                <w:sz w:val="22"/>
                <w:szCs w:val="22"/>
              </w:rPr>
              <w:t xml:space="preserve">Sub-Feature 9.8  |  </w:t>
            </w:r>
            <w:r>
              <w:rPr>
                <w:rFonts w:ascii="Arial" w:cs="Arial" w:eastAsia="Arial" w:hAnsi="Arial"/>
                <w:b/>
                <w:bCs/>
                <w:color w:val="FFFFFF"/>
                <w:sz w:val="26"/>
                <w:szCs w:val="26"/>
              </w:rPr>
              <w:t xml:space="preserve">Visit Task Assignment</w:t>
            </w:r>
          </w:p>
        </w:tc>
      </w:tr>
    </w:tbl>
    <w:p>
      <w:pPr>
        <w:spacing w:before="60" w:after="60"/>
      </w:pPr>
      <w:r>
        <w:t xml:space="preserve"/>
      </w:r>
    </w:p>
    <w:p>
      <w:pPr>
        <w:pStyle w:val="Heading2"/>
        <w:spacing w:before="280" w:after="120"/>
      </w:pPr>
      <w:r>
        <w:rPr>
          <w:rFonts w:ascii="Arial" w:cs="Arial" w:eastAsia="Arial" w:hAnsi="Arial"/>
          <w:b/>
          <w:bCs/>
          <w:color w:val="1A1A2E"/>
          <w:sz w:val="28"/>
          <w:szCs w:val="28"/>
        </w:rPr>
        <w:t xml:space="preserve">Feature Overview</w:t>
      </w:r>
    </w:p>
    <w:p>
      <w:pPr>
        <w:spacing w:before="80" w:after="80"/>
      </w:pPr>
      <w:r>
        <w:rPr>
          <w:rFonts w:ascii="Arial" w:cs="Arial" w:eastAsia="Arial" w:hAnsi="Arial"/>
          <w:color w:val="1A1A2E"/>
          <w:sz w:val="22"/>
          <w:szCs w:val="22"/>
        </w:rPr>
        <w:t xml:space="preserve">To move industrial visits from passive experiences to active learning engagements, students must be assigned specific tasks to complete during and immediately after the visit. This sub-feature enables faculty to design, assign, distribute, and track visit tasks in a structured, digitally managed workflow.</w:t>
      </w:r>
    </w:p>
    <w:p>
      <w:pPr>
        <w:spacing w:before="60" w:after="60"/>
      </w:pPr>
      <w:r>
        <w:t xml:space="preserve"/>
      </w:r>
    </w:p>
    <w:p>
      <w:pPr>
        <w:spacing w:before="200" w:after="80"/>
      </w:pPr>
      <w:r>
        <w:rPr>
          <w:rFonts w:ascii="Arial" w:cs="Arial" w:eastAsia="Arial" w:hAnsi="Arial"/>
          <w:b/>
          <w:bCs/>
          <w:color w:val="0D7377"/>
          <w:sz w:val="24"/>
          <w:szCs w:val="24"/>
        </w:rPr>
        <w:t xml:space="preserve">Core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Task library with visit-appropriate formats: observation reports, process mapping exercises, equipment identification tasks, problem identification challenges, cost estimation exercises, role-shadowing reflections</w:t>
      </w:r>
    </w:p>
    <w:p>
      <w:pPr>
        <w:pStyle w:val="ListParagraph"/>
        <w:numPr>
          <w:ilvl w:val="0"/>
          <w:numId w:val="2"/>
        </w:numPr>
        <w:spacing w:before="60" w:after="60"/>
      </w:pPr>
      <w:r>
        <w:rPr>
          <w:rFonts w:ascii="Arial" w:cs="Arial" w:eastAsia="Arial" w:hAnsi="Arial"/>
          <w:b w:val="false"/>
          <w:bCs w:val="false"/>
          <w:color w:val="1A1A2E"/>
          <w:sz w:val="22"/>
          <w:szCs w:val="22"/>
        </w:rPr>
        <w:t xml:space="preserve">Individual vs. group task assignment with team formation tools</w:t>
      </w:r>
    </w:p>
    <w:p>
      <w:pPr>
        <w:pStyle w:val="ListParagraph"/>
        <w:numPr>
          <w:ilvl w:val="0"/>
          <w:numId w:val="2"/>
        </w:numPr>
        <w:spacing w:before="60" w:after="60"/>
      </w:pPr>
      <w:r>
        <w:rPr>
          <w:rFonts w:ascii="Arial" w:cs="Arial" w:eastAsia="Arial" w:hAnsi="Arial"/>
          <w:b w:val="false"/>
          <w:bCs w:val="false"/>
          <w:color w:val="1A1A2E"/>
          <w:sz w:val="22"/>
          <w:szCs w:val="22"/>
        </w:rPr>
        <w:t xml:space="preserve">In-visit task activation: Specific tasks unlock when students reach the relevant observation zone (geo-fenced or QR-triggered)</w:t>
      </w:r>
    </w:p>
    <w:p>
      <w:pPr>
        <w:pStyle w:val="ListParagraph"/>
        <w:numPr>
          <w:ilvl w:val="0"/>
          <w:numId w:val="2"/>
        </w:numPr>
        <w:spacing w:before="60" w:after="60"/>
      </w:pPr>
      <w:r>
        <w:rPr>
          <w:rFonts w:ascii="Arial" w:cs="Arial" w:eastAsia="Arial" w:hAnsi="Arial"/>
          <w:b w:val="false"/>
          <w:bCs w:val="false"/>
          <w:color w:val="1A1A2E"/>
          <w:sz w:val="22"/>
          <w:szCs w:val="22"/>
        </w:rPr>
        <w:t xml:space="preserve">Task deadline management: Tasks set with visit-day deadlines, next-day deadlines, or week-long deadlines post-visit</w:t>
      </w:r>
    </w:p>
    <w:p>
      <w:pPr>
        <w:pStyle w:val="ListParagraph"/>
        <w:numPr>
          <w:ilvl w:val="0"/>
          <w:numId w:val="2"/>
        </w:numPr>
        <w:spacing w:before="60" w:after="60"/>
      </w:pPr>
      <w:r>
        <w:rPr>
          <w:rFonts w:ascii="Arial" w:cs="Arial" w:eastAsia="Arial" w:hAnsi="Arial"/>
          <w:b w:val="false"/>
          <w:bCs w:val="false"/>
          <w:color w:val="1A1A2E"/>
          <w:sz w:val="22"/>
          <w:szCs w:val="22"/>
        </w:rPr>
        <w:t xml:space="preserve">Multimedia task submissions: Students submit text, images, voice notes, videos, or sketches</w:t>
      </w:r>
    </w:p>
    <w:p>
      <w:pPr>
        <w:pStyle w:val="ListParagraph"/>
        <w:numPr>
          <w:ilvl w:val="0"/>
          <w:numId w:val="2"/>
        </w:numPr>
        <w:spacing w:before="60" w:after="60"/>
      </w:pPr>
      <w:r>
        <w:rPr>
          <w:rFonts w:ascii="Arial" w:cs="Arial" w:eastAsia="Arial" w:hAnsi="Arial"/>
          <w:b w:val="false"/>
          <w:bCs w:val="false"/>
          <w:color w:val="1A1A2E"/>
          <w:sz w:val="22"/>
          <w:szCs w:val="22"/>
        </w:rPr>
        <w:t xml:space="preserve">Collaborative task boards: Group tasks have shared digital boards for collective contribution during the visit</w:t>
      </w:r>
    </w:p>
    <w:p>
      <w:pPr>
        <w:pStyle w:val="ListParagraph"/>
        <w:numPr>
          <w:ilvl w:val="0"/>
          <w:numId w:val="2"/>
        </w:numPr>
        <w:spacing w:before="60" w:after="60"/>
      </w:pPr>
      <w:r>
        <w:rPr>
          <w:rFonts w:ascii="Arial" w:cs="Arial" w:eastAsia="Arial" w:hAnsi="Arial"/>
          <w:b w:val="false"/>
          <w:bCs w:val="false"/>
          <w:color w:val="1A1A2E"/>
          <w:sz w:val="22"/>
          <w:szCs w:val="22"/>
        </w:rPr>
        <w:t xml:space="preserve">Task completion dashboard: Faculty sees real-time task submission status across all students and groups</w:t>
      </w:r>
    </w:p>
    <w:p>
      <w:pPr>
        <w:pStyle w:val="ListParagraph"/>
        <w:numPr>
          <w:ilvl w:val="0"/>
          <w:numId w:val="2"/>
        </w:numPr>
        <w:spacing w:before="60" w:after="60"/>
      </w:pPr>
      <w:r>
        <w:rPr>
          <w:rFonts w:ascii="Arial" w:cs="Arial" w:eastAsia="Arial" w:hAnsi="Arial"/>
          <w:b w:val="false"/>
          <w:bCs w:val="false"/>
          <w:color w:val="1A1A2E"/>
          <w:sz w:val="22"/>
          <w:szCs w:val="22"/>
        </w:rPr>
        <w:t xml:space="preserve">Automated reminders: Students receive push notifications for incomplete tasks as deadlines approach</w:t>
      </w:r>
    </w:p>
    <w:p>
      <w:pPr>
        <w:spacing w:before="60" w:after="60"/>
      </w:pPr>
      <w:r>
        <w:t xml:space="preserve"/>
      </w:r>
    </w:p>
    <w:p>
      <w:pPr>
        <w:spacing w:before="200" w:after="80"/>
      </w:pPr>
      <w:r>
        <w:rPr>
          <w:rFonts w:ascii="Arial" w:cs="Arial" w:eastAsia="Arial" w:hAnsi="Arial"/>
          <w:b/>
          <w:bCs/>
          <w:color w:val="0D7377"/>
          <w:sz w:val="24"/>
          <w:szCs w:val="24"/>
        </w:rPr>
        <w:t xml:space="preserve">Research Insight</w:t>
      </w:r>
    </w:p>
    <w:p>
      <w:pPr>
        <w:spacing w:before="80" w:after="80"/>
      </w:pPr>
      <w:r>
        <w:rPr>
          <w:rFonts w:ascii="Arial" w:cs="Arial" w:eastAsia="Arial" w:hAnsi="Arial"/>
          <w:color w:val="1A1A2E"/>
          <w:sz w:val="22"/>
          <w:szCs w:val="22"/>
        </w:rPr>
        <w:t xml:space="preserve">Active learning theory — pioneered by researchers like Bonwell and Eison — establishes that learning is significantly deeper when students must produce artifacts from their experience rather than simply observe. Visit task assignment converts the industrial visit into a project-based learning experience, with measurable outputs that can be evaluated, discussed, and even showcased to future employers as part of the student's profile.</w:t>
      </w:r>
    </w:p>
    <w:p>
      <w:pPr>
        <w:spacing w:before="60" w:after="60"/>
      </w:pPr>
      <w:r>
        <w:t xml:space="preserve"/>
      </w:r>
    </w:p>
    <w:p>
      <w:pPr>
        <w:pBdr>
          <w:bottom w:val="single" w:color="B2DFE2" w:sz="4" w:space="1"/>
        </w:pBd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7377" w:val="clear"/>
            <w:tcMar>
              <w:top w:type="dxa" w:w="120"/>
              <w:left w:type="dxa" w:w="200"/>
              <w:bottom w:type="dxa" w:w="120"/>
              <w:right w:type="dxa" w:w="200"/>
            </w:tcMar>
          </w:tcPr>
          <w:p>
            <w:r>
              <w:rPr>
                <w:rFonts w:ascii="Arial" w:cs="Arial" w:eastAsia="Arial" w:hAnsi="Arial"/>
                <w:b w:val="false"/>
                <w:bCs w:val="false"/>
                <w:color w:val="E6F4F5"/>
                <w:sz w:val="22"/>
                <w:szCs w:val="22"/>
              </w:rPr>
              <w:t xml:space="preserve">Sub-Feature 9.9  |  </w:t>
            </w:r>
            <w:r>
              <w:rPr>
                <w:rFonts w:ascii="Arial" w:cs="Arial" w:eastAsia="Arial" w:hAnsi="Arial"/>
                <w:b/>
                <w:bCs/>
                <w:color w:val="FFFFFF"/>
                <w:sz w:val="26"/>
                <w:szCs w:val="26"/>
              </w:rPr>
              <w:t xml:space="preserve">Visit Documentation Capture</w:t>
            </w:r>
          </w:p>
        </w:tc>
      </w:tr>
    </w:tbl>
    <w:p>
      <w:pPr>
        <w:spacing w:before="60" w:after="60"/>
      </w:pPr>
      <w:r>
        <w:t xml:space="preserve"/>
      </w:r>
    </w:p>
    <w:p>
      <w:pPr>
        <w:pStyle w:val="Heading2"/>
        <w:spacing w:before="280" w:after="120"/>
      </w:pPr>
      <w:r>
        <w:rPr>
          <w:rFonts w:ascii="Arial" w:cs="Arial" w:eastAsia="Arial" w:hAnsi="Arial"/>
          <w:b/>
          <w:bCs/>
          <w:color w:val="1A1A2E"/>
          <w:sz w:val="28"/>
          <w:szCs w:val="28"/>
        </w:rPr>
        <w:t xml:space="preserve">Feature Overview</w:t>
      </w:r>
    </w:p>
    <w:p>
      <w:pPr>
        <w:spacing w:before="80" w:after="80"/>
      </w:pPr>
      <w:r>
        <w:rPr>
          <w:rFonts w:ascii="Arial" w:cs="Arial" w:eastAsia="Arial" w:hAnsi="Arial"/>
          <w:color w:val="1A1A2E"/>
          <w:sz w:val="22"/>
          <w:szCs w:val="22"/>
        </w:rPr>
        <w:t xml:space="preserve">Industrial visits generate a wealth of institutional knowledge — about industry processes, company relationships, student behavior, learning outcomes, and logistics — that currently disappears with the visit itself. This sub-feature systematically captures all visit documentation and archives it in a structured, searchable, and reusable institutional repository.</w:t>
      </w:r>
    </w:p>
    <w:p>
      <w:pPr>
        <w:spacing w:before="60" w:after="60"/>
      </w:pPr>
      <w:r>
        <w:t xml:space="preserve"/>
      </w:r>
    </w:p>
    <w:p>
      <w:pPr>
        <w:spacing w:before="200" w:after="80"/>
      </w:pPr>
      <w:r>
        <w:rPr>
          <w:rFonts w:ascii="Arial" w:cs="Arial" w:eastAsia="Arial" w:hAnsi="Arial"/>
          <w:b/>
          <w:bCs/>
          <w:color w:val="0D7377"/>
          <w:sz w:val="24"/>
          <w:szCs w:val="24"/>
        </w:rPr>
        <w:t xml:space="preserve">Core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Automated visit report generation: System compiles all data captured during the visit (attendance, tasks, photos, observations) into a structured visit report</w:t>
      </w:r>
    </w:p>
    <w:p>
      <w:pPr>
        <w:pStyle w:val="ListParagraph"/>
        <w:numPr>
          <w:ilvl w:val="0"/>
          <w:numId w:val="2"/>
        </w:numPr>
        <w:spacing w:before="60" w:after="60"/>
      </w:pPr>
      <w:r>
        <w:rPr>
          <w:rFonts w:ascii="Arial" w:cs="Arial" w:eastAsia="Arial" w:hAnsi="Arial"/>
          <w:b w:val="false"/>
          <w:bCs w:val="false"/>
          <w:color w:val="1A1A2E"/>
          <w:sz w:val="22"/>
          <w:szCs w:val="22"/>
        </w:rPr>
        <w:t xml:space="preserve">Photo and video gallery: All student and faculty-captured media organized by visit, student, and observation category</w:t>
      </w:r>
    </w:p>
    <w:p>
      <w:pPr>
        <w:pStyle w:val="ListParagraph"/>
        <w:numPr>
          <w:ilvl w:val="0"/>
          <w:numId w:val="2"/>
        </w:numPr>
        <w:spacing w:before="60" w:after="60"/>
      </w:pPr>
      <w:r>
        <w:rPr>
          <w:rFonts w:ascii="Arial" w:cs="Arial" w:eastAsia="Arial" w:hAnsi="Arial"/>
          <w:b w:val="false"/>
          <w:bCs w:val="false"/>
          <w:color w:val="1A1A2E"/>
          <w:sz w:val="22"/>
          <w:szCs w:val="22"/>
        </w:rPr>
        <w:t xml:space="preserve">Industry contact capture: Hosts' professional details automatically added to the institute's industry relations directory</w:t>
      </w:r>
    </w:p>
    <w:p>
      <w:pPr>
        <w:pStyle w:val="ListParagraph"/>
        <w:numPr>
          <w:ilvl w:val="0"/>
          <w:numId w:val="2"/>
        </w:numPr>
        <w:spacing w:before="60" w:after="60"/>
      </w:pPr>
      <w:r>
        <w:rPr>
          <w:rFonts w:ascii="Arial" w:cs="Arial" w:eastAsia="Arial" w:hAnsi="Arial"/>
          <w:b w:val="false"/>
          <w:bCs w:val="false"/>
          <w:color w:val="1A1A2E"/>
          <w:sz w:val="22"/>
          <w:szCs w:val="22"/>
        </w:rPr>
        <w:t xml:space="preserve">Compliance documentation: Auto-generated permission slips, insurance acknowledgments, faculty supervision records for institute compliance requirements</w:t>
      </w:r>
    </w:p>
    <w:p>
      <w:pPr>
        <w:pStyle w:val="ListParagraph"/>
        <w:numPr>
          <w:ilvl w:val="0"/>
          <w:numId w:val="2"/>
        </w:numPr>
        <w:spacing w:before="60" w:after="60"/>
      </w:pPr>
      <w:r>
        <w:rPr>
          <w:rFonts w:ascii="Arial" w:cs="Arial" w:eastAsia="Arial" w:hAnsi="Arial"/>
          <w:b w:val="false"/>
          <w:bCs w:val="false"/>
          <w:color w:val="1A1A2E"/>
          <w:sz w:val="22"/>
          <w:szCs w:val="22"/>
        </w:rPr>
        <w:t xml:space="preserve">Student visit portfolio: Each student's observations, tasks, photos, and reflections compiled as a personal visit portfolio accessible for placement profiles</w:t>
      </w:r>
    </w:p>
    <w:p>
      <w:pPr>
        <w:pStyle w:val="ListParagraph"/>
        <w:numPr>
          <w:ilvl w:val="0"/>
          <w:numId w:val="2"/>
        </w:numPr>
        <w:spacing w:before="60" w:after="60"/>
      </w:pPr>
      <w:r>
        <w:rPr>
          <w:rFonts w:ascii="Arial" w:cs="Arial" w:eastAsia="Arial" w:hAnsi="Arial"/>
          <w:b w:val="false"/>
          <w:bCs w:val="false"/>
          <w:color w:val="1A1A2E"/>
          <w:sz w:val="22"/>
          <w:szCs w:val="22"/>
        </w:rPr>
        <w:t xml:space="preserve">Institutional visit archive: Searchable database of all past visits with outcomes, companies, learnings, and recommendations</w:t>
      </w:r>
    </w:p>
    <w:p>
      <w:pPr>
        <w:pStyle w:val="ListParagraph"/>
        <w:numPr>
          <w:ilvl w:val="0"/>
          <w:numId w:val="2"/>
        </w:numPr>
        <w:spacing w:before="60" w:after="60"/>
      </w:pPr>
      <w:r>
        <w:rPr>
          <w:rFonts w:ascii="Arial" w:cs="Arial" w:eastAsia="Arial" w:hAnsi="Arial"/>
          <w:b w:val="false"/>
          <w:bCs w:val="false"/>
          <w:color w:val="1A1A2E"/>
          <w:sz w:val="22"/>
          <w:szCs w:val="22"/>
        </w:rPr>
        <w:t xml:space="preserve">Template reuse engine: Successful visit plans, objectives, and task sets saved as templates for future cohorts</w:t>
      </w:r>
    </w:p>
    <w:p>
      <w:pPr>
        <w:pStyle w:val="ListParagraph"/>
        <w:numPr>
          <w:ilvl w:val="0"/>
          <w:numId w:val="2"/>
        </w:numPr>
        <w:spacing w:before="60" w:after="60"/>
      </w:pPr>
      <w:r>
        <w:rPr>
          <w:rFonts w:ascii="Arial" w:cs="Arial" w:eastAsia="Arial" w:hAnsi="Arial"/>
          <w:b w:val="false"/>
          <w:bCs w:val="false"/>
          <w:color w:val="1A1A2E"/>
          <w:sz w:val="22"/>
          <w:szCs w:val="22"/>
        </w:rPr>
        <w:t xml:space="preserve">Faculty time-and-effort log: Automatic logging of faculty coordination hours for workload management and recognition</w:t>
      </w:r>
    </w:p>
    <w:p>
      <w:pPr>
        <w:spacing w:before="60" w:after="60"/>
      </w:pPr>
      <w:r>
        <w:t xml:space="preserve"/>
      </w:r>
    </w:p>
    <w:p>
      <w:pPr>
        <w:spacing w:before="200" w:after="80"/>
      </w:pPr>
      <w:r>
        <w:rPr>
          <w:rFonts w:ascii="Arial" w:cs="Arial" w:eastAsia="Arial" w:hAnsi="Arial"/>
          <w:b/>
          <w:bCs/>
          <w:color w:val="0D7377"/>
          <w:sz w:val="24"/>
          <w:szCs w:val="24"/>
        </w:rPr>
        <w:t xml:space="preserve">Research Insight</w:t>
      </w:r>
    </w:p>
    <w:p>
      <w:pPr>
        <w:spacing w:before="80" w:after="80"/>
      </w:pPr>
      <w:r>
        <w:rPr>
          <w:rFonts w:ascii="Arial" w:cs="Arial" w:eastAsia="Arial" w:hAnsi="Arial"/>
          <w:color w:val="1A1A2E"/>
          <w:sz w:val="22"/>
          <w:szCs w:val="22"/>
        </w:rPr>
        <w:t xml:space="preserve">Institutional knowledge management research highlights that organizations which systematically capture experiential knowledge outperform those that rely on individual memory and informal transmission. For institutes, the visit documentation archive creates an appreciating institutional asset: with each successive visit, the platform becomes smarter, more efficient, and more connected to industry.</w:t>
      </w:r>
    </w:p>
    <w:p>
      <w:pPr>
        <w:spacing w:before="60" w:after="60"/>
      </w:pPr>
      <w:r>
        <w:t xml:space="preserve"/>
      </w:r>
    </w:p>
    <w:p>
      <w:pPr>
        <w:pBdr>
          <w:bottom w:val="single" w:color="B2DFE2" w:sz="4" w:space="1"/>
        </w:pBdr>
        <w:spacing w:before="120" w:after="12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7377" w:val="clear"/>
            <w:tcMar>
              <w:top w:type="dxa" w:w="120"/>
              <w:left w:type="dxa" w:w="200"/>
              <w:bottom w:type="dxa" w:w="120"/>
              <w:right w:type="dxa" w:w="200"/>
            </w:tcMar>
          </w:tcPr>
          <w:p>
            <w:r>
              <w:rPr>
                <w:rFonts w:ascii="Arial" w:cs="Arial" w:eastAsia="Arial" w:hAnsi="Arial"/>
                <w:b w:val="false"/>
                <w:bCs w:val="false"/>
                <w:color w:val="E6F4F5"/>
                <w:sz w:val="22"/>
                <w:szCs w:val="22"/>
              </w:rPr>
              <w:t xml:space="preserve">Sub-Feature 9.10  |  </w:t>
            </w:r>
            <w:r>
              <w:rPr>
                <w:rFonts w:ascii="Arial" w:cs="Arial" w:eastAsia="Arial" w:hAnsi="Arial"/>
                <w:b/>
                <w:bCs/>
                <w:color w:val="FFFFFF"/>
                <w:sz w:val="26"/>
                <w:szCs w:val="26"/>
              </w:rPr>
              <w:t xml:space="preserve">Visit Learning Evaluation</w:t>
            </w:r>
          </w:p>
        </w:tc>
      </w:tr>
    </w:tbl>
    <w:p>
      <w:pPr>
        <w:spacing w:before="60" w:after="60"/>
      </w:pPr>
      <w:r>
        <w:t xml:space="preserve"/>
      </w:r>
    </w:p>
    <w:p>
      <w:pPr>
        <w:pStyle w:val="Heading2"/>
        <w:spacing w:before="280" w:after="120"/>
      </w:pPr>
      <w:r>
        <w:rPr>
          <w:rFonts w:ascii="Arial" w:cs="Arial" w:eastAsia="Arial" w:hAnsi="Arial"/>
          <w:b/>
          <w:bCs/>
          <w:color w:val="1A1A2E"/>
          <w:sz w:val="28"/>
          <w:szCs w:val="28"/>
        </w:rPr>
        <w:t xml:space="preserve">Feature Overview</w:t>
      </w:r>
    </w:p>
    <w:p>
      <w:pPr>
        <w:spacing w:before="80" w:after="80"/>
      </w:pPr>
      <w:r>
        <w:rPr>
          <w:rFonts w:ascii="Arial" w:cs="Arial" w:eastAsia="Arial" w:hAnsi="Arial"/>
          <w:color w:val="1A1A2E"/>
          <w:sz w:val="22"/>
          <w:szCs w:val="22"/>
        </w:rPr>
        <w:t xml:space="preserve">Evaluation closes the learning loop. Without assessment, even excellent industrial visits yield unclear educational returns. This sub-feature provides multiple modes of formative and summative evaluation to measure what students actually learned from the industrial visit and how well each element of the visit was designed and executed.</w:t>
      </w:r>
    </w:p>
    <w:p>
      <w:pPr>
        <w:spacing w:before="60" w:after="60"/>
      </w:pPr>
      <w:r>
        <w:t xml:space="preserve"/>
      </w:r>
    </w:p>
    <w:p>
      <w:pPr>
        <w:spacing w:before="200" w:after="80"/>
      </w:pPr>
      <w:r>
        <w:rPr>
          <w:rFonts w:ascii="Arial" w:cs="Arial" w:eastAsia="Arial" w:hAnsi="Arial"/>
          <w:b/>
          <w:bCs/>
          <w:color w:val="0D7377"/>
          <w:sz w:val="24"/>
          <w:szCs w:val="24"/>
        </w:rPr>
        <w:t xml:space="preserve">Core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Pre/post knowledge comparison: Pre-visit quiz score compared to post-visit quiz on the same content, showing learning gain</w:t>
      </w:r>
    </w:p>
    <w:p>
      <w:pPr>
        <w:pStyle w:val="ListParagraph"/>
        <w:numPr>
          <w:ilvl w:val="0"/>
          <w:numId w:val="2"/>
        </w:numPr>
        <w:spacing w:before="60" w:after="60"/>
      </w:pPr>
      <w:r>
        <w:rPr>
          <w:rFonts w:ascii="Arial" w:cs="Arial" w:eastAsia="Arial" w:hAnsi="Arial"/>
          <w:b w:val="false"/>
          <w:bCs w:val="false"/>
          <w:color w:val="1A1A2E"/>
          <w:sz w:val="22"/>
          <w:szCs w:val="22"/>
        </w:rPr>
        <w:t xml:space="preserve">Task quality scoring: Faculty evaluates submitted tasks against predefined rubrics; AI assists with preliminary scoring</w:t>
      </w:r>
    </w:p>
    <w:p>
      <w:pPr>
        <w:pStyle w:val="ListParagraph"/>
        <w:numPr>
          <w:ilvl w:val="0"/>
          <w:numId w:val="2"/>
        </w:numPr>
        <w:spacing w:before="60" w:after="60"/>
      </w:pPr>
      <w:r>
        <w:rPr>
          <w:rFonts w:ascii="Arial" w:cs="Arial" w:eastAsia="Arial" w:hAnsi="Arial"/>
          <w:b w:val="false"/>
          <w:bCs w:val="false"/>
          <w:color w:val="1A1A2E"/>
          <w:sz w:val="22"/>
          <w:szCs w:val="22"/>
        </w:rPr>
        <w:t xml:space="preserve">Observation depth analytics: AI analyzes observation journal entries for depth, terminology accuracy, and analytical reasoning</w:t>
      </w:r>
    </w:p>
    <w:p>
      <w:pPr>
        <w:pStyle w:val="ListParagraph"/>
        <w:numPr>
          <w:ilvl w:val="0"/>
          <w:numId w:val="2"/>
        </w:numPr>
        <w:spacing w:before="60" w:after="60"/>
      </w:pPr>
      <w:r>
        <w:rPr>
          <w:rFonts w:ascii="Arial" w:cs="Arial" w:eastAsia="Arial" w:hAnsi="Arial"/>
          <w:b w:val="false"/>
          <w:bCs w:val="false"/>
          <w:color w:val="1A1A2E"/>
          <w:sz w:val="22"/>
          <w:szCs w:val="22"/>
        </w:rPr>
        <w:t xml:space="preserve">Peer evaluation module: Students evaluate each other's group task contributions using structured peer rubrics</w:t>
      </w:r>
    </w:p>
    <w:p>
      <w:pPr>
        <w:pStyle w:val="ListParagraph"/>
        <w:numPr>
          <w:ilvl w:val="0"/>
          <w:numId w:val="2"/>
        </w:numPr>
        <w:spacing w:before="60" w:after="60"/>
      </w:pPr>
      <w:r>
        <w:rPr>
          <w:rFonts w:ascii="Arial" w:cs="Arial" w:eastAsia="Arial" w:hAnsi="Arial"/>
          <w:b w:val="false"/>
          <w:bCs w:val="false"/>
          <w:color w:val="1A1A2E"/>
          <w:sz w:val="22"/>
          <w:szCs w:val="22"/>
        </w:rPr>
        <w:t xml:space="preserve">Attitude and engagement rating: Faculty rates each student's engagement quality during the visit</w:t>
      </w:r>
    </w:p>
    <w:p>
      <w:pPr>
        <w:pStyle w:val="ListParagraph"/>
        <w:numPr>
          <w:ilvl w:val="0"/>
          <w:numId w:val="2"/>
        </w:numPr>
        <w:spacing w:before="60" w:after="60"/>
      </w:pPr>
      <w:r>
        <w:rPr>
          <w:rFonts w:ascii="Arial" w:cs="Arial" w:eastAsia="Arial" w:hAnsi="Arial"/>
          <w:b w:val="false"/>
          <w:bCs w:val="false"/>
          <w:color w:val="1A1A2E"/>
          <w:sz w:val="22"/>
          <w:szCs w:val="22"/>
        </w:rPr>
        <w:t xml:space="preserve">Company host feedback: Hosting company can submit a brief evaluation of student conduct, curiosity level, and professionalism</w:t>
      </w:r>
    </w:p>
    <w:p>
      <w:pPr>
        <w:pStyle w:val="ListParagraph"/>
        <w:numPr>
          <w:ilvl w:val="0"/>
          <w:numId w:val="2"/>
        </w:numPr>
        <w:spacing w:before="60" w:after="60"/>
      </w:pPr>
      <w:r>
        <w:rPr>
          <w:rFonts w:ascii="Arial" w:cs="Arial" w:eastAsia="Arial" w:hAnsi="Arial"/>
          <w:b w:val="false"/>
          <w:bCs w:val="false"/>
          <w:color w:val="1A1A2E"/>
          <w:sz w:val="22"/>
          <w:szCs w:val="22"/>
        </w:rPr>
        <w:t xml:space="preserve">Composite visit score: Automated compilation of all evaluation dimensions into a single visit performance score per student</w:t>
      </w:r>
    </w:p>
    <w:p>
      <w:pPr>
        <w:pStyle w:val="ListParagraph"/>
        <w:numPr>
          <w:ilvl w:val="0"/>
          <w:numId w:val="2"/>
        </w:numPr>
        <w:spacing w:before="60" w:after="60"/>
      </w:pPr>
      <w:r>
        <w:rPr>
          <w:rFonts w:ascii="Arial" w:cs="Arial" w:eastAsia="Arial" w:hAnsi="Arial"/>
          <w:b w:val="false"/>
          <w:bCs w:val="false"/>
          <w:color w:val="1A1A2E"/>
          <w:sz w:val="22"/>
          <w:szCs w:val="22"/>
        </w:rPr>
        <w:t xml:space="preserve">Department-level performance dashboard: HOD sees aggregate learning gains across the student batch</w:t>
      </w:r>
    </w:p>
    <w:p>
      <w:pPr>
        <w:pStyle w:val="ListParagraph"/>
        <w:numPr>
          <w:ilvl w:val="0"/>
          <w:numId w:val="2"/>
        </w:numPr>
        <w:spacing w:before="60" w:after="60"/>
      </w:pPr>
      <w:r>
        <w:rPr>
          <w:rFonts w:ascii="Arial" w:cs="Arial" w:eastAsia="Arial" w:hAnsi="Arial"/>
          <w:b w:val="false"/>
          <w:bCs w:val="false"/>
          <w:color w:val="1A1A2E"/>
          <w:sz w:val="22"/>
          <w:szCs w:val="22"/>
        </w:rPr>
        <w:t xml:space="preserve">Academic credit integration: Visit scores can be mapped to internal assessment marks per institute policy</w:t>
      </w:r>
    </w:p>
    <w:p>
      <w:pPr>
        <w:spacing w:before="60" w:after="60"/>
      </w:pPr>
      <w:r>
        <w:t xml:space="preserve"/>
      </w:r>
    </w:p>
    <w:p>
      <w:pPr>
        <w:spacing w:before="200" w:after="80"/>
      </w:pPr>
      <w:r>
        <w:rPr>
          <w:rFonts w:ascii="Arial" w:cs="Arial" w:eastAsia="Arial" w:hAnsi="Arial"/>
          <w:b/>
          <w:bCs/>
          <w:color w:val="0D7377"/>
          <w:sz w:val="24"/>
          <w:szCs w:val="24"/>
        </w:rPr>
        <w:t xml:space="preserve">Research Insight</w:t>
      </w:r>
    </w:p>
    <w:p>
      <w:pPr>
        <w:spacing w:before="80" w:after="80"/>
      </w:pPr>
      <w:r>
        <w:rPr>
          <w:rFonts w:ascii="Arial" w:cs="Arial" w:eastAsia="Arial" w:hAnsi="Arial"/>
          <w:color w:val="1A1A2E"/>
          <w:sz w:val="22"/>
          <w:szCs w:val="22"/>
        </w:rPr>
        <w:t xml:space="preserve">Formative assessment research by Black and Wiliam demonstrates that ongoing feedback and evaluation dramatically improves learning outcomes. In industrial visit contexts, evaluation also creates student accountability — knowing their observations and tasks will be formally evaluated increases preparation effort, engagement during the visit, and post-visit reflection quality.</w:t>
      </w:r>
    </w:p>
    <w:p>
      <w:pPr>
        <w:spacing w:before="60" w:after="60"/>
      </w:pPr>
      <w:r>
        <w:t xml:space="preserve"/>
      </w:r>
    </w:p>
    <w:p>
      <w:pPr>
        <w:pBdr>
          <w:bottom w:val="single" w:color="B2DFE2" w:sz="4" w:space="1"/>
        </w:pBd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7377" w:val="clear"/>
            <w:tcMar>
              <w:top w:type="dxa" w:w="120"/>
              <w:left w:type="dxa" w:w="200"/>
              <w:bottom w:type="dxa" w:w="120"/>
              <w:right w:type="dxa" w:w="200"/>
            </w:tcMar>
          </w:tcPr>
          <w:p>
            <w:r>
              <w:rPr>
                <w:rFonts w:ascii="Arial" w:cs="Arial" w:eastAsia="Arial" w:hAnsi="Arial"/>
                <w:b w:val="false"/>
                <w:bCs w:val="false"/>
                <w:color w:val="E6F4F5"/>
                <w:sz w:val="22"/>
                <w:szCs w:val="22"/>
              </w:rPr>
              <w:t xml:space="preserve">Sub-Feature 9.11  |  </w:t>
            </w:r>
            <w:r>
              <w:rPr>
                <w:rFonts w:ascii="Arial" w:cs="Arial" w:eastAsia="Arial" w:hAnsi="Arial"/>
                <w:b/>
                <w:bCs/>
                <w:color w:val="FFFFFF"/>
                <w:sz w:val="26"/>
                <w:szCs w:val="26"/>
              </w:rPr>
              <w:t xml:space="preserve">Post-Visit Reflection Reports</w:t>
            </w:r>
          </w:p>
        </w:tc>
      </w:tr>
    </w:tbl>
    <w:p>
      <w:pPr>
        <w:spacing w:before="60" w:after="60"/>
      </w:pPr>
      <w:r>
        <w:t xml:space="preserve"/>
      </w:r>
    </w:p>
    <w:p>
      <w:pPr>
        <w:pStyle w:val="Heading2"/>
        <w:spacing w:before="280" w:after="120"/>
      </w:pPr>
      <w:r>
        <w:rPr>
          <w:rFonts w:ascii="Arial" w:cs="Arial" w:eastAsia="Arial" w:hAnsi="Arial"/>
          <w:b/>
          <w:bCs/>
          <w:color w:val="1A1A2E"/>
          <w:sz w:val="28"/>
          <w:szCs w:val="28"/>
        </w:rPr>
        <w:t xml:space="preserve">Feature Overview</w:t>
      </w:r>
    </w:p>
    <w:p>
      <w:pPr>
        <w:spacing w:before="80" w:after="80"/>
      </w:pPr>
      <w:r>
        <w:rPr>
          <w:rFonts w:ascii="Arial" w:cs="Arial" w:eastAsia="Arial" w:hAnsi="Arial"/>
          <w:color w:val="1A1A2E"/>
          <w:sz w:val="22"/>
          <w:szCs w:val="22"/>
        </w:rPr>
        <w:t xml:space="preserve">Reflection is where learning is consolidated. Research in experiential learning — most notably Kolb's Experiential Learning Cycle — identifies reflective observation as the critical phase between concrete experience and abstract conceptualization. This sub-feature provides structured, guided, and evaluated reflection mechanisms that help students convert their visit experience into lasting professional understanding.</w:t>
      </w:r>
    </w:p>
    <w:p>
      <w:pPr>
        <w:spacing w:before="60" w:after="60"/>
      </w:pPr>
      <w:r>
        <w:t xml:space="preserve"/>
      </w:r>
    </w:p>
    <w:p>
      <w:pPr>
        <w:spacing w:before="200" w:after="80"/>
      </w:pPr>
      <w:r>
        <w:rPr>
          <w:rFonts w:ascii="Arial" w:cs="Arial" w:eastAsia="Arial" w:hAnsi="Arial"/>
          <w:b/>
          <w:bCs/>
          <w:color w:val="0D7377"/>
          <w:sz w:val="24"/>
          <w:szCs w:val="24"/>
        </w:rPr>
        <w:t xml:space="preserve">Core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Guided reflection prompt system: Structured prompts delivered within 24 hours of the visit — 'What did you observe that surprised you?', 'How does what you saw relate to your coursework?', 'What would you do differently if you were the operations manager?'</w:t>
      </w:r>
    </w:p>
    <w:p>
      <w:pPr>
        <w:pStyle w:val="ListParagraph"/>
        <w:numPr>
          <w:ilvl w:val="0"/>
          <w:numId w:val="2"/>
        </w:numPr>
        <w:spacing w:before="60" w:after="60"/>
      </w:pPr>
      <w:r>
        <w:rPr>
          <w:rFonts w:ascii="Arial" w:cs="Arial" w:eastAsia="Arial" w:hAnsi="Arial"/>
          <w:b w:val="false"/>
          <w:bCs w:val="false"/>
          <w:color w:val="1A1A2E"/>
          <w:sz w:val="22"/>
          <w:szCs w:val="22"/>
        </w:rPr>
        <w:t xml:space="preserve">Multiple reflection formats: Written report, voice memo, video vlog, sketch/diagram, or structured template</w:t>
      </w:r>
    </w:p>
    <w:p>
      <w:pPr>
        <w:pStyle w:val="ListParagraph"/>
        <w:numPr>
          <w:ilvl w:val="0"/>
          <w:numId w:val="2"/>
        </w:numPr>
        <w:spacing w:before="60" w:after="60"/>
      </w:pPr>
      <w:r>
        <w:rPr>
          <w:rFonts w:ascii="Arial" w:cs="Arial" w:eastAsia="Arial" w:hAnsi="Arial"/>
          <w:b w:val="false"/>
          <w:bCs w:val="false"/>
          <w:color w:val="1A1A2E"/>
          <w:sz w:val="22"/>
          <w:szCs w:val="22"/>
        </w:rPr>
        <w:t xml:space="preserve">Reflection quality scoring: AI evaluates reflection depth on dimensions of personal insight, academic linkage, and professional application</w:t>
      </w:r>
    </w:p>
    <w:p>
      <w:pPr>
        <w:pStyle w:val="ListParagraph"/>
        <w:numPr>
          <w:ilvl w:val="0"/>
          <w:numId w:val="2"/>
        </w:numPr>
        <w:spacing w:before="60" w:after="60"/>
      </w:pPr>
      <w:r>
        <w:rPr>
          <w:rFonts w:ascii="Arial" w:cs="Arial" w:eastAsia="Arial" w:hAnsi="Arial"/>
          <w:b w:val="false"/>
          <w:bCs w:val="false"/>
          <w:color w:val="1A1A2E"/>
          <w:sz w:val="22"/>
          <w:szCs w:val="22"/>
        </w:rPr>
        <w:t xml:space="preserve">Faculty feedback on reflections: Faculty can annotate and respond to individual student reflections with guidance</w:t>
      </w:r>
    </w:p>
    <w:p>
      <w:pPr>
        <w:pStyle w:val="ListParagraph"/>
        <w:numPr>
          <w:ilvl w:val="0"/>
          <w:numId w:val="2"/>
        </w:numPr>
        <w:spacing w:before="60" w:after="60"/>
      </w:pPr>
      <w:r>
        <w:rPr>
          <w:rFonts w:ascii="Arial" w:cs="Arial" w:eastAsia="Arial" w:hAnsi="Arial"/>
          <w:b w:val="false"/>
          <w:bCs w:val="false"/>
          <w:color w:val="1A1A2E"/>
          <w:sz w:val="22"/>
          <w:szCs w:val="22"/>
        </w:rPr>
        <w:t xml:space="preserve">Cohort reflection synthesis: Platform compiles key themes and insights from all student reflections into a class-level synthesis report</w:t>
      </w:r>
    </w:p>
    <w:p>
      <w:pPr>
        <w:pStyle w:val="ListParagraph"/>
        <w:numPr>
          <w:ilvl w:val="0"/>
          <w:numId w:val="2"/>
        </w:numPr>
        <w:spacing w:before="60" w:after="60"/>
      </w:pPr>
      <w:r>
        <w:rPr>
          <w:rFonts w:ascii="Arial" w:cs="Arial" w:eastAsia="Arial" w:hAnsi="Arial"/>
          <w:b w:val="false"/>
          <w:bCs w:val="false"/>
          <w:color w:val="1A1A2E"/>
          <w:sz w:val="22"/>
          <w:szCs w:val="22"/>
        </w:rPr>
        <w:t xml:space="preserve">Career relevance linkage: System prompts students to connect visit observations to potential career paths and job roles</w:t>
      </w:r>
    </w:p>
    <w:p>
      <w:pPr>
        <w:pStyle w:val="ListParagraph"/>
        <w:numPr>
          <w:ilvl w:val="0"/>
          <w:numId w:val="2"/>
        </w:numPr>
        <w:spacing w:before="60" w:after="60"/>
      </w:pPr>
      <w:r>
        <w:rPr>
          <w:rFonts w:ascii="Arial" w:cs="Arial" w:eastAsia="Arial" w:hAnsi="Arial"/>
          <w:b w:val="false"/>
          <w:bCs w:val="false"/>
          <w:color w:val="1A1A2E"/>
          <w:sz w:val="22"/>
          <w:szCs w:val="22"/>
        </w:rPr>
        <w:t xml:space="preserve">Reflection portfolio publication: High-quality reflections can be published (with permission) to the student's placement profile as evidence of practical exposure</w:t>
      </w:r>
    </w:p>
    <w:p>
      <w:pPr>
        <w:pStyle w:val="ListParagraph"/>
        <w:numPr>
          <w:ilvl w:val="0"/>
          <w:numId w:val="2"/>
        </w:numPr>
        <w:spacing w:before="60" w:after="60"/>
      </w:pPr>
      <w:r>
        <w:rPr>
          <w:rFonts w:ascii="Arial" w:cs="Arial" w:eastAsia="Arial" w:hAnsi="Arial"/>
          <w:b w:val="false"/>
          <w:bCs w:val="false"/>
          <w:color w:val="1A1A2E"/>
          <w:sz w:val="22"/>
          <w:szCs w:val="22"/>
        </w:rPr>
        <w:t xml:space="preserve">Reflection timeline: Students can revisit and update reflections over subsequent weeks as understanding deepens</w:t>
      </w:r>
    </w:p>
    <w:p>
      <w:pPr>
        <w:spacing w:before="60" w:after="60"/>
      </w:pPr>
      <w:r>
        <w:t xml:space="preserve"/>
      </w:r>
    </w:p>
    <w:p>
      <w:pPr>
        <w:spacing w:before="200" w:after="80"/>
      </w:pPr>
      <w:r>
        <w:rPr>
          <w:rFonts w:ascii="Arial" w:cs="Arial" w:eastAsia="Arial" w:hAnsi="Arial"/>
          <w:b/>
          <w:bCs/>
          <w:color w:val="0D7377"/>
          <w:sz w:val="24"/>
          <w:szCs w:val="24"/>
        </w:rPr>
        <w:t xml:space="preserve">Research Insight</w:t>
      </w:r>
    </w:p>
    <w:p>
      <w:pPr>
        <w:spacing w:before="80" w:after="80"/>
      </w:pPr>
      <w:r>
        <w:rPr>
          <w:rFonts w:ascii="Arial" w:cs="Arial" w:eastAsia="Arial" w:hAnsi="Arial"/>
          <w:color w:val="1A1A2E"/>
          <w:sz w:val="22"/>
          <w:szCs w:val="22"/>
        </w:rPr>
        <w:t xml:space="preserve">Kolb's seminal 1984 work on experiential learning established that experience alone does not produce learning — reflection on the experience is essential. Moon's research on reflective writing further demonstrates that structured reflection prompts produce significantly deeper and more transferable learning than free-form journaling. Institutes that institutionalize post-visit reflection see measurable improvements in student ability to articulate experiential learning during placement interviews.</w:t>
      </w:r>
    </w:p>
    <w:p>
      <w:pPr>
        <w:spacing w:before="60" w:after="60"/>
      </w:pPr>
      <w:r>
        <w:t xml:space="preserve"/>
      </w:r>
    </w:p>
    <w:p>
      <w:pPr>
        <w:pBdr>
          <w:bottom w:val="single" w:color="B2DFE2" w:sz="4" w:space="1"/>
        </w:pBd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7377" w:val="clear"/>
            <w:tcMar>
              <w:top w:type="dxa" w:w="120"/>
              <w:left w:type="dxa" w:w="200"/>
              <w:bottom w:type="dxa" w:w="120"/>
              <w:right w:type="dxa" w:w="200"/>
            </w:tcMar>
          </w:tcPr>
          <w:p>
            <w:r>
              <w:rPr>
                <w:rFonts w:ascii="Arial" w:cs="Arial" w:eastAsia="Arial" w:hAnsi="Arial"/>
                <w:b w:val="false"/>
                <w:bCs w:val="false"/>
                <w:color w:val="E6F4F5"/>
                <w:sz w:val="22"/>
                <w:szCs w:val="22"/>
              </w:rPr>
              <w:t xml:space="preserve">Sub-Feature 9.12  |  </w:t>
            </w:r>
            <w:r>
              <w:rPr>
                <w:rFonts w:ascii="Arial" w:cs="Arial" w:eastAsia="Arial" w:hAnsi="Arial"/>
                <w:b/>
                <w:bCs/>
                <w:color w:val="FFFFFF"/>
                <w:sz w:val="26"/>
                <w:szCs w:val="26"/>
              </w:rPr>
              <w:t xml:space="preserve">Visit Outcome Analysis Research</w:t>
            </w:r>
          </w:p>
        </w:tc>
      </w:tr>
    </w:tbl>
    <w:p>
      <w:pPr>
        <w:spacing w:before="60" w:after="60"/>
      </w:pPr>
      <w:r>
        <w:t xml:space="preserve"/>
      </w:r>
    </w:p>
    <w:p>
      <w:pPr>
        <w:pStyle w:val="Heading2"/>
        <w:spacing w:before="280" w:after="120"/>
      </w:pPr>
      <w:r>
        <w:rPr>
          <w:rFonts w:ascii="Arial" w:cs="Arial" w:eastAsia="Arial" w:hAnsi="Arial"/>
          <w:b/>
          <w:bCs/>
          <w:color w:val="1A1A2E"/>
          <w:sz w:val="28"/>
          <w:szCs w:val="28"/>
        </w:rPr>
        <w:t xml:space="preserve">Feature Overview</w:t>
      </w:r>
    </w:p>
    <w:p>
      <w:pPr>
        <w:spacing w:before="80" w:after="80"/>
      </w:pPr>
      <w:r>
        <w:rPr>
          <w:rFonts w:ascii="Arial" w:cs="Arial" w:eastAsia="Arial" w:hAnsi="Arial"/>
          <w:color w:val="1A1A2E"/>
          <w:sz w:val="22"/>
          <w:szCs w:val="22"/>
        </w:rPr>
        <w:t xml:space="preserve">Industrial visits are institutional investments. Outcome analysis converts individual visit data into institutional intelligence — enabling HODs, placement officers, and management to understand ROI, refine future programs, strengthen industry relationships, and build evidence-based cases for curriculum reform and placement strategy.</w:t>
      </w:r>
    </w:p>
    <w:p>
      <w:pPr>
        <w:spacing w:before="60" w:after="60"/>
      </w:pPr>
      <w:r>
        <w:t xml:space="preserve"/>
      </w:r>
    </w:p>
    <w:p>
      <w:pPr>
        <w:spacing w:before="200" w:after="80"/>
      </w:pPr>
      <w:r>
        <w:rPr>
          <w:rFonts w:ascii="Arial" w:cs="Arial" w:eastAsia="Arial" w:hAnsi="Arial"/>
          <w:b/>
          <w:bCs/>
          <w:color w:val="0D7377"/>
          <w:sz w:val="24"/>
          <w:szCs w:val="24"/>
        </w:rPr>
        <w:t xml:space="preserve">Core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Visit ROI dashboard: Compares cost of visit against documented learning gains, student engagement scores, and placement outcome contribution</w:t>
      </w:r>
    </w:p>
    <w:p>
      <w:pPr>
        <w:pStyle w:val="ListParagraph"/>
        <w:numPr>
          <w:ilvl w:val="0"/>
          <w:numId w:val="2"/>
        </w:numPr>
        <w:spacing w:before="60" w:after="60"/>
      </w:pPr>
      <w:r>
        <w:rPr>
          <w:rFonts w:ascii="Arial" w:cs="Arial" w:eastAsia="Arial" w:hAnsi="Arial"/>
          <w:b w:val="false"/>
          <w:bCs w:val="false"/>
          <w:color w:val="1A1A2E"/>
          <w:sz w:val="22"/>
          <w:szCs w:val="22"/>
        </w:rPr>
        <w:t xml:space="preserve">Industry sector analytics: Which sectors produce the highest learning outcomes? Which companies are most cooperative? Which visits convert to placement opportunities?</w:t>
      </w:r>
    </w:p>
    <w:p>
      <w:pPr>
        <w:pStyle w:val="ListParagraph"/>
        <w:numPr>
          <w:ilvl w:val="0"/>
          <w:numId w:val="2"/>
        </w:numPr>
        <w:spacing w:before="60" w:after="60"/>
      </w:pPr>
      <w:r>
        <w:rPr>
          <w:rFonts w:ascii="Arial" w:cs="Arial" w:eastAsia="Arial" w:hAnsi="Arial"/>
          <w:b w:val="false"/>
          <w:bCs w:val="false"/>
          <w:color w:val="1A1A2E"/>
          <w:sz w:val="22"/>
          <w:szCs w:val="22"/>
        </w:rPr>
        <w:t xml:space="preserve">Student cohort impact tracking: Correlation between industrial visit participation and placement performance 6–18 months post-visit</w:t>
      </w:r>
    </w:p>
    <w:p>
      <w:pPr>
        <w:pStyle w:val="ListParagraph"/>
        <w:numPr>
          <w:ilvl w:val="0"/>
          <w:numId w:val="2"/>
        </w:numPr>
        <w:spacing w:before="60" w:after="60"/>
      </w:pPr>
      <w:r>
        <w:rPr>
          <w:rFonts w:ascii="Arial" w:cs="Arial" w:eastAsia="Arial" w:hAnsi="Arial"/>
          <w:b w:val="false"/>
          <w:bCs w:val="false"/>
          <w:color w:val="1A1A2E"/>
          <w:sz w:val="22"/>
          <w:szCs w:val="22"/>
        </w:rPr>
        <w:t xml:space="preserve">Employer relationship analytics: Tracks progression of company relationships from first visit to regular recruiter to placement partner</w:t>
      </w:r>
    </w:p>
    <w:p>
      <w:pPr>
        <w:pStyle w:val="ListParagraph"/>
        <w:numPr>
          <w:ilvl w:val="0"/>
          <w:numId w:val="2"/>
        </w:numPr>
        <w:spacing w:before="60" w:after="60"/>
      </w:pPr>
      <w:r>
        <w:rPr>
          <w:rFonts w:ascii="Arial" w:cs="Arial" w:eastAsia="Arial" w:hAnsi="Arial"/>
          <w:b w:val="false"/>
          <w:bCs w:val="false"/>
          <w:color w:val="1A1A2E"/>
          <w:sz w:val="22"/>
          <w:szCs w:val="22"/>
        </w:rPr>
        <w:t xml:space="preserve">Curriculum gap identification: Cross-reference visit observation data and student reflections to identify curriculum areas misaligned with industry practice</w:t>
      </w:r>
    </w:p>
    <w:p>
      <w:pPr>
        <w:pStyle w:val="ListParagraph"/>
        <w:numPr>
          <w:ilvl w:val="0"/>
          <w:numId w:val="2"/>
        </w:numPr>
        <w:spacing w:before="60" w:after="60"/>
      </w:pPr>
      <w:r>
        <w:rPr>
          <w:rFonts w:ascii="Arial" w:cs="Arial" w:eastAsia="Arial" w:hAnsi="Arial"/>
          <w:b w:val="false"/>
          <w:bCs w:val="false"/>
          <w:color w:val="1A1A2E"/>
          <w:sz w:val="22"/>
          <w:szCs w:val="22"/>
        </w:rPr>
        <w:t xml:space="preserve">Visit quality benchmarking: Compare visit quality metrics across departments, semesters, and years</w:t>
      </w:r>
    </w:p>
    <w:p>
      <w:pPr>
        <w:pStyle w:val="ListParagraph"/>
        <w:numPr>
          <w:ilvl w:val="0"/>
          <w:numId w:val="2"/>
        </w:numPr>
        <w:spacing w:before="60" w:after="60"/>
      </w:pPr>
      <w:r>
        <w:rPr>
          <w:rFonts w:ascii="Arial" w:cs="Arial" w:eastAsia="Arial" w:hAnsi="Arial"/>
          <w:b w:val="false"/>
          <w:bCs w:val="false"/>
          <w:color w:val="1A1A2E"/>
          <w:sz w:val="22"/>
          <w:szCs w:val="22"/>
        </w:rPr>
        <w:t xml:space="preserve">NAAC/NBA evidence generation: Auto-generate formatted reports suitable for accreditation documentation (program outcomes, experiential learning evidence)</w:t>
      </w:r>
    </w:p>
    <w:p>
      <w:pPr>
        <w:pStyle w:val="ListParagraph"/>
        <w:numPr>
          <w:ilvl w:val="0"/>
          <w:numId w:val="2"/>
        </w:numPr>
        <w:spacing w:before="60" w:after="60"/>
      </w:pPr>
      <w:r>
        <w:rPr>
          <w:rFonts w:ascii="Arial" w:cs="Arial" w:eastAsia="Arial" w:hAnsi="Arial"/>
          <w:b w:val="false"/>
          <w:bCs w:val="false"/>
          <w:color w:val="1A1A2E"/>
          <w:sz w:val="22"/>
          <w:szCs w:val="22"/>
        </w:rPr>
        <w:t xml:space="preserve">Research publication support: Aggregated anonymized visit outcome data made available for faculty research papers on industry-academia collaboration</w:t>
      </w:r>
    </w:p>
    <w:p>
      <w:pPr>
        <w:pStyle w:val="ListParagraph"/>
        <w:numPr>
          <w:ilvl w:val="0"/>
          <w:numId w:val="2"/>
        </w:numPr>
        <w:spacing w:before="60" w:after="60"/>
      </w:pPr>
      <w:r>
        <w:rPr>
          <w:rFonts w:ascii="Arial" w:cs="Arial" w:eastAsia="Arial" w:hAnsi="Arial"/>
          <w:b w:val="false"/>
          <w:bCs w:val="false"/>
          <w:color w:val="1A1A2E"/>
          <w:sz w:val="22"/>
          <w:szCs w:val="22"/>
        </w:rPr>
        <w:t xml:space="preserve">Predictive visit planning: AI recommends optimal company selection for future visits based on historical outcome data and current student cohort profiles</w:t>
      </w:r>
    </w:p>
    <w:p>
      <w:pPr>
        <w:spacing w:before="60" w:after="60"/>
      </w:pPr>
      <w:r>
        <w:t xml:space="preserve"/>
      </w:r>
    </w:p>
    <w:p>
      <w:pPr>
        <w:spacing w:before="200" w:after="80"/>
      </w:pPr>
      <w:r>
        <w:rPr>
          <w:rFonts w:ascii="Arial" w:cs="Arial" w:eastAsia="Arial" w:hAnsi="Arial"/>
          <w:b/>
          <w:bCs/>
          <w:color w:val="0D7377"/>
          <w:sz w:val="24"/>
          <w:szCs w:val="24"/>
        </w:rPr>
        <w:t xml:space="preserve">Research Insight</w:t>
      </w:r>
    </w:p>
    <w:p>
      <w:pPr>
        <w:spacing w:before="80" w:after="80"/>
      </w:pPr>
      <w:r>
        <w:rPr>
          <w:rFonts w:ascii="Arial" w:cs="Arial" w:eastAsia="Arial" w:hAnsi="Arial"/>
          <w:color w:val="1A1A2E"/>
          <w:sz w:val="22"/>
          <w:szCs w:val="22"/>
        </w:rPr>
        <w:t xml:space="preserve">Higher education research consistently identifies a gap between program activities and their measured outcomes. Industrial visits, being resource-intensive, require outcome analysis to justify institutional investment and to evolve the program over time. Outcome analytics also serve a dual purpose in India's regulatory environment: NAAC and NBA accreditation frameworks explicitly require evidence of experiential learning outcomes, and digital visit documentation provides exactly the audit trail these frameworks demand.</w:t>
      </w:r>
    </w:p>
    <w:p>
      <w:pPr>
        <w:spacing w:before="60" w:after="60"/>
      </w:pPr>
      <w:r>
        <w:t xml:space="preserve"/>
      </w:r>
    </w:p>
    <w:p>
      <w:pPr>
        <w:pBdr>
          <w:bottom w:val="single" w:color="B2DFE2" w:sz="4" w:space="1"/>
        </w:pBdr>
        <w:spacing w:before="120" w:after="120"/>
      </w:pPr>
      <w:r>
        <w:t xml:space="preserve"/>
      </w:r>
    </w:p>
    <w:p>
      <w:r>
        <w:br w:type="page"/>
      </w:r>
    </w:p>
    <w:p>
      <w:pPr>
        <w:pStyle w:val="Heading1"/>
        <w:spacing w:before="360" w:after="160"/>
      </w:pPr>
      <w:r>
        <w:rPr>
          <w:rFonts w:ascii="Arial" w:cs="Arial" w:eastAsia="Arial" w:hAnsi="Arial"/>
          <w:b/>
          <w:bCs/>
          <w:color w:val="0D7377"/>
          <w:sz w:val="36"/>
          <w:szCs w:val="36"/>
        </w:rPr>
        <w:t xml:space="preserve">Platform Integration &amp; Ecosystem Connections</w:t>
      </w:r>
    </w:p>
    <w:p>
      <w:pPr>
        <w:spacing w:before="80" w:after="80"/>
      </w:pPr>
      <w:r>
        <w:rPr>
          <w:rFonts w:ascii="Arial" w:cs="Arial" w:eastAsia="Arial" w:hAnsi="Arial"/>
          <w:color w:val="1A1A2E"/>
          <w:sz w:val="22"/>
          <w:szCs w:val="22"/>
        </w:rPr>
        <w:t xml:space="preserve">Feature 9 — Industrial Visit Facilitation — does not operate in isolation. It is deeply integrated with the broader campus placement and institutional management ecosystem: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737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Connected Module</w:t>
            </w:r>
          </w:p>
        </w:tc>
        <w:tc>
          <w:tcPr>
            <w:tcW w:type="dxa" w:w="6360"/>
            <w:tcBorders>
              <w:top w:val="single" w:color="CCCCCC" w:sz="1"/>
              <w:left w:val="single" w:color="CCCCCC" w:sz="1"/>
              <w:bottom w:val="single" w:color="CCCCCC" w:sz="1"/>
              <w:right w:val="single" w:color="CCCCCC" w:sz="1"/>
            </w:tcBorders>
            <w:shd w:fill="0D737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Integration Detail</w:t>
            </w:r>
          </w:p>
        </w:tc>
      </w:tr>
      <w:tr>
        <w:tc>
          <w:tcPr>
            <w:tcW w:type="dxa" w:w="3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pPr>
              <w:jc w:val="left"/>
            </w:pPr>
            <w:r>
              <w:rPr>
                <w:rFonts w:ascii="Arial" w:cs="Arial" w:eastAsia="Arial" w:hAnsi="Arial"/>
                <w:color w:val="1A1A2E"/>
                <w:sz w:val="20"/>
                <w:szCs w:val="20"/>
              </w:rPr>
              <w:t xml:space="preserve">Student Profiles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pPr>
              <w:jc w:val="left"/>
            </w:pPr>
            <w:r>
              <w:rPr>
                <w:rFonts w:ascii="Arial" w:cs="Arial" w:eastAsia="Arial" w:hAnsi="Arial"/>
                <w:color w:val="1A1A2E"/>
                <w:sz w:val="20"/>
                <w:szCs w:val="20"/>
              </w:rPr>
              <w:t xml:space="preserve">Visit observations, tasks, and reflections auto-added to student skill and experience profiles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Placement Readiness 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Visit participation and performance contribute weighted points to student placement readiness index</w:t>
            </w:r>
          </w:p>
        </w:tc>
      </w:tr>
      <w:tr>
        <w:tc>
          <w:tcPr>
            <w:tcW w:type="dxa" w:w="3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pPr>
              <w:jc w:val="left"/>
            </w:pPr>
            <w:r>
              <w:rPr>
                <w:rFonts w:ascii="Arial" w:cs="Arial" w:eastAsia="Arial" w:hAnsi="Arial"/>
                <w:color w:val="1A1A2E"/>
                <w:sz w:val="20"/>
                <w:szCs w:val="20"/>
              </w:rPr>
              <w:t xml:space="preserve">Industry Relations CRM</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pPr>
              <w:jc w:val="left"/>
            </w:pPr>
            <w:r>
              <w:rPr>
                <w:rFonts w:ascii="Arial" w:cs="Arial" w:eastAsia="Arial" w:hAnsi="Arial"/>
                <w:color w:val="1A1A2E"/>
                <w:sz w:val="20"/>
                <w:szCs w:val="20"/>
              </w:rPr>
              <w:t xml:space="preserve">Company contacts and visit history feed the institute's industry partner relationship database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Curriculum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Visit outcome data generates actionable curriculum gap reports for HODs and academic committees</w:t>
            </w:r>
          </w:p>
        </w:tc>
      </w:tr>
      <w:tr>
        <w:tc>
          <w:tcPr>
            <w:tcW w:type="dxa" w:w="3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pPr>
              <w:jc w:val="left"/>
            </w:pPr>
            <w:r>
              <w:rPr>
                <w:rFonts w:ascii="Arial" w:cs="Arial" w:eastAsia="Arial" w:hAnsi="Arial"/>
                <w:color w:val="1A1A2E"/>
                <w:sz w:val="20"/>
                <w:szCs w:val="20"/>
              </w:rPr>
              <w:t xml:space="preserve">Parent Portal</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pPr>
              <w:jc w:val="left"/>
            </w:pPr>
            <w:r>
              <w:rPr>
                <w:rFonts w:ascii="Arial" w:cs="Arial" w:eastAsia="Arial" w:hAnsi="Arial"/>
                <w:color w:val="1A1A2E"/>
                <w:sz w:val="20"/>
                <w:szCs w:val="20"/>
              </w:rPr>
              <w:t xml:space="preserve">Parents receive visit notifications, safety updates, and student observation summaries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Compliance &amp; Accreditation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All visit data auto-formatted for NAAC, NBA, AICTE reporting requirements</w:t>
            </w:r>
          </w:p>
        </w:tc>
      </w:tr>
      <w:tr>
        <w:tc>
          <w:tcPr>
            <w:tcW w:type="dxa" w:w="3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pPr>
              <w:jc w:val="left"/>
            </w:pPr>
            <w:r>
              <w:rPr>
                <w:rFonts w:ascii="Arial" w:cs="Arial" w:eastAsia="Arial" w:hAnsi="Arial"/>
                <w:color w:val="1A1A2E"/>
                <w:sz w:val="20"/>
                <w:szCs w:val="20"/>
              </w:rPr>
              <w:t xml:space="preserve">SME Module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pPr>
              <w:jc w:val="left"/>
            </w:pPr>
            <w:r>
              <w:rPr>
                <w:rFonts w:ascii="Arial" w:cs="Arial" w:eastAsia="Arial" w:hAnsi="Arial"/>
                <w:color w:val="1A1A2E"/>
                <w:sz w:val="20"/>
                <w:szCs w:val="20"/>
              </w:rPr>
              <w:t xml:space="preserve">SME companies can offer supervised industrial visits as part of structured campus engagement programs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Analytics Dashboard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All 12 sub-feature data points aggregated in the HOD/Management analytics dashboard</w:t>
            </w:r>
          </w:p>
        </w:tc>
      </w:tr>
    </w:tbl>
    <w:p>
      <w:pPr>
        <w:spacing w:before="60" w:after="60"/>
      </w:pPr>
      <w:r>
        <w:t xml:space="preserve"/>
      </w:r>
    </w:p>
    <w:p>
      <w:pPr>
        <w:spacing w:before="60" w:after="60"/>
      </w:pPr>
      <w:r>
        <w:t xml:space="preserve"/>
      </w:r>
    </w:p>
    <w:p>
      <w:pPr>
        <w:pStyle w:val="Heading1"/>
        <w:spacing w:before="360" w:after="160"/>
      </w:pPr>
      <w:r>
        <w:rPr>
          <w:rFonts w:ascii="Arial" w:cs="Arial" w:eastAsia="Arial" w:hAnsi="Arial"/>
          <w:b/>
          <w:bCs/>
          <w:color w:val="0D7377"/>
          <w:sz w:val="36"/>
          <w:szCs w:val="36"/>
        </w:rPr>
        <w:t xml:space="preserve">Stakeholder Impact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D737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Stakeholder</w:t>
            </w:r>
          </w:p>
        </w:tc>
        <w:tc>
          <w:tcPr>
            <w:tcW w:type="dxa" w:w="7360"/>
            <w:tcBorders>
              <w:top w:val="single" w:color="CCCCCC" w:sz="1"/>
              <w:left w:val="single" w:color="CCCCCC" w:sz="1"/>
              <w:bottom w:val="single" w:color="CCCCCC" w:sz="1"/>
              <w:right w:val="single" w:color="CCCCCC" w:sz="1"/>
            </w:tcBorders>
            <w:shd w:fill="0D737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Impact of Feature 9</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pPr>
              <w:jc w:val="left"/>
            </w:pPr>
            <w:r>
              <w:rPr>
                <w:rFonts w:ascii="Arial" w:cs="Arial" w:eastAsia="Arial" w:hAnsi="Arial"/>
                <w:color w:val="1A1A2E"/>
                <w:sz w:val="20"/>
                <w:szCs w:val="20"/>
              </w:rPr>
              <w:t xml:space="preserve">Students</w:t>
            </w:r>
          </w:p>
        </w:tc>
        <w:tc>
          <w:tcPr>
            <w:tcW w:type="dxa" w:w="7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pPr>
              <w:jc w:val="left"/>
            </w:pPr>
            <w:r>
              <w:rPr>
                <w:rFonts w:ascii="Arial" w:cs="Arial" w:eastAsia="Arial" w:hAnsi="Arial"/>
                <w:color w:val="1A1A2E"/>
                <w:sz w:val="20"/>
                <w:szCs w:val="20"/>
              </w:rPr>
              <w:t xml:space="preserve">Structured preparation, guided observation, task-based learning, reflections, and a visit portfolio that strengthens their placement profile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Parents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Formal communication about visit safety, logistics, and outcomes; reduced anxiety; visible institutional accountability</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pPr>
              <w:jc w:val="left"/>
            </w:pPr>
            <w:r>
              <w:rPr>
                <w:rFonts w:ascii="Arial" w:cs="Arial" w:eastAsia="Arial" w:hAnsi="Arial"/>
                <w:color w:val="1A1A2E"/>
                <w:sz w:val="20"/>
                <w:szCs w:val="20"/>
              </w:rPr>
              <w:t xml:space="preserve">Faculty</w:t>
            </w:r>
          </w:p>
        </w:tc>
        <w:tc>
          <w:tcPr>
            <w:tcW w:type="dxa" w:w="7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pPr>
              <w:jc w:val="left"/>
            </w:pPr>
            <w:r>
              <w:rPr>
                <w:rFonts w:ascii="Arial" w:cs="Arial" w:eastAsia="Arial" w:hAnsi="Arial"/>
                <w:color w:val="1A1A2E"/>
                <w:sz w:val="20"/>
                <w:szCs w:val="20"/>
              </w:rPr>
              <w:t xml:space="preserve">Digital tools eliminate manual paperwork; real-time facilitation support; automated report generation; workload recognition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HOD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Department-level analytics; curriculum gap data; accreditation evidence; employer relationship tracking</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pPr>
              <w:jc w:val="left"/>
            </w:pPr>
            <w:r>
              <w:rPr>
                <w:rFonts w:ascii="Arial" w:cs="Arial" w:eastAsia="Arial" w:hAnsi="Arial"/>
                <w:color w:val="1A1A2E"/>
                <w:sz w:val="20"/>
                <w:szCs w:val="20"/>
              </w:rPr>
              <w:t xml:space="preserve">Principal / Dean</w:t>
            </w:r>
          </w:p>
        </w:tc>
        <w:tc>
          <w:tcPr>
            <w:tcW w:type="dxa" w:w="7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pPr>
              <w:jc w:val="left"/>
            </w:pPr>
            <w:r>
              <w:rPr>
                <w:rFonts w:ascii="Arial" w:cs="Arial" w:eastAsia="Arial" w:hAnsi="Arial"/>
                <w:color w:val="1A1A2E"/>
                <w:sz w:val="20"/>
                <w:szCs w:val="20"/>
              </w:rPr>
              <w:t xml:space="preserve">Institutional visit quality metrics; ROI visibility; compliance-ready documentation; reputation management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Placement Office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Industry relationship development; visit-to-placement conversion tracking; student readiness data</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pPr>
              <w:jc w:val="left"/>
            </w:pPr>
            <w:r>
              <w:rPr>
                <w:rFonts w:ascii="Arial" w:cs="Arial" w:eastAsia="Arial" w:hAnsi="Arial"/>
                <w:color w:val="1A1A2E"/>
                <w:sz w:val="20"/>
                <w:szCs w:val="20"/>
              </w:rPr>
              <w:t xml:space="preserve">Management / Board</w:t>
            </w:r>
          </w:p>
        </w:tc>
        <w:tc>
          <w:tcPr>
            <w:tcW w:type="dxa" w:w="7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pPr>
              <w:jc w:val="left"/>
            </w:pPr>
            <w:r>
              <w:rPr>
                <w:rFonts w:ascii="Arial" w:cs="Arial" w:eastAsia="Arial" w:hAnsi="Arial"/>
                <w:color w:val="1A1A2E"/>
                <w:sz w:val="20"/>
                <w:szCs w:val="20"/>
              </w:rPr>
              <w:t xml:space="preserve">Evidence-based program investment decisions; benchmarking; NAAC/NBA documentation support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Hosting Companies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Structured engagement with students; profile of interested candidates; a pipeline for future recruitment</w:t>
            </w:r>
          </w:p>
        </w:tc>
      </w:tr>
    </w:tbl>
    <w:p>
      <w:pPr>
        <w:spacing w:before="60" w:after="60"/>
      </w:pPr>
      <w:r>
        <w:t xml:space="preserve"/>
      </w:r>
    </w:p>
    <w:p>
      <w:pPr>
        <w:spacing w:before="60" w:after="60"/>
      </w:pPr>
      <w:r>
        <w:t xml:space="preserve"/>
      </w:r>
    </w:p>
    <w:p>
      <w:pPr>
        <w:pStyle w:val="Heading1"/>
        <w:spacing w:before="360" w:after="160"/>
      </w:pPr>
      <w:r>
        <w:rPr>
          <w:rFonts w:ascii="Arial" w:cs="Arial" w:eastAsia="Arial" w:hAnsi="Arial"/>
          <w:b/>
          <w:bCs/>
          <w:color w:val="0D7377"/>
          <w:sz w:val="36"/>
          <w:szCs w:val="36"/>
        </w:rPr>
        <w:t xml:space="preserve">Conclusion</w:t>
      </w:r>
    </w:p>
    <w:p>
      <w:pPr>
        <w:spacing w:before="80" w:after="80"/>
      </w:pPr>
      <w:r>
        <w:rPr>
          <w:rFonts w:ascii="Arial" w:cs="Arial" w:eastAsia="Arial" w:hAnsi="Arial"/>
          <w:color w:val="1A1A2E"/>
          <w:sz w:val="22"/>
          <w:szCs w:val="22"/>
        </w:rPr>
        <w:t xml:space="preserve">Feature 9 — Industrial Visit Facilitation — represents a comprehensive transformation of one of higher education's most underutilized experiential learning tools. By bringing structure, technology, and data to every stage of the industrial visit lifecycle, the platform enables institutes to convert ad hoc field trips into strategic, measurable, and impactful educational programs.</w:t>
      </w:r>
    </w:p>
    <w:p>
      <w:pPr>
        <w:spacing w:before="60" w:after="60"/>
      </w:pPr>
      <w:r>
        <w:t xml:space="preserve"/>
      </w:r>
    </w:p>
    <w:p>
      <w:pPr>
        <w:spacing w:before="80" w:after="80"/>
      </w:pPr>
      <w:r>
        <w:rPr>
          <w:rFonts w:ascii="Arial" w:cs="Arial" w:eastAsia="Arial" w:hAnsi="Arial"/>
          <w:color w:val="1A1A2E"/>
          <w:sz w:val="22"/>
          <w:szCs w:val="22"/>
        </w:rPr>
        <w:t xml:space="preserve">The 12 sub-features collectively address every stakeholder's needs — from the student seeking genuine industry exposure, to the faculty coordinator overwhelmed by logistics, to the HOD seeking accreditation evidence, to the institution building long-term industry relationships. Grounded in established educational research and calibrated for the specific realities of India's tier-2 and tier-3 institutional landscape, Feature 9 sets a new standard for how campus placement platforms can support holistic student development.</w:t>
      </w:r>
    </w:p>
    <w:p>
      <w:pPr>
        <w:spacing w:before="60" w:after="60"/>
      </w:pPr>
      <w:r>
        <w:t xml:space="preserve"/>
      </w:r>
    </w:p>
    <w:p>
      <w:pPr>
        <w:spacing w:before="80" w:after="80"/>
      </w:pPr>
      <w:r>
        <w:rPr>
          <w:rFonts w:ascii="Arial" w:cs="Arial" w:eastAsia="Arial" w:hAnsi="Arial"/>
          <w:color w:val="1A1A2E"/>
          <w:sz w:val="22"/>
          <w:szCs w:val="22"/>
        </w:rPr>
        <w:t xml:space="preserve">When fully implemented, Industrial Visit Facilitation positions the platform not merely as a placement tool, but as a complete industry-academia bridge — one that benefits students, institutes, and companies alike.</w:t>
      </w:r>
    </w:p>
    <w:p>
      <w:pPr>
        <w:spacing w:before="60" w:after="60"/>
      </w:pPr>
      <w:r>
        <w:t xml:space="preserve"/>
      </w:r>
    </w:p>
    <w:p>
      <w:pPr>
        <w:pBdr>
          <w:bottom w:val="single" w:color="B2DFE2" w:sz="4" w:space="1"/>
        </w:pBdr>
        <w:spacing w:before="120" w:after="120"/>
      </w:pPr>
      <w:r>
        <w:t xml:space="preserve"/>
      </w:r>
    </w:p>
    <w:p>
      <w:pPr>
        <w:spacing w:before="120" w:after="60"/>
        <w:jc w:val="center"/>
      </w:pPr>
      <w:r>
        <w:rPr>
          <w:rFonts w:ascii="Arial" w:cs="Arial" w:eastAsia="Arial" w:hAnsi="Arial"/>
          <w:i/>
          <w:iCs/>
          <w:color w:val="0D7377"/>
          <w:sz w:val="18"/>
          <w:szCs w:val="18"/>
        </w:rPr>
        <w:t xml:space="preserve">Industrial Visit Facilitation — Feature Description Document  |  Version 1.0  |  2025–2026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DFE2" w:sz="4" w:space="1"/>
      </w:pBdr>
      <w:tabs>
        <w:tab w:val="right" w:pos="9026"/>
      </w:tabs>
    </w:pPr>
    <w:r>
      <w:rPr>
        <w:rFonts w:ascii="Arial" w:cs="Arial" w:eastAsia="Arial" w:hAnsi="Arial"/>
        <w:i/>
        <w:iCs/>
        <w:color w:val="0D7377"/>
        <w:sz w:val="16"/>
        <w:szCs w:val="16"/>
      </w:rPr>
      <w:t xml:space="preserve">Confidential — Internal Use Only</w:t>
    </w:r>
    <w:r>
      <w:rPr>
        <w:rFonts w:ascii="Arial" w:cs="Arial" w:eastAsia="Arial" w:hAnsi="Arial"/>
        <w:color w:val="1A1A2E"/>
        <w:sz w:val="16"/>
        <w:szCs w:val="16"/>
      </w:rPr>
      <w:t xml:space="preserve">	Page </w:t>
    </w:r>
    <w:r>
      <w:rPr>
        <w:rFonts w:ascii="Arial" w:cs="Arial" w:eastAsia="Arial" w:hAnsi="Arial"/>
        <w:color w:val="1A1A2E"/>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1"/>
      </w:pBdr>
    </w:pPr>
    <w:r>
      <w:rPr>
        <w:rFonts w:ascii="Arial" w:cs="Arial" w:eastAsia="Arial" w:hAnsi="Arial"/>
        <w:color w:val="0D7377"/>
        <w:sz w:val="18"/>
        <w:szCs w:val="18"/>
      </w:rPr>
      <w:t xml:space="preserve">FEATURE 9: Industrial Visit Facilitation  |  Institute-Side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2026-03-09T10:45:01.615Z</dcterms:created>
  <dcterms:modified xsi:type="dcterms:W3CDTF">2026-03-09T10:45:01.616Z</dcterms:modified>
</cp:coreProperties>
</file>

<file path=docProps/custom.xml><?xml version="1.0" encoding="utf-8"?>
<Properties xmlns="http://schemas.openxmlformats.org/officeDocument/2006/custom-properties" xmlns:vt="http://schemas.openxmlformats.org/officeDocument/2006/docPropsVTypes"/>
</file>