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560"/>
              <w:left w:type="dxa" w:w="440"/>
              <w:bottom w:type="dxa" w:w="560"/>
              <w:right w:type="dxa" w:w="440"/>
            </w:tcMar>
          </w:tcPr>
          <w:p>
            <w:pPr>
              <w:spacing w:before="60" w:after="60"/>
              <w:jc w:val="center"/>
            </w:pPr>
            <w:r>
              <w:rPr>
                <w:rFonts w:ascii="Arial" w:cs="Arial" w:eastAsia="Arial" w:hAnsi="Arial"/>
                <w:b/>
                <w:bCs/>
                <w:color w:val="5D9CBF"/>
                <w:sz w:val="20"/>
                <w:szCs w:val="20"/>
              </w:rPr>
              <w:t xml:space="preserve">ECOSKILLER PLATFORM  —  FEATURE RESEARCH SERIES</w:t>
            </w:r>
          </w:p>
          <w:p>
            <w:pPr>
              <w:spacing w:before="160" w:after="80"/>
              <w:jc w:val="center"/>
            </w:pPr>
            <w:r>
              <w:rPr>
                <w:rFonts w:ascii="Arial" w:cs="Arial" w:eastAsia="Arial" w:hAnsi="Arial"/>
                <w:b/>
                <w:bCs/>
                <w:color w:val="FFFFFF"/>
                <w:sz w:val="56"/>
                <w:szCs w:val="56"/>
              </w:rPr>
              <w:t xml:space="preserve">Trainer Onboarding &amp;</w:t>
            </w:r>
          </w:p>
          <w:p>
            <w:pPr>
              <w:spacing w:before="0" w:after="160"/>
              <w:jc w:val="center"/>
            </w:pPr>
            <w:r>
              <w:rPr>
                <w:rFonts w:ascii="Arial" w:cs="Arial" w:eastAsia="Arial" w:hAnsi="Arial"/>
                <w:b/>
                <w:bCs/>
                <w:color w:val="A9CCE3"/>
                <w:sz w:val="56"/>
                <w:szCs w:val="56"/>
              </w:rPr>
              <w:t xml:space="preserve">Verification System</w:t>
            </w:r>
          </w:p>
          <w:p>
            <w:pPr>
              <w:spacing w:before="100" w:after="100"/>
              <w:jc w:val="center"/>
            </w:pPr>
            <w:r>
              <w:rPr>
                <w:rFonts w:ascii="Arial" w:cs="Arial" w:eastAsia="Arial" w:hAnsi="Arial"/>
                <w:color w:val="7FB3D3"/>
                <w:sz w:val="26"/>
                <w:szCs w:val="26"/>
              </w:rPr>
              <w:t xml:space="preserve">In-Depth Research &amp; Feature Design Report</w:t>
            </w:r>
          </w:p>
          <w:p>
            <w:pPr>
              <w:spacing w:before="0" w:after="0"/>
            </w:pPr>
            <w:r>
              <w:rPr>
                <w:sz w:val="20"/>
                <w:szCs w:val="20"/>
              </w:rPr>
              <w:t xml:space="preserve"/>
            </w:r>
          </w:p>
          <w:p>
            <w:pPr>
              <w:jc w:val="center"/>
            </w:pPr>
            <w:r>
              <w:rPr>
                <w:rFonts w:ascii="Arial" w:cs="Arial" w:eastAsia="Arial" w:hAnsi="Arial"/>
                <w:color w:val="5D9CBF"/>
                <w:sz w:val="20"/>
                <w:szCs w:val="20"/>
              </w:rPr>
              <w:t xml:space="preserve">10 Sub-Features  |  Version 1.0  |  2025  |  EcoSkiller Confidential</w:t>
            </w:r>
          </w:p>
        </w:tc>
      </w:tr>
    </w:tbl>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30"/>
              <w:left w:type="dxa" w:w="220"/>
              <w:bottom w:type="dxa" w:w="130"/>
              <w:right w:type="dxa" w:w="220"/>
            </w:tcMar>
          </w:tcPr>
          <w:p>
            <w:pPr>
              <w:spacing w:before="40" w:after="40"/>
            </w:pPr>
            <w:r>
              <w:rPr>
                <w:rFonts w:ascii="Arial" w:cs="Arial" w:eastAsia="Arial" w:hAnsi="Arial"/>
                <w:b/>
                <w:bCs/>
                <w:color w:val="0B2545"/>
                <w:sz w:val="22"/>
                <w:szCs w:val="22"/>
              </w:rPr>
              <w:t xml:space="preserve">Executive Summary</w:t>
            </w:r>
          </w:p>
          <w:p>
            <w:pPr>
              <w:spacing w:before="40" w:after="40"/>
            </w:pPr>
            <w:r>
              <w:rPr>
                <w:rFonts w:ascii="Arial" w:cs="Arial" w:eastAsia="Arial" w:hAnsi="Arial"/>
                <w:color w:val="1C2833"/>
                <w:sz w:val="21"/>
                <w:szCs w:val="21"/>
              </w:rPr>
              <w:t xml:space="preserve">This report provides a comprehensive feature design analysis of the Trainer Onboarding &amp; Verification module on the EcoSkiller platform. Trust in trainers is the foundational prerequisite for learner confidence, institutional credibility, and regulatory compliance. The 10 sub-features covered — Trainer Account Registration, Professional Identity Verification (KYC), Industry Experience Verification, Certification Verification, Domain Expertise Tagging, Trainer Onboarding Workflow, Trainer Agreement &amp; Compliance Acceptance, Trainer Background Validation, Trainer Profile Approval System, and Verified Trainer Badge System — collectively form the trust infrastructure of EcoSkiller's training marketplace. Each feature is analyzed from market, UX, legal, and technical perspectives with implementation guidance tailored to India's regulatory environment.</w:t>
            </w:r>
          </w:p>
        </w:tc>
      </w:tr>
    </w:tbl>
    <w:p>
      <w:pPr>
        <w:spacing w:before="0" w:after="0"/>
      </w:pPr>
      <w:r>
        <w:rPr>
          <w:sz w:val="20"/>
          <w:szCs w:val="20"/>
        </w:rPr>
        <w:t xml:space="preserve"/>
      </w:r>
    </w:p>
    <w:p>
      <w:r>
        <w:br w:type="page"/>
      </w:r>
    </w:p>
    <w:p>
      <w:pPr>
        <w:pStyle w:val="Heading1"/>
        <w:pBdr>
          <w:bottom w:val="single" w:color="0B2545" w:sz="5"/>
        </w:pBdr>
        <w:spacing w:before="380" w:after="120"/>
      </w:pPr>
      <w:r>
        <w:rPr>
          <w:rFonts w:ascii="Arial" w:cs="Arial" w:eastAsia="Arial" w:hAnsi="Arial"/>
          <w:b/>
          <w:bCs/>
          <w:color w:val="0B2545"/>
          <w:sz w:val="38"/>
          <w:szCs w:val="38"/>
        </w:rPr>
        <w:t xml:space="preserve">Market Context &amp; Research Foundation</w:t>
      </w:r>
    </w:p>
    <w:p>
      <w:pPr>
        <w:spacing w:before="0" w:after="0"/>
      </w:pPr>
      <w:r>
        <w:rPr>
          <w:sz w:val="20"/>
          <w:szCs w:val="20"/>
        </w:rPr>
        <w:t xml:space="preserve"/>
      </w:r>
    </w:p>
    <w:p>
      <w:pPr>
        <w:spacing w:before="80" w:after="80"/>
      </w:pPr>
      <w:r>
        <w:rPr>
          <w:rFonts w:ascii="Arial" w:cs="Arial" w:eastAsia="Arial" w:hAnsi="Arial"/>
          <w:color w:val="1C2833"/>
          <w:sz w:val="22"/>
          <w:szCs w:val="22"/>
        </w:rPr>
        <w:t xml:space="preserve">The quality of any training platform depends entirely on the quality and credibility of its trainers. Trainer verification is not just a trust signal — it is a legal, regulatory, and reputational necessity. The following statistics establish the research basis for every feature decision in this document.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0B2545" w:val="clear"/>
            <w:tcMar>
              <w:top w:type="dxa" w:w="140"/>
              <w:left w:type="dxa" w:w="120"/>
              <w:bottom w:type="dxa" w:w="140"/>
              <w:right w:type="dxa" w:w="120"/>
            </w:tcMar>
          </w:tcPr>
          <w:p>
            <w:pPr>
              <w:jc w:val="center"/>
            </w:pPr>
            <w:r>
              <w:rPr>
                <w:rFonts w:ascii="Arial" w:cs="Arial" w:eastAsia="Arial" w:hAnsi="Arial"/>
                <w:b/>
                <w:bCs/>
                <w:color w:val="FFFFFF"/>
                <w:sz w:val="42"/>
                <w:szCs w:val="42"/>
              </w:rPr>
              <w:t xml:space="preserve">73%</w:t>
            </w:r>
          </w:p>
          <w:p>
            <w:pPr>
              <w:jc w:val="center"/>
            </w:pPr>
            <w:r>
              <w:rPr>
                <w:rFonts w:ascii="Arial" w:cs="Arial" w:eastAsia="Arial" w:hAnsi="Arial"/>
                <w:color w:val="A9CCE3"/>
                <w:sz w:val="17"/>
                <w:szCs w:val="17"/>
              </w:rPr>
              <w:t xml:space="preserve">Learners check trainer credentials before enrolling (LinkedIn, 2024)</w:t>
            </w:r>
          </w:p>
        </w:tc>
        <w:tc>
          <w:tcPr>
            <w:tcW w:type="dxa" w:w="2340"/>
            <w:tcBorders>
              <w:top w:val="single" w:color="D5D8DC" w:sz="1"/>
              <w:left w:val="single" w:color="D5D8DC" w:sz="1"/>
              <w:bottom w:val="single" w:color="D5D8DC" w:sz="1"/>
              <w:right w:val="single" w:color="D5D8DC" w:sz="1"/>
            </w:tcBorders>
            <w:shd w:fill="1B4F72" w:val="clear"/>
            <w:tcMar>
              <w:top w:type="dxa" w:w="140"/>
              <w:left w:type="dxa" w:w="120"/>
              <w:bottom w:type="dxa" w:w="140"/>
              <w:right w:type="dxa" w:w="120"/>
            </w:tcMar>
          </w:tcPr>
          <w:p>
            <w:pPr>
              <w:jc w:val="center"/>
            </w:pPr>
            <w:r>
              <w:rPr>
                <w:rFonts w:ascii="Arial" w:cs="Arial" w:eastAsia="Arial" w:hAnsi="Arial"/>
                <w:b/>
                <w:bCs/>
                <w:color w:val="FFFFFF"/>
                <w:sz w:val="42"/>
                <w:szCs w:val="42"/>
              </w:rPr>
              <w:t xml:space="preserve">4.2x</w:t>
            </w:r>
          </w:p>
          <w:p>
            <w:pPr>
              <w:jc w:val="center"/>
            </w:pPr>
            <w:r>
              <w:rPr>
                <w:rFonts w:ascii="Arial" w:cs="Arial" w:eastAsia="Arial" w:hAnsi="Arial"/>
                <w:color w:val="A9CCE3"/>
                <w:sz w:val="17"/>
                <w:szCs w:val="17"/>
              </w:rPr>
              <w:t xml:space="preserve">Higher enrollment for verified vs. unverified trainer profiles</w:t>
            </w:r>
          </w:p>
        </w:tc>
        <w:tc>
          <w:tcPr>
            <w:tcW w:type="dxa" w:w="2340"/>
            <w:tcBorders>
              <w:top w:val="single" w:color="D5D8DC" w:sz="1"/>
              <w:left w:val="single" w:color="D5D8DC" w:sz="1"/>
              <w:bottom w:val="single" w:color="D5D8DC" w:sz="1"/>
              <w:right w:val="single" w:color="D5D8DC" w:sz="1"/>
            </w:tcBorders>
            <w:shd w:fill="0B2545" w:val="clear"/>
            <w:tcMar>
              <w:top w:type="dxa" w:w="140"/>
              <w:left w:type="dxa" w:w="120"/>
              <w:bottom w:type="dxa" w:w="140"/>
              <w:right w:type="dxa" w:w="120"/>
            </w:tcMar>
          </w:tcPr>
          <w:p>
            <w:pPr>
              <w:jc w:val="center"/>
            </w:pPr>
            <w:r>
              <w:rPr>
                <w:rFonts w:ascii="Arial" w:cs="Arial" w:eastAsia="Arial" w:hAnsi="Arial"/>
                <w:b/>
                <w:bCs/>
                <w:color w:val="FFFFFF"/>
                <w:sz w:val="42"/>
                <w:szCs w:val="42"/>
              </w:rPr>
              <w:t xml:space="preserve">68%</w:t>
            </w:r>
          </w:p>
          <w:p>
            <w:pPr>
              <w:jc w:val="center"/>
            </w:pPr>
            <w:r>
              <w:rPr>
                <w:rFonts w:ascii="Arial" w:cs="Arial" w:eastAsia="Arial" w:hAnsi="Arial"/>
                <w:color w:val="A9CCE3"/>
                <w:sz w:val="17"/>
                <w:szCs w:val="17"/>
              </w:rPr>
              <w:t xml:space="preserve">Platforms report fraud reduction after mandatory trainer KYC</w:t>
            </w:r>
          </w:p>
        </w:tc>
        <w:tc>
          <w:tcPr>
            <w:tcW w:type="dxa" w:w="2340"/>
            <w:tcBorders>
              <w:top w:val="single" w:color="D5D8DC" w:sz="1"/>
              <w:left w:val="single" w:color="D5D8DC" w:sz="1"/>
              <w:bottom w:val="single" w:color="D5D8DC" w:sz="1"/>
              <w:right w:val="single" w:color="D5D8DC" w:sz="1"/>
            </w:tcBorders>
            <w:shd w:fill="1B4F72" w:val="clear"/>
            <w:tcMar>
              <w:top w:type="dxa" w:w="140"/>
              <w:left w:type="dxa" w:w="120"/>
              <w:bottom w:type="dxa" w:w="140"/>
              <w:right w:type="dxa" w:w="120"/>
            </w:tcMar>
          </w:tcPr>
          <w:p>
            <w:pPr>
              <w:jc w:val="center"/>
            </w:pPr>
            <w:r>
              <w:rPr>
                <w:rFonts w:ascii="Arial" w:cs="Arial" w:eastAsia="Arial" w:hAnsi="Arial"/>
                <w:b/>
                <w:bCs/>
                <w:color w:val="FFFFFF"/>
                <w:sz w:val="42"/>
                <w:szCs w:val="42"/>
              </w:rPr>
              <w:t xml:space="preserve">91%</w:t>
            </w:r>
          </w:p>
          <w:p>
            <w:pPr>
              <w:jc w:val="center"/>
            </w:pPr>
            <w:r>
              <w:rPr>
                <w:rFonts w:ascii="Arial" w:cs="Arial" w:eastAsia="Arial" w:hAnsi="Arial"/>
                <w:color w:val="A9CCE3"/>
                <w:sz w:val="17"/>
                <w:szCs w:val="17"/>
              </w:rPr>
              <w:t xml:space="preserve">Institutes require verifiable trainer proof before platform approval</w:t>
            </w:r>
          </w:p>
        </w:tc>
      </w:tr>
    </w:tbl>
    <w:p>
      <w:pPr>
        <w:spacing w:before="0" w:after="0"/>
      </w:pPr>
      <w:r>
        <w:rPr>
          <w:sz w:val="20"/>
          <w:szCs w:val="20"/>
        </w:rPr>
        <w:t xml:space="preserve"/>
      </w:r>
    </w:p>
    <w:p>
      <w:pPr>
        <w:pStyle w:val="ListParagraph"/>
        <w:numPr>
          <w:ilvl w:val="0"/>
          <w:numId w:val="2"/>
        </w:numPr>
        <w:spacing w:before="60" w:after="60"/>
      </w:pPr>
      <w:r>
        <w:rPr>
          <w:rFonts w:ascii="Arial" w:cs="Arial" w:eastAsia="Arial" w:hAnsi="Arial"/>
          <w:color w:val="1C2833"/>
          <w:sz w:val="22"/>
          <w:szCs w:val="22"/>
        </w:rPr>
        <w:t xml:space="preserve">Fake credentials are a systemic problem in online education — multiple high-profile cases in India (2022–2024) involved trainers with fabricated industry experience claims.</w:t>
      </w:r>
    </w:p>
    <w:p>
      <w:pPr>
        <w:pStyle w:val="ListParagraph"/>
        <w:numPr>
          <w:ilvl w:val="0"/>
          <w:numId w:val="2"/>
        </w:numPr>
        <w:spacing w:before="60" w:after="60"/>
      </w:pPr>
      <w:r>
        <w:rPr>
          <w:rFonts w:ascii="Arial" w:cs="Arial" w:eastAsia="Arial" w:hAnsi="Arial"/>
          <w:color w:val="1C2833"/>
          <w:sz w:val="22"/>
          <w:szCs w:val="22"/>
        </w:rPr>
        <w:t xml:space="preserve">AICTE, UGC, and NASSCOM all require verifiable trainer qualifications for affiliated programs — EcoSkiller must support this natively.</w:t>
      </w:r>
    </w:p>
    <w:p>
      <w:pPr>
        <w:pStyle w:val="ListParagraph"/>
        <w:numPr>
          <w:ilvl w:val="0"/>
          <w:numId w:val="2"/>
        </w:numPr>
        <w:spacing w:before="60" w:after="60"/>
      </w:pPr>
      <w:r>
        <w:rPr>
          <w:rFonts w:ascii="Arial" w:cs="Arial" w:eastAsia="Arial" w:hAnsi="Arial"/>
          <w:color w:val="1C2833"/>
          <w:sz w:val="22"/>
          <w:szCs w:val="22"/>
        </w:rPr>
        <w:t xml:space="preserve">Platforms like Udemy and Coursera rely primarily on self-declaration — this creates a trust deficit that EcoSkiller can exploit as a competitive advantage.</w:t>
      </w:r>
    </w:p>
    <w:p>
      <w:pPr>
        <w:pStyle w:val="ListParagraph"/>
        <w:numPr>
          <w:ilvl w:val="0"/>
          <w:numId w:val="2"/>
        </w:numPr>
        <w:spacing w:before="60" w:after="60"/>
      </w:pPr>
      <w:r>
        <w:rPr>
          <w:rFonts w:ascii="Arial" w:cs="Arial" w:eastAsia="Arial" w:hAnsi="Arial"/>
          <w:color w:val="1C2833"/>
          <w:sz w:val="22"/>
          <w:szCs w:val="22"/>
        </w:rPr>
        <w:t xml:space="preserve">Corporate L&amp;D buyers (HR managers, L&amp;D heads) require documented trainer credentials before approving any vendor — automated verification reduces sales cycle time.</w:t>
      </w:r>
    </w:p>
    <w:p>
      <w:pPr>
        <w:pStyle w:val="ListParagraph"/>
        <w:numPr>
          <w:ilvl w:val="0"/>
          <w:numId w:val="2"/>
        </w:numPr>
        <w:spacing w:before="60" w:after="60"/>
      </w:pPr>
      <w:r>
        <w:rPr>
          <w:rFonts w:ascii="Arial" w:cs="Arial" w:eastAsia="Arial" w:hAnsi="Arial"/>
          <w:color w:val="1C2833"/>
          <w:sz w:val="22"/>
          <w:szCs w:val="22"/>
        </w:rPr>
        <w:t xml:space="preserve">Trainer verification also protects the platform legally: unverified trainers creating professional harm (wrong medical/legal/financial advice) creates platform liability.</w:t>
      </w:r>
    </w:p>
    <w:p>
      <w:pPr>
        <w:spacing w:before="0" w:after="0"/>
      </w:pPr>
      <w:r>
        <w:rPr>
          <w:sz w:val="20"/>
          <w:szCs w:val="20"/>
        </w:rPr>
        <w:t xml:space="preserve"/>
      </w:r>
    </w:p>
    <w:p>
      <w:r>
        <w:br w:type="page"/>
      </w:r>
    </w:p>
    <w:p>
      <w:pPr>
        <w:pStyle w:val="Heading1"/>
        <w:pBdr>
          <w:bottom w:val="single" w:color="0B2545" w:sz="5"/>
        </w:pBdr>
        <w:spacing w:before="380" w:after="120"/>
      </w:pPr>
      <w:r>
        <w:rPr>
          <w:rFonts w:ascii="Arial" w:cs="Arial" w:eastAsia="Arial" w:hAnsi="Arial"/>
          <w:b/>
          <w:bCs/>
          <w:color w:val="0B2545"/>
          <w:sz w:val="38"/>
          <w:szCs w:val="38"/>
        </w:rPr>
        <w:t xml:space="preserve">Why Trainer Verification Is Business-Critical</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0B2545" w:val="clear"/>
            <w:tcMar>
              <w:top w:type="dxa" w:w="120"/>
              <w:left w:type="dxa" w:w="180"/>
              <w:bottom w:type="dxa" w:w="120"/>
              <w:right w:type="dxa" w:w="180"/>
            </w:tcMar>
          </w:tcPr>
          <w:p>
            <w:pPr>
              <w:spacing w:before="40" w:after="40"/>
            </w:pPr>
            <w:r>
              <w:rPr>
                <w:rFonts w:ascii="Arial" w:cs="Arial" w:eastAsia="Arial" w:hAnsi="Arial"/>
                <w:b/>
                <w:bCs/>
                <w:color w:val="FFFFFF"/>
                <w:sz w:val="24"/>
                <w:szCs w:val="24"/>
              </w:rPr>
              <w:t xml:space="preserve">Without Verification</w:t>
            </w:r>
          </w:p>
          <w:p>
            <w:pPr>
              <w:spacing w:before="40" w:after="40"/>
            </w:pPr>
            <w:r>
              <w:rPr>
                <w:rFonts w:ascii="Arial" w:cs="Arial" w:eastAsia="Arial" w:hAnsi="Arial"/>
                <w:color w:val="D6EAF8"/>
                <w:sz w:val="21"/>
                <w:szCs w:val="21"/>
              </w:rPr>
              <w:t xml:space="preserve">• Fake qualifications go undetected</w:t>
            </w:r>
          </w:p>
          <w:p>
            <w:pPr>
              <w:spacing w:before="40" w:after="40"/>
            </w:pPr>
            <w:r>
              <w:rPr>
                <w:rFonts w:ascii="Arial" w:cs="Arial" w:eastAsia="Arial" w:hAnsi="Arial"/>
                <w:color w:val="D6EAF8"/>
                <w:sz w:val="21"/>
                <w:szCs w:val="21"/>
              </w:rPr>
              <w:t xml:space="preserve">• Learner trust erodes after bad experiences</w:t>
            </w:r>
          </w:p>
          <w:p>
            <w:pPr>
              <w:spacing w:before="40" w:after="40"/>
            </w:pPr>
            <w:r>
              <w:rPr>
                <w:rFonts w:ascii="Arial" w:cs="Arial" w:eastAsia="Arial" w:hAnsi="Arial"/>
                <w:color w:val="D6EAF8"/>
                <w:sz w:val="21"/>
                <w:szCs w:val="21"/>
              </w:rPr>
              <w:t xml:space="preserve">• Institutes refuse to use the platform</w:t>
            </w:r>
          </w:p>
          <w:p>
            <w:pPr>
              <w:spacing w:before="40" w:after="40"/>
            </w:pPr>
            <w:r>
              <w:rPr>
                <w:rFonts w:ascii="Arial" w:cs="Arial" w:eastAsia="Arial" w:hAnsi="Arial"/>
                <w:color w:val="D6EAF8"/>
                <w:sz w:val="21"/>
                <w:szCs w:val="21"/>
              </w:rPr>
              <w:t xml:space="preserve">• Legal liability if trainer causes harm</w:t>
            </w:r>
          </w:p>
          <w:p>
            <w:pPr>
              <w:spacing w:before="40" w:after="40"/>
            </w:pPr>
            <w:r>
              <w:rPr>
                <w:rFonts w:ascii="Arial" w:cs="Arial" w:eastAsia="Arial" w:hAnsi="Arial"/>
                <w:color w:val="D6EAF8"/>
                <w:sz w:val="21"/>
                <w:szCs w:val="21"/>
              </w:rPr>
              <w:t xml:space="preserve">• Corporate clients reject trainer roster</w:t>
            </w:r>
          </w:p>
          <w:p>
            <w:pPr>
              <w:spacing w:before="40" w:after="40"/>
            </w:pPr>
            <w:r>
              <w:rPr>
                <w:rFonts w:ascii="Arial" w:cs="Arial" w:eastAsia="Arial" w:hAnsi="Arial"/>
                <w:color w:val="D6EAF8"/>
                <w:sz w:val="21"/>
                <w:szCs w:val="21"/>
              </w:rPr>
              <w:t xml:space="preserve">• Brand reputation permanently damaged</w:t>
            </w:r>
          </w:p>
        </w:tc>
        <w:tc>
          <w:tcPr>
            <w:tcW w:type="dxa" w:w="4680"/>
            <w:tcBorders>
              <w:top w:val="single" w:color="D5D8DC" w:sz="1"/>
              <w:left w:val="single" w:color="D5D8DC" w:sz="1"/>
              <w:bottom w:val="single" w:color="D5D8DC" w:sz="1"/>
              <w:right w:val="single" w:color="D5D8DC" w:sz="1"/>
            </w:tcBorders>
            <w:shd w:fill="D6EAF8" w:val="clear"/>
            <w:tcMar>
              <w:top w:type="dxa" w:w="120"/>
              <w:left w:type="dxa" w:w="180"/>
              <w:bottom w:type="dxa" w:w="120"/>
              <w:right w:type="dxa" w:w="180"/>
            </w:tcMar>
          </w:tcPr>
          <w:p>
            <w:pPr>
              <w:spacing w:before="40" w:after="40"/>
            </w:pPr>
            <w:r>
              <w:rPr>
                <w:rFonts w:ascii="Arial" w:cs="Arial" w:eastAsia="Arial" w:hAnsi="Arial"/>
                <w:b/>
                <w:bCs/>
                <w:color w:val="0B2545"/>
                <w:sz w:val="24"/>
                <w:szCs w:val="24"/>
              </w:rPr>
              <w:t xml:space="preserve">With Robust Verification</w:t>
            </w:r>
          </w:p>
          <w:p>
            <w:pPr>
              <w:spacing w:before="40" w:after="40"/>
            </w:pPr>
            <w:r>
              <w:rPr>
                <w:rFonts w:ascii="Arial" w:cs="Arial" w:eastAsia="Arial" w:hAnsi="Arial"/>
                <w:color w:val="1C2833"/>
                <w:sz w:val="21"/>
                <w:szCs w:val="21"/>
              </w:rPr>
              <w:t xml:space="preserve">• Credential fraud structurally prevented</w:t>
            </w:r>
          </w:p>
          <w:p>
            <w:pPr>
              <w:spacing w:before="40" w:after="40"/>
            </w:pPr>
            <w:r>
              <w:rPr>
                <w:rFonts w:ascii="Arial" w:cs="Arial" w:eastAsia="Arial" w:hAnsi="Arial"/>
                <w:color w:val="1C2833"/>
                <w:sz w:val="21"/>
                <w:szCs w:val="21"/>
              </w:rPr>
              <w:t xml:space="preserve">• Learner confidence and conversion increase</w:t>
            </w:r>
          </w:p>
          <w:p>
            <w:pPr>
              <w:spacing w:before="40" w:after="40"/>
            </w:pPr>
            <w:r>
              <w:rPr>
                <w:rFonts w:ascii="Arial" w:cs="Arial" w:eastAsia="Arial" w:hAnsi="Arial"/>
                <w:color w:val="1C2833"/>
                <w:sz w:val="21"/>
                <w:szCs w:val="21"/>
              </w:rPr>
              <w:t xml:space="preserve">• Institutes approve EcoSkiller as trusted partner</w:t>
            </w:r>
          </w:p>
          <w:p>
            <w:pPr>
              <w:spacing w:before="40" w:after="40"/>
            </w:pPr>
            <w:r>
              <w:rPr>
                <w:rFonts w:ascii="Arial" w:cs="Arial" w:eastAsia="Arial" w:hAnsi="Arial"/>
                <w:color w:val="1C2833"/>
                <w:sz w:val="21"/>
                <w:szCs w:val="21"/>
              </w:rPr>
              <w:t xml:space="preserve">• Platform legally protected via documented KYC</w:t>
            </w:r>
          </w:p>
          <w:p>
            <w:pPr>
              <w:spacing w:before="40" w:after="40"/>
            </w:pPr>
            <w:r>
              <w:rPr>
                <w:rFonts w:ascii="Arial" w:cs="Arial" w:eastAsia="Arial" w:hAnsi="Arial"/>
                <w:color w:val="1C2833"/>
                <w:sz w:val="21"/>
                <w:szCs w:val="21"/>
              </w:rPr>
              <w:t xml:space="preserve">• Corporate L&amp;D buyers approve faster</w:t>
            </w:r>
          </w:p>
          <w:p>
            <w:pPr>
              <w:spacing w:before="40" w:after="40"/>
            </w:pPr>
            <w:r>
              <w:rPr>
                <w:rFonts w:ascii="Arial" w:cs="Arial" w:eastAsia="Arial" w:hAnsi="Arial"/>
                <w:color w:val="1C2833"/>
                <w:sz w:val="21"/>
                <w:szCs w:val="21"/>
              </w:rPr>
              <w:t xml:space="preserve">• Verified Trainer badge becomes competitive moat</w:t>
            </w:r>
          </w:p>
        </w:tc>
      </w:tr>
    </w:tbl>
    <w:p>
      <w:pPr>
        <w:spacing w:before="0" w:after="0"/>
      </w:pPr>
      <w:r>
        <w:rPr>
          <w:sz w:val="20"/>
          <w:szCs w:val="20"/>
        </w:rPr>
        <w:t xml:space="preserve"/>
      </w:r>
    </w:p>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T.1</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Trainer Account Registration</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Trainer Account Registration is the entry point of the entire onboarding journey. It must collect sufficient information to initiate verification workflows while keeping friction low enough to avoid abandonment. The registration flow must be clearly differentiated from learner registration — trainers represent a supply-side professional audience with different motivations, expectations, and information to provide.</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Udemy, Teachable, and Skillshare all use multi-step registration with progressive disclosure — basic info first, then detailed profile, then verification documents.</w:t>
      </w:r>
    </w:p>
    <w:p>
      <w:pPr>
        <w:pStyle w:val="ListParagraph"/>
        <w:numPr>
          <w:ilvl w:val="0"/>
          <w:numId w:val="2"/>
        </w:numPr>
        <w:spacing w:before="60" w:after="60"/>
      </w:pPr>
      <w:r>
        <w:rPr>
          <w:rFonts w:ascii="Arial" w:cs="Arial" w:eastAsia="Arial" w:hAnsi="Arial"/>
          <w:color w:val="1C2833"/>
          <w:sz w:val="22"/>
          <w:szCs w:val="22"/>
        </w:rPr>
        <w:t xml:space="preserve">Research shows single-page forms with 10+ fields have 68% abandonment rates; 3-step progressive forms reduce this to 23% (Baymard Institute, 2023).</w:t>
      </w:r>
    </w:p>
    <w:p>
      <w:pPr>
        <w:pStyle w:val="ListParagraph"/>
        <w:numPr>
          <w:ilvl w:val="0"/>
          <w:numId w:val="2"/>
        </w:numPr>
        <w:spacing w:before="60" w:after="60"/>
      </w:pPr>
      <w:r>
        <w:rPr>
          <w:rFonts w:ascii="Arial" w:cs="Arial" w:eastAsia="Arial" w:hAnsi="Arial"/>
          <w:color w:val="1C2833"/>
          <w:sz w:val="22"/>
          <w:szCs w:val="22"/>
        </w:rPr>
        <w:t xml:space="preserve">LinkedIn-style professional onboarding (import from LinkedIn, GitHub, resume) dramatically speeds up initial registration for professional trainers.</w:t>
      </w:r>
    </w:p>
    <w:p>
      <w:pPr>
        <w:pStyle w:val="ListParagraph"/>
        <w:numPr>
          <w:ilvl w:val="0"/>
          <w:numId w:val="2"/>
        </w:numPr>
        <w:spacing w:before="60" w:after="60"/>
      </w:pPr>
      <w:r>
        <w:rPr>
          <w:rFonts w:ascii="Arial" w:cs="Arial" w:eastAsia="Arial" w:hAnsi="Arial"/>
          <w:color w:val="1C2833"/>
          <w:sz w:val="22"/>
          <w:szCs w:val="22"/>
        </w:rPr>
        <w:t xml:space="preserve">Email verification and mobile OTP as dual-factor entry prevent bot registrations and ensure reachable contacts from day one.</w:t>
      </w:r>
    </w:p>
    <w:p>
      <w:pPr>
        <w:pStyle w:val="ListParagraph"/>
        <w:numPr>
          <w:ilvl w:val="0"/>
          <w:numId w:val="2"/>
        </w:numPr>
        <w:spacing w:before="60" w:after="60"/>
      </w:pPr>
      <w:r>
        <w:rPr>
          <w:rFonts w:ascii="Arial" w:cs="Arial" w:eastAsia="Arial" w:hAnsi="Arial"/>
          <w:color w:val="1C2833"/>
          <w:sz w:val="22"/>
          <w:szCs w:val="22"/>
        </w:rPr>
        <w:t xml:space="preserve">Role-specific onboarding paths (Corporate Trainer, Academic Faculty, Industry Expert, Freelance Trainer) allow context-relevant data collection.</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Multi-Step Registration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3-step progressive form: Basic Info &gt; Professional Details &gt; Document Upload</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Step-save with resume capability</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LinkedIn / GitHub Import</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One-click import of professional data from LinkedIn or GitHub profile</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Auto-populate fields, conflict resolution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Role-Type Selection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 selects primary role at registration: Corporate / Academic / Industry / Freelance</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Role-specific follow-up questions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Dual-Factor Entry Verification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Email verification + mobile OTP required to activate account</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Disposable email detection, mobile validation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Referral &amp; Invite Tracking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Track if trainer was invited by an institute or corporate partner</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Partner-attributed onboarding pipeline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Registration Analytics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Track drop-off per step and device type to optimize funnel</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A/B test optimization dashboard</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EF9E7" w:val="clear"/>
            <w:tcMar>
              <w:top w:type="dxa" w:w="130"/>
              <w:left w:type="dxa" w:w="220"/>
              <w:bottom w:type="dxa" w:w="130"/>
              <w:right w:type="dxa" w:w="220"/>
            </w:tcMar>
          </w:tcPr>
          <w:p>
            <w:pPr>
              <w:spacing w:before="40" w:after="40"/>
            </w:pPr>
            <w:r>
              <w:rPr>
                <w:rFonts w:ascii="Arial" w:cs="Arial" w:eastAsia="Arial" w:hAnsi="Arial"/>
                <w:b/>
                <w:bCs/>
                <w:color w:val="9A7D0A"/>
                <w:sz w:val="22"/>
                <w:szCs w:val="22"/>
              </w:rPr>
              <w:t xml:space="preserve">Key Insight — First Impressions Matter</w:t>
            </w:r>
          </w:p>
          <w:p>
            <w:pPr>
              <w:spacing w:before="40" w:after="40"/>
            </w:pPr>
            <w:r>
              <w:rPr>
                <w:rFonts w:ascii="Arial" w:cs="Arial" w:eastAsia="Arial" w:hAnsi="Arial"/>
                <w:color w:val="1C2833"/>
                <w:sz w:val="21"/>
                <w:szCs w:val="21"/>
              </w:rPr>
              <w:t xml:space="preserve">The trainer registration experience is EcoSkiller's first brand impression on its supply-side users. A clunky registration form communicates platform quality before a trainer has seen a single feature. Invest in a world-class registration UX — clean, mobile-optimized, with LinkedIn import and visible progress indicators. The best trainers have options; make them feel valued from step one.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T.2</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Professional Identity Verification (KYC)</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Professional Identity Verification (KYC) confirms that the trainer is who they claim to be. This involves government-issued ID verification, face match, and address proof — the same rigorous standard applied in financial services. For a training platform operating in regulated domains (finance, law, healthcare, safety), KYC is a legal and ethical necessity, not an option.</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India's DigiLocker and Aadhaar eKYC systems enable real-time, consent-based identity verification against government databases — the gold standard for Indian platforms.</w:t>
      </w:r>
    </w:p>
    <w:p>
      <w:pPr>
        <w:pStyle w:val="ListParagraph"/>
        <w:numPr>
          <w:ilvl w:val="0"/>
          <w:numId w:val="2"/>
        </w:numPr>
        <w:spacing w:before="60" w:after="60"/>
      </w:pPr>
      <w:r>
        <w:rPr>
          <w:rFonts w:ascii="Arial" w:cs="Arial" w:eastAsia="Arial" w:hAnsi="Arial"/>
          <w:color w:val="1C2833"/>
          <w:sz w:val="22"/>
          <w:szCs w:val="22"/>
        </w:rPr>
        <w:t xml:space="preserve">Video KYC (live face match via camera) is accepted by SEBI, RBI, and IRDAI as valid KYC — EcoSkiller should adopt this for high-trust training domains.</w:t>
      </w:r>
    </w:p>
    <w:p>
      <w:pPr>
        <w:pStyle w:val="ListParagraph"/>
        <w:numPr>
          <w:ilvl w:val="0"/>
          <w:numId w:val="2"/>
        </w:numPr>
        <w:spacing w:before="60" w:after="60"/>
      </w:pPr>
      <w:r>
        <w:rPr>
          <w:rFonts w:ascii="Arial" w:cs="Arial" w:eastAsia="Arial" w:hAnsi="Arial"/>
          <w:color w:val="1C2833"/>
          <w:sz w:val="22"/>
          <w:szCs w:val="22"/>
        </w:rPr>
        <w:t xml:space="preserve">Third-party KYC providers (IDfy, HyperVerge, AuthBridge, Onfido) offer API-based verification with under 2-minute turnaround and 99.5%+ accuracy.</w:t>
      </w:r>
    </w:p>
    <w:p>
      <w:pPr>
        <w:pStyle w:val="ListParagraph"/>
        <w:numPr>
          <w:ilvl w:val="0"/>
          <w:numId w:val="2"/>
        </w:numPr>
        <w:spacing w:before="60" w:after="60"/>
      </w:pPr>
      <w:r>
        <w:rPr>
          <w:rFonts w:ascii="Arial" w:cs="Arial" w:eastAsia="Arial" w:hAnsi="Arial"/>
          <w:color w:val="1C2833"/>
          <w:sz w:val="22"/>
          <w:szCs w:val="22"/>
        </w:rPr>
        <w:t xml:space="preserve">KYC data must be stored with AES-256 encryption, access-controlled, and retained per IT Act 2000 and DPDP Act 2023 requirements.</w:t>
      </w:r>
    </w:p>
    <w:p>
      <w:pPr>
        <w:pStyle w:val="ListParagraph"/>
        <w:numPr>
          <w:ilvl w:val="0"/>
          <w:numId w:val="2"/>
        </w:numPr>
        <w:spacing w:before="60" w:after="60"/>
      </w:pPr>
      <w:r>
        <w:rPr>
          <w:rFonts w:ascii="Arial" w:cs="Arial" w:eastAsia="Arial" w:hAnsi="Arial"/>
          <w:color w:val="1C2833"/>
          <w:sz w:val="22"/>
          <w:szCs w:val="22"/>
        </w:rPr>
        <w:t xml:space="preserve">GDPR (for EU trainers) and India's DPDP Act require explicit, granular consent before any biometric or government ID data is collected or processed.</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Aadhaar eKYC Integration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Real-time government identity verification via UIDAI API with OTP consent</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Instant verification, no manual review needed</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PAN Card Verification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Validate PAN number against Income Tax database for tax compliance</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GST-readiness for trainer payouts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Video KYC — Live Face Match</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Short live video session to match face against government ID photo</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Liveness detection, anti-spoofing ML layer</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Document OCR &amp; Validation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Auto-extract data from uploaded ID documents using OCR</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Cross-validate name, DOB, ID number consistency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Encrypted KYC Storage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Store all identity documents in encrypted vault with access logs</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AES-256, role-based access, full audit trail</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KYC Status Tracking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Real-time status updates: Pending / In Review / Verified / Rejected</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SMS + email notification on each status change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Re-Verification Triggers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Automatically re-trigger KYC if trainer changes key profile data</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Annual KYC refresh for ongoing compliance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DEBD0" w:val="clear"/>
            <w:tcMar>
              <w:top w:type="dxa" w:w="130"/>
              <w:left w:type="dxa" w:w="220"/>
              <w:bottom w:type="dxa" w:w="130"/>
              <w:right w:type="dxa" w:w="220"/>
            </w:tcMar>
          </w:tcPr>
          <w:p>
            <w:pPr>
              <w:spacing w:before="40" w:after="40"/>
            </w:pPr>
            <w:r>
              <w:rPr>
                <w:rFonts w:ascii="Arial" w:cs="Arial" w:eastAsia="Arial" w:hAnsi="Arial"/>
                <w:b/>
                <w:bCs/>
                <w:color w:val="BA4A00"/>
                <w:sz w:val="22"/>
                <w:szCs w:val="22"/>
              </w:rPr>
              <w:t xml:space="preserve">Key Insight — DPDP Act Compliance</w:t>
            </w:r>
          </w:p>
          <w:p>
            <w:pPr>
              <w:spacing w:before="40" w:after="40"/>
            </w:pPr>
            <w:r>
              <w:rPr>
                <w:rFonts w:ascii="Arial" w:cs="Arial" w:eastAsia="Arial" w:hAnsi="Arial"/>
                <w:color w:val="1C2833"/>
                <w:sz w:val="21"/>
                <w:szCs w:val="21"/>
              </w:rPr>
              <w:t xml:space="preserve">India's Digital Personal Data Protection (DPDP) Act 2023 is now in force. EcoSkiller must obtain explicit, purpose-specific consent before collecting Aadhaar, PAN, or biometric data from trainers. The KYC consent screen must clearly state: what data is collected, why, how long it is stored, and trainers' rights to withdraw consent. Non-compliance risks penalties of up to Rs. 250 crore.</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T.3</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Industry Experience Verification</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Industry Experience Verification confirms that a trainer's claimed work history is genuine. This is distinct from identity verification — a person can have a verified identity but fabricated employment claims. Experience verification checks that the trainer has actually worked in the roles, companies, and domains they claim, which is fundamental to credibility in professional training.</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SpringVerify, AuthBridge, and Checkr are the leading employment verification providers in India — they directly contact employers or access EPFO records.</w:t>
      </w:r>
    </w:p>
    <w:p>
      <w:pPr>
        <w:pStyle w:val="ListParagraph"/>
        <w:numPr>
          <w:ilvl w:val="0"/>
          <w:numId w:val="2"/>
        </w:numPr>
        <w:spacing w:before="60" w:after="60"/>
      </w:pPr>
      <w:r>
        <w:rPr>
          <w:rFonts w:ascii="Arial" w:cs="Arial" w:eastAsia="Arial" w:hAnsi="Arial"/>
          <w:color w:val="1C2833"/>
          <w:sz w:val="22"/>
          <w:szCs w:val="22"/>
        </w:rPr>
        <w:t xml:space="preserve">EPFO (Employees' Provident Fund Organisation) database access is a powerful verification tool for Indian employment history — available via consent-based APIs.</w:t>
      </w:r>
    </w:p>
    <w:p>
      <w:pPr>
        <w:pStyle w:val="ListParagraph"/>
        <w:numPr>
          <w:ilvl w:val="0"/>
          <w:numId w:val="2"/>
        </w:numPr>
        <w:spacing w:before="60" w:after="60"/>
      </w:pPr>
      <w:r>
        <w:rPr>
          <w:rFonts w:ascii="Arial" w:cs="Arial" w:eastAsia="Arial" w:hAnsi="Arial"/>
          <w:color w:val="1C2833"/>
          <w:sz w:val="22"/>
          <w:szCs w:val="22"/>
        </w:rPr>
        <w:t xml:space="preserve">LinkedIn Premium's 'Verified Work History' feature uses Microsoft Azure to verify employment claims — demonstrating strong market demand for this capability.</w:t>
      </w:r>
    </w:p>
    <w:p>
      <w:pPr>
        <w:pStyle w:val="ListParagraph"/>
        <w:numPr>
          <w:ilvl w:val="0"/>
          <w:numId w:val="2"/>
        </w:numPr>
        <w:spacing w:before="60" w:after="60"/>
      </w:pPr>
      <w:r>
        <w:rPr>
          <w:rFonts w:ascii="Arial" w:cs="Arial" w:eastAsia="Arial" w:hAnsi="Arial"/>
          <w:color w:val="1C2833"/>
          <w:sz w:val="22"/>
          <w:szCs w:val="22"/>
        </w:rPr>
        <w:t xml:space="preserve">Fake experience claims are most common in high-earning domains: Cloud, AI/ML, Data Science, Finance, and Management Consulting.</w:t>
      </w:r>
    </w:p>
    <w:p>
      <w:pPr>
        <w:pStyle w:val="ListParagraph"/>
        <w:numPr>
          <w:ilvl w:val="0"/>
          <w:numId w:val="2"/>
        </w:numPr>
        <w:spacing w:before="60" w:after="60"/>
      </w:pPr>
      <w:r>
        <w:rPr>
          <w:rFonts w:ascii="Arial" w:cs="Arial" w:eastAsia="Arial" w:hAnsi="Arial"/>
          <w:color w:val="1C2833"/>
          <w:sz w:val="22"/>
          <w:szCs w:val="22"/>
        </w:rPr>
        <w:t xml:space="preserve">Minimum experience thresholds per domain (3 years for intermediate, 7 years for expert) should be enforced algorithmically, not just visually on profiles.</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EPFO-Based Employment Check</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Verify PF contribution history to confirm employer and employment duration</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Automated via consent API, no manual calls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Employer Reference Verification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Send automated verification request to listed employer HR contact email</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Confirmation link with encrypted token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LinkedIn Profile Cross-Check</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Compare declared experience with public LinkedIn data as supplementary signal</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Flag significant discrepancies for admin review</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Experience Evidence Upload</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Accept offer letters, relieving letters, pay slips as supporting documents</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OCR extraction + document authenticity analysis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Experience Level Gating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Enforce minimum verified experience years required per trainer tier</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Junior / Senior / Expert tier enforcement</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Domain Experience Scoring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Calculate numerical experience score based on verified tenure and domain relevance</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Weighted by recency and role seniority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0ECE7" w:val="clear"/>
            <w:tcMar>
              <w:top w:type="dxa" w:w="130"/>
              <w:left w:type="dxa" w:w="220"/>
              <w:bottom w:type="dxa" w:w="130"/>
              <w:right w:type="dxa" w:w="220"/>
            </w:tcMar>
          </w:tcPr>
          <w:p>
            <w:pPr>
              <w:spacing w:before="40" w:after="40"/>
            </w:pPr>
            <w:r>
              <w:rPr>
                <w:rFonts w:ascii="Arial" w:cs="Arial" w:eastAsia="Arial" w:hAnsi="Arial"/>
                <w:b/>
                <w:bCs/>
                <w:color w:val="0E6655"/>
                <w:sz w:val="22"/>
                <w:szCs w:val="22"/>
              </w:rPr>
              <w:t xml:space="preserve">Key Insight — EPFO as Verification Goldmine</w:t>
            </w:r>
          </w:p>
          <w:p>
            <w:pPr>
              <w:spacing w:before="40" w:after="40"/>
            </w:pPr>
            <w:r>
              <w:rPr>
                <w:rFonts w:ascii="Arial" w:cs="Arial" w:eastAsia="Arial" w:hAnsi="Arial"/>
                <w:color w:val="1C2833"/>
                <w:sz w:val="21"/>
                <w:szCs w:val="21"/>
              </w:rPr>
              <w:t xml:space="preserve">India's EPFO database is massively underutilized for HR and EdTech verification. A trainer's EPFO contribution history is tamper-proof, government-backed proof of employment — far more reliable than self-reported LinkedIn data or uploaded documents. EcoSkiller should integrate consent-based EPFO API access as the primary employment verification method for India-based trainers.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T.4</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Certification Verification</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Certification Verification confirms the authenticity of professional certifications, academic degrees, and industry credentials claimed by trainers. Certification fraud is rampant in EdTech — fake AWS, PMP, CFA, and MBA certificates are commonly submitted on self-declaration platforms. EcoSkiller must automate the verification of these credentials through direct issuer validation, not manual document review.</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Credly (now part of Pearson), Accredible, and Badgr are the dominant digital credential platforms — they provide public verification URLs for issued digital badges.</w:t>
      </w:r>
    </w:p>
    <w:p>
      <w:pPr>
        <w:pStyle w:val="ListParagraph"/>
        <w:numPr>
          <w:ilvl w:val="0"/>
          <w:numId w:val="2"/>
        </w:numPr>
        <w:spacing w:before="60" w:after="60"/>
      </w:pPr>
      <w:r>
        <w:rPr>
          <w:rFonts w:ascii="Arial" w:cs="Arial" w:eastAsia="Arial" w:hAnsi="Arial"/>
          <w:color w:val="1C2833"/>
          <w:sz w:val="22"/>
          <w:szCs w:val="22"/>
        </w:rPr>
        <w:t xml:space="preserve">Over 300 major certification bodies (AWS, Microsoft, Google, PMI, CFA Institute, ISACA) now issue verifiable digital badges with public APIs for real-time verification.</w:t>
      </w:r>
    </w:p>
    <w:p>
      <w:pPr>
        <w:pStyle w:val="ListParagraph"/>
        <w:numPr>
          <w:ilvl w:val="0"/>
          <w:numId w:val="2"/>
        </w:numPr>
        <w:spacing w:before="60" w:after="60"/>
      </w:pPr>
      <w:r>
        <w:rPr>
          <w:rFonts w:ascii="Arial" w:cs="Arial" w:eastAsia="Arial" w:hAnsi="Arial"/>
          <w:color w:val="1C2833"/>
          <w:sz w:val="22"/>
          <w:szCs w:val="22"/>
        </w:rPr>
        <w:t xml:space="preserve">University degree verification in India is available via National Academic Depository (NAD) — a DigiLocker-integrated database of verified academic records from 2600+ institutions.</w:t>
      </w:r>
    </w:p>
    <w:p>
      <w:pPr>
        <w:pStyle w:val="ListParagraph"/>
        <w:numPr>
          <w:ilvl w:val="0"/>
          <w:numId w:val="2"/>
        </w:numPr>
        <w:spacing w:before="60" w:after="60"/>
      </w:pPr>
      <w:r>
        <w:rPr>
          <w:rFonts w:ascii="Arial" w:cs="Arial" w:eastAsia="Arial" w:hAnsi="Arial"/>
          <w:color w:val="1C2833"/>
          <w:sz w:val="22"/>
          <w:szCs w:val="22"/>
        </w:rPr>
        <w:t xml:space="preserve">Fake certification fraud costs the global workforce an estimated $500M annually in misallocated recruitment and training decisions (HireRight, 2023).</w:t>
      </w:r>
    </w:p>
    <w:p>
      <w:pPr>
        <w:pStyle w:val="ListParagraph"/>
        <w:numPr>
          <w:ilvl w:val="0"/>
          <w:numId w:val="2"/>
        </w:numPr>
        <w:spacing w:before="60" w:after="60"/>
      </w:pPr>
      <w:r>
        <w:rPr>
          <w:rFonts w:ascii="Arial" w:cs="Arial" w:eastAsia="Arial" w:hAnsi="Arial"/>
          <w:color w:val="1C2833"/>
          <w:sz w:val="22"/>
          <w:szCs w:val="22"/>
        </w:rPr>
        <w:t xml:space="preserve">Automated certificate verification via Credly/Badgr URLs takes under 10 seconds vs. manual verification which takes 3–5 business days.</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Digital Badge Verification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Verify Credly, Accredible, Badgr digital badges via public URL or API</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Real-time verification with expiry check</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NAD / DigiLocker Degree Check</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Verify academic degrees via National Academic Depository API</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AICTE/UGC accredited institution database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Certification Body Direct API</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Direct integration with AWS, Microsoft Learn, Google Cloud, PMI, CFA Institute</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Provider-authoritative real-time verification</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Certificate OCR Parsing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Extract certificate details (name, issuer, date, ID) from uploaded images/PDFs</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Anti-forgery metadata analysis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Certification Expiry Tracking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Monitor expiry dates of time-bound certifications (AWS re-cert every 3 years)</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Auto-notify trainer 60 days before expiry</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Certification Portfolio View</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Public-facing verified certification showcase on trainer profile page</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Issuer logo, verification link, expiry badge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Bulk Certification Import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Import all certifications from LinkedIn profile in one action</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Selective import, verification queued automatically</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T.5</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Domain Expertise Tagging</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Domain Expertise Tagging is the structured classification of a trainer's verified skills and knowledge areas against a standardized taxonomy. It enables accurate trainer-to-program matching, learner search discovery, and platform-wide competency mapping. Without precise domain tagging, even a fully verified trainer remains invisible in search and unable to be intelligently matched to relevant programs.</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ESCO (European Skills, Competences, Qualifications and Occupations) and NASSCOM's Future Skills taxonomy are the most comprehensive skill frameworks for tech and professional domains.</w:t>
      </w:r>
    </w:p>
    <w:p>
      <w:pPr>
        <w:pStyle w:val="ListParagraph"/>
        <w:numPr>
          <w:ilvl w:val="0"/>
          <w:numId w:val="2"/>
        </w:numPr>
        <w:spacing w:before="60" w:after="60"/>
      </w:pPr>
      <w:r>
        <w:rPr>
          <w:rFonts w:ascii="Arial" w:cs="Arial" w:eastAsia="Arial" w:hAnsi="Arial"/>
          <w:color w:val="1C2833"/>
          <w:sz w:val="22"/>
          <w:szCs w:val="22"/>
        </w:rPr>
        <w:t xml:space="preserve">Ontology-based skill tagging (parent skill &gt; sub-skill &gt; micro-skill) enables more precise matching than flat tag systems used by older platforms.</w:t>
      </w:r>
    </w:p>
    <w:p>
      <w:pPr>
        <w:pStyle w:val="ListParagraph"/>
        <w:numPr>
          <w:ilvl w:val="0"/>
          <w:numId w:val="2"/>
        </w:numPr>
        <w:spacing w:before="60" w:after="60"/>
      </w:pPr>
      <w:r>
        <w:rPr>
          <w:rFonts w:ascii="Arial" w:cs="Arial" w:eastAsia="Arial" w:hAnsi="Arial"/>
          <w:color w:val="1C2833"/>
          <w:sz w:val="22"/>
          <w:szCs w:val="22"/>
        </w:rPr>
        <w:t xml:space="preserve">AI-driven skill extraction from resume, LinkedIn, and portfolio automatically suggests relevant tags — reducing manual tagging friction by 70%.</w:t>
      </w:r>
    </w:p>
    <w:p>
      <w:pPr>
        <w:pStyle w:val="ListParagraph"/>
        <w:numPr>
          <w:ilvl w:val="0"/>
          <w:numId w:val="2"/>
        </w:numPr>
        <w:spacing w:before="60" w:after="60"/>
      </w:pPr>
      <w:r>
        <w:rPr>
          <w:rFonts w:ascii="Arial" w:cs="Arial" w:eastAsia="Arial" w:hAnsi="Arial"/>
          <w:color w:val="1C2833"/>
          <w:sz w:val="22"/>
          <w:szCs w:val="22"/>
        </w:rPr>
        <w:t xml:space="preserve">Learner search behavior strongly favors specific tags ('React Native' over 'Mobile Development') — granular tagging directly impacts trainer discoverability.</w:t>
      </w:r>
    </w:p>
    <w:p>
      <w:pPr>
        <w:pStyle w:val="ListParagraph"/>
        <w:numPr>
          <w:ilvl w:val="0"/>
          <w:numId w:val="2"/>
        </w:numPr>
        <w:spacing w:before="60" w:after="60"/>
      </w:pPr>
      <w:r>
        <w:rPr>
          <w:rFonts w:ascii="Arial" w:cs="Arial" w:eastAsia="Arial" w:hAnsi="Arial"/>
          <w:color w:val="1C2833"/>
          <w:sz w:val="22"/>
          <w:szCs w:val="22"/>
        </w:rPr>
        <w:t xml:space="preserve">Self-declared expertise tags should be weight-adjusted by verification level: verified experience in domain = 3x weight vs. self-declared only in search algorithm.</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Hierarchical Skill Taxonomy</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3-level taxonomy: Domain &gt; Sub-Domain &gt; Specific Skill (e.g., Tech &gt; Cloud &gt; AWS Lambda)</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ESCO / NASSCOM / O*NET aligned</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AI Tag Extraction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AI auto-suggests tags from trainer's resume, LinkedIn profile, and certifications</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Confidence-scored suggestions, trainer approves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Verified vs. Claimed Tag Distinction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Visual distinction between verified (backed by document) and self-claimed tags</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Trust weight in platform search algorithm</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Tag Proficiency Levels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Each tag has proficiency level: Awareness / Practitioner / Expert / Master</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Assessment-validated level upgrade path</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Domain Exclusivity Controls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Prevent trainers from tagging 50+ domains without supporting evidence</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Max tags per tier, evidence gate for Expert tags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Tag-Based Search &amp; Discovery</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Learner and institute search uses verified tags as primary matching criterion</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Faceted search, tag autocomplete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Trending Domain Recommendations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Suggest high-demand tags trainer could acquire based on job market signals</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Upskilling nudge for trainer career growth</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EF9E7" w:val="clear"/>
            <w:tcMar>
              <w:top w:type="dxa" w:w="130"/>
              <w:left w:type="dxa" w:w="220"/>
              <w:bottom w:type="dxa" w:w="130"/>
              <w:right w:type="dxa" w:w="220"/>
            </w:tcMar>
          </w:tcPr>
          <w:p>
            <w:pPr>
              <w:spacing w:before="40" w:after="40"/>
            </w:pPr>
            <w:r>
              <w:rPr>
                <w:rFonts w:ascii="Arial" w:cs="Arial" w:eastAsia="Arial" w:hAnsi="Arial"/>
                <w:b/>
                <w:bCs/>
                <w:color w:val="9A7D0A"/>
                <w:sz w:val="22"/>
                <w:szCs w:val="22"/>
              </w:rPr>
              <w:t xml:space="preserve">Key Insight — Verified Tags as Currency</w:t>
            </w:r>
          </w:p>
          <w:p>
            <w:pPr>
              <w:spacing w:before="40" w:after="40"/>
            </w:pPr>
            <w:r>
              <w:rPr>
                <w:rFonts w:ascii="Arial" w:cs="Arial" w:eastAsia="Arial" w:hAnsi="Arial"/>
                <w:color w:val="1C2833"/>
                <w:sz w:val="21"/>
                <w:szCs w:val="21"/>
              </w:rPr>
              <w:t xml:space="preserve">On EcoSkiller, a verified domain tag should be worth significantly more than a self-declared one in search ranking and recommendation algorithms. Creating a clear visual and algorithmic distinction between 'Claimed' and 'Verified' expertise signals to learners exactly who the platform has vetted — and turns verification into a competitive advantage for qualified trainers who invest in the process.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T.6</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Trainer Onboarding Workflow</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The Trainer Onboarding Workflow is the end-to-end process that takes a newly registered trainer from account creation to fully approved, course-ready status. It orchestrates all verification steps, document collection, agreement acceptance, and profile completion into a guided, trackable journey. A well-designed onboarding workflow minimizes drop-off, reduces support tickets, and ensures every approved trainer meets the platform's quality standard.</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Onboarding Journey — 8 Steps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665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01</w:t>
            </w:r>
          </w:p>
        </w:tc>
        <w:tc>
          <w:tcPr>
            <w:tcW w:type="dxa" w:w="8760"/>
            <w:tcBorders>
              <w:top w:val="none" w:color="FFFFFF" w:sz="0"/>
              <w:left w:val="none" w:color="FFFFFF" w:sz="0"/>
              <w:bottom w:val="none" w:color="FFFFFF" w:sz="0"/>
              <w:right w:val="none" w:color="FFFFFF" w:sz="0"/>
            </w:tcBorders>
            <w:shd w:fill="D0ECE7" w:val="clear"/>
            <w:tcMar>
              <w:top w:type="dxa" w:w="100"/>
              <w:left w:type="dxa" w:w="200"/>
              <w:bottom w:type="dxa" w:w="100"/>
              <w:right w:type="dxa" w:w="160"/>
            </w:tcMar>
          </w:tcPr>
          <w:p>
            <w:pPr>
              <w:spacing w:before="30" w:after="30"/>
            </w:pPr>
            <w:r>
              <w:rPr>
                <w:rFonts w:ascii="Arial" w:cs="Arial" w:eastAsia="Arial" w:hAnsi="Arial"/>
                <w:b/>
                <w:bCs/>
                <w:color w:val="0E6655"/>
                <w:sz w:val="22"/>
                <w:szCs w:val="22"/>
              </w:rPr>
              <w:t xml:space="preserve">Step 1: Account Registration &amp; Email/OTP Verification</w:t>
            </w:r>
          </w:p>
          <w:p>
            <w:pPr>
              <w:spacing w:before="30" w:after="30"/>
            </w:pPr>
            <w:r>
              <w:rPr>
                <w:rFonts w:ascii="Arial" w:cs="Arial" w:eastAsia="Arial" w:hAnsi="Arial"/>
                <w:color w:val="1C2833"/>
                <w:sz w:val="20"/>
                <w:szCs w:val="20"/>
              </w:rPr>
              <w:t xml:space="preserve">Trainer completes multi-step registration form. Email and mobile OTP verified. LinkedIn import available to speed up data 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665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02</w:t>
            </w:r>
          </w:p>
        </w:tc>
        <w:tc>
          <w:tcPr>
            <w:tcW w:type="dxa" w:w="8760"/>
            <w:tcBorders>
              <w:top w:val="none" w:color="FFFFFF" w:sz="0"/>
              <w:left w:val="none" w:color="FFFFFF" w:sz="0"/>
              <w:bottom w:val="none" w:color="FFFFFF" w:sz="0"/>
              <w:right w:val="none" w:color="FFFFFF" w:sz="0"/>
            </w:tcBorders>
            <w:shd w:fill="FFFFFF" w:val="clear"/>
            <w:tcMar>
              <w:top w:type="dxa" w:w="100"/>
              <w:left w:type="dxa" w:w="200"/>
              <w:bottom w:type="dxa" w:w="100"/>
              <w:right w:type="dxa" w:w="160"/>
            </w:tcMar>
          </w:tcPr>
          <w:p>
            <w:pPr>
              <w:spacing w:before="30" w:after="30"/>
            </w:pPr>
            <w:r>
              <w:rPr>
                <w:rFonts w:ascii="Arial" w:cs="Arial" w:eastAsia="Arial" w:hAnsi="Arial"/>
                <w:b/>
                <w:bCs/>
                <w:color w:val="0E6655"/>
                <w:sz w:val="22"/>
                <w:szCs w:val="22"/>
              </w:rPr>
              <w:t xml:space="preserve">Step 2: Professional Identity KYC</w:t>
            </w:r>
          </w:p>
          <w:p>
            <w:pPr>
              <w:spacing w:before="30" w:after="30"/>
            </w:pPr>
            <w:r>
              <w:rPr>
                <w:rFonts w:ascii="Arial" w:cs="Arial" w:eastAsia="Arial" w:hAnsi="Arial"/>
                <w:color w:val="1C2833"/>
                <w:sz w:val="20"/>
                <w:szCs w:val="20"/>
              </w:rPr>
              <w:t xml:space="preserve">Aadhaar eKYC or Video KYC completed. PAN verification for payout compliance. All documents AES-256 encrypted and stored securely.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665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03</w:t>
            </w:r>
          </w:p>
        </w:tc>
        <w:tc>
          <w:tcPr>
            <w:tcW w:type="dxa" w:w="8760"/>
            <w:tcBorders>
              <w:top w:val="none" w:color="FFFFFF" w:sz="0"/>
              <w:left w:val="none" w:color="FFFFFF" w:sz="0"/>
              <w:bottom w:val="none" w:color="FFFFFF" w:sz="0"/>
              <w:right w:val="none" w:color="FFFFFF" w:sz="0"/>
            </w:tcBorders>
            <w:shd w:fill="D0ECE7" w:val="clear"/>
            <w:tcMar>
              <w:top w:type="dxa" w:w="100"/>
              <w:left w:type="dxa" w:w="200"/>
              <w:bottom w:type="dxa" w:w="100"/>
              <w:right w:type="dxa" w:w="160"/>
            </w:tcMar>
          </w:tcPr>
          <w:p>
            <w:pPr>
              <w:spacing w:before="30" w:after="30"/>
            </w:pPr>
            <w:r>
              <w:rPr>
                <w:rFonts w:ascii="Arial" w:cs="Arial" w:eastAsia="Arial" w:hAnsi="Arial"/>
                <w:b/>
                <w:bCs/>
                <w:color w:val="0E6655"/>
                <w:sz w:val="22"/>
                <w:szCs w:val="22"/>
              </w:rPr>
              <w:t xml:space="preserve">Step 3: Experience &amp; Certification Upload</w:t>
            </w:r>
          </w:p>
          <w:p>
            <w:pPr>
              <w:spacing w:before="30" w:after="30"/>
            </w:pPr>
            <w:r>
              <w:rPr>
                <w:rFonts w:ascii="Arial" w:cs="Arial" w:eastAsia="Arial" w:hAnsi="Arial"/>
                <w:color w:val="1C2833"/>
                <w:sz w:val="20"/>
                <w:szCs w:val="20"/>
              </w:rPr>
              <w:t xml:space="preserve">Trainer uploads employment proofs (relieving letters, pay slips) and certifications. Automated EPFO and Credly/NAD verification queued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665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04</w:t>
            </w:r>
          </w:p>
        </w:tc>
        <w:tc>
          <w:tcPr>
            <w:tcW w:type="dxa" w:w="8760"/>
            <w:tcBorders>
              <w:top w:val="none" w:color="FFFFFF" w:sz="0"/>
              <w:left w:val="none" w:color="FFFFFF" w:sz="0"/>
              <w:bottom w:val="none" w:color="FFFFFF" w:sz="0"/>
              <w:right w:val="none" w:color="FFFFFF" w:sz="0"/>
            </w:tcBorders>
            <w:shd w:fill="FFFFFF" w:val="clear"/>
            <w:tcMar>
              <w:top w:type="dxa" w:w="100"/>
              <w:left w:type="dxa" w:w="200"/>
              <w:bottom w:type="dxa" w:w="100"/>
              <w:right w:type="dxa" w:w="160"/>
            </w:tcMar>
          </w:tcPr>
          <w:p>
            <w:pPr>
              <w:spacing w:before="30" w:after="30"/>
            </w:pPr>
            <w:r>
              <w:rPr>
                <w:rFonts w:ascii="Arial" w:cs="Arial" w:eastAsia="Arial" w:hAnsi="Arial"/>
                <w:b/>
                <w:bCs/>
                <w:color w:val="0E6655"/>
                <w:sz w:val="22"/>
                <w:szCs w:val="22"/>
              </w:rPr>
              <w:t xml:space="preserve">Step 4: Domain Expertise Tagging</w:t>
            </w:r>
          </w:p>
          <w:p>
            <w:pPr>
              <w:spacing w:before="30" w:after="30"/>
            </w:pPr>
            <w:r>
              <w:rPr>
                <w:rFonts w:ascii="Arial" w:cs="Arial" w:eastAsia="Arial" w:hAnsi="Arial"/>
                <w:color w:val="1C2833"/>
                <w:sz w:val="20"/>
                <w:szCs w:val="20"/>
              </w:rPr>
              <w:t xml:space="preserve">AI-suggested skill tags reviewed and confirmed by trainer. Proficiency levels assigned. Verified tags flagged automatically upon document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665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05</w:t>
            </w:r>
          </w:p>
        </w:tc>
        <w:tc>
          <w:tcPr>
            <w:tcW w:type="dxa" w:w="8760"/>
            <w:tcBorders>
              <w:top w:val="none" w:color="FFFFFF" w:sz="0"/>
              <w:left w:val="none" w:color="FFFFFF" w:sz="0"/>
              <w:bottom w:val="none" w:color="FFFFFF" w:sz="0"/>
              <w:right w:val="none" w:color="FFFFFF" w:sz="0"/>
            </w:tcBorders>
            <w:shd w:fill="D0ECE7" w:val="clear"/>
            <w:tcMar>
              <w:top w:type="dxa" w:w="100"/>
              <w:left w:type="dxa" w:w="200"/>
              <w:bottom w:type="dxa" w:w="100"/>
              <w:right w:type="dxa" w:w="160"/>
            </w:tcMar>
          </w:tcPr>
          <w:p>
            <w:pPr>
              <w:spacing w:before="30" w:after="30"/>
            </w:pPr>
            <w:r>
              <w:rPr>
                <w:rFonts w:ascii="Arial" w:cs="Arial" w:eastAsia="Arial" w:hAnsi="Arial"/>
                <w:b/>
                <w:bCs/>
                <w:color w:val="0E6655"/>
                <w:sz w:val="22"/>
                <w:szCs w:val="22"/>
              </w:rPr>
              <w:t xml:space="preserve">Step 5: Agreement &amp; Compliance Acceptance</w:t>
            </w:r>
          </w:p>
          <w:p>
            <w:pPr>
              <w:spacing w:before="30" w:after="30"/>
            </w:pPr>
            <w:r>
              <w:rPr>
                <w:rFonts w:ascii="Arial" w:cs="Arial" w:eastAsia="Arial" w:hAnsi="Arial"/>
                <w:color w:val="1C2833"/>
                <w:sz w:val="20"/>
                <w:szCs w:val="20"/>
              </w:rPr>
              <w:t xml:space="preserve">Trainer Agreement, Code of Conduct, IP policy, and data consent presented. Digital signature via Aadhaar eSign with timestamp captured.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665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06</w:t>
            </w:r>
          </w:p>
        </w:tc>
        <w:tc>
          <w:tcPr>
            <w:tcW w:type="dxa" w:w="8760"/>
            <w:tcBorders>
              <w:top w:val="none" w:color="FFFFFF" w:sz="0"/>
              <w:left w:val="none" w:color="FFFFFF" w:sz="0"/>
              <w:bottom w:val="none" w:color="FFFFFF" w:sz="0"/>
              <w:right w:val="none" w:color="FFFFFF" w:sz="0"/>
            </w:tcBorders>
            <w:shd w:fill="FFFFFF" w:val="clear"/>
            <w:tcMar>
              <w:top w:type="dxa" w:w="100"/>
              <w:left w:type="dxa" w:w="200"/>
              <w:bottom w:type="dxa" w:w="100"/>
              <w:right w:type="dxa" w:w="160"/>
            </w:tcMar>
          </w:tcPr>
          <w:p>
            <w:pPr>
              <w:spacing w:before="30" w:after="30"/>
            </w:pPr>
            <w:r>
              <w:rPr>
                <w:rFonts w:ascii="Arial" w:cs="Arial" w:eastAsia="Arial" w:hAnsi="Arial"/>
                <w:b/>
                <w:bCs/>
                <w:color w:val="0E6655"/>
                <w:sz w:val="22"/>
                <w:szCs w:val="22"/>
              </w:rPr>
              <w:t xml:space="preserve">Step 6: Background Validation</w:t>
            </w:r>
          </w:p>
          <w:p>
            <w:pPr>
              <w:spacing w:before="30" w:after="30"/>
            </w:pPr>
            <w:r>
              <w:rPr>
                <w:rFonts w:ascii="Arial" w:cs="Arial" w:eastAsia="Arial" w:hAnsi="Arial"/>
                <w:color w:val="1C2833"/>
                <w:sz w:val="20"/>
                <w:szCs w:val="20"/>
              </w:rPr>
              <w:t xml:space="preserve">Automated background check initiated (criminal record, court cases, regulatory blacklist, adverse media). Results reviewed by trust team within 48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665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07</w:t>
            </w:r>
          </w:p>
        </w:tc>
        <w:tc>
          <w:tcPr>
            <w:tcW w:type="dxa" w:w="8760"/>
            <w:tcBorders>
              <w:top w:val="none" w:color="FFFFFF" w:sz="0"/>
              <w:left w:val="none" w:color="FFFFFF" w:sz="0"/>
              <w:bottom w:val="none" w:color="FFFFFF" w:sz="0"/>
              <w:right w:val="none" w:color="FFFFFF" w:sz="0"/>
            </w:tcBorders>
            <w:shd w:fill="D0ECE7" w:val="clear"/>
            <w:tcMar>
              <w:top w:type="dxa" w:w="100"/>
              <w:left w:type="dxa" w:w="200"/>
              <w:bottom w:type="dxa" w:w="100"/>
              <w:right w:type="dxa" w:w="160"/>
            </w:tcMar>
          </w:tcPr>
          <w:p>
            <w:pPr>
              <w:spacing w:before="30" w:after="30"/>
            </w:pPr>
            <w:r>
              <w:rPr>
                <w:rFonts w:ascii="Arial" w:cs="Arial" w:eastAsia="Arial" w:hAnsi="Arial"/>
                <w:b/>
                <w:bCs/>
                <w:color w:val="0E6655"/>
                <w:sz w:val="22"/>
                <w:szCs w:val="22"/>
              </w:rPr>
              <w:t xml:space="preserve">Step 7: Profile Review &amp; Approval</w:t>
            </w:r>
          </w:p>
          <w:p>
            <w:pPr>
              <w:spacing w:before="30" w:after="30"/>
            </w:pPr>
            <w:r>
              <w:rPr>
                <w:rFonts w:ascii="Arial" w:cs="Arial" w:eastAsia="Arial" w:hAnsi="Arial"/>
                <w:color w:val="1C2833"/>
                <w:sz w:val="20"/>
                <w:szCs w:val="20"/>
              </w:rPr>
              <w:t xml:space="preserve">Admin or automated review of complete profile against quality checklist. Approval or rejection with specific reasons and re-application guidance.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E6655" w:val="clear"/>
            <w:tcMar>
              <w:top w:type="dxa" w:w="100"/>
              <w:left w:type="dxa" w:w="120"/>
              <w:bottom w:type="dxa" w:w="100"/>
              <w:right w:type="dxa" w:w="120"/>
            </w:tcMar>
          </w:tcPr>
          <w:p>
            <w:pPr>
              <w:jc w:val="center"/>
            </w:pPr>
            <w:r>
              <w:rPr>
                <w:rFonts w:ascii="Arial" w:cs="Arial" w:eastAsia="Arial" w:hAnsi="Arial"/>
                <w:b/>
                <w:bCs/>
                <w:color w:val="FFFFFF"/>
                <w:sz w:val="30"/>
                <w:szCs w:val="30"/>
              </w:rPr>
              <w:t xml:space="preserve">08</w:t>
            </w:r>
          </w:p>
        </w:tc>
        <w:tc>
          <w:tcPr>
            <w:tcW w:type="dxa" w:w="8760"/>
            <w:tcBorders>
              <w:top w:val="none" w:color="FFFFFF" w:sz="0"/>
              <w:left w:val="none" w:color="FFFFFF" w:sz="0"/>
              <w:bottom w:val="none" w:color="FFFFFF" w:sz="0"/>
              <w:right w:val="none" w:color="FFFFFF" w:sz="0"/>
            </w:tcBorders>
            <w:shd w:fill="FFFFFF" w:val="clear"/>
            <w:tcMar>
              <w:top w:type="dxa" w:w="100"/>
              <w:left w:type="dxa" w:w="200"/>
              <w:bottom w:type="dxa" w:w="100"/>
              <w:right w:type="dxa" w:w="160"/>
            </w:tcMar>
          </w:tcPr>
          <w:p>
            <w:pPr>
              <w:spacing w:before="30" w:after="30"/>
            </w:pPr>
            <w:r>
              <w:rPr>
                <w:rFonts w:ascii="Arial" w:cs="Arial" w:eastAsia="Arial" w:hAnsi="Arial"/>
                <w:b/>
                <w:bCs/>
                <w:color w:val="0E6655"/>
                <w:sz w:val="22"/>
                <w:szCs w:val="22"/>
              </w:rPr>
              <w:t xml:space="preserve">Step 8: Verified Badge Issuance</w:t>
            </w:r>
          </w:p>
          <w:p>
            <w:pPr>
              <w:spacing w:before="30" w:after="30"/>
            </w:pPr>
            <w:r>
              <w:rPr>
                <w:rFonts w:ascii="Arial" w:cs="Arial" w:eastAsia="Arial" w:hAnsi="Arial"/>
                <w:color w:val="1C2833"/>
                <w:sz w:val="20"/>
                <w:szCs w:val="20"/>
              </w:rPr>
              <w:t xml:space="preserve">Verified Trainer Badge issued upon full approval. Badge tier (Verified / Professional / Expert / Master) assigned based on verification level.</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Workflow Automation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Onboarding Progress Tracker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Visual step-by-step progress bar showing completed, pending, and blocked steps</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Persistent state, resume from any step</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Document Reminder Engine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Automated reminders for incomplete or pending verification items</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24hr, 72hr, 7-day nudge sequence via WhatsApp/email</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Parallel Processing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Run KYC, experience check, and certification verification simultaneously</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Reduces total onboarding time by up to 60%</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Admin Override &amp; Fast-Track</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Admin can manually approve trusted trainers (partner institutes, known experts)</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Audit-logged override with mandatory justification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Onboarding Funnel Analytics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Track where trainers abandon the onboarding process by step</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Step-level drop-off analysis with root cause</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T.7</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Trainer Agreement &amp; Compliance Acceptance</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The Trainer Agreement &amp; Compliance Acceptance feature ensures every trainer explicitly agrees to EcoSkiller's platform policies, code of conduct, intellectual property terms, data privacy obligations, and regulatory compliance requirements before becoming active. Digital agreement acceptance is both a legal protection for the platform and an ethical commitment from the trainer. It must be comprehensive, legally sound, and user-friendly simultaneously.</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India's Information Technology Act 2000 (Section 5) recognizes electronic signatures as legally valid — EcoSkiller should use Aadhaar eSign or Class 2 Digital Signature Certificates.</w:t>
      </w:r>
    </w:p>
    <w:p>
      <w:pPr>
        <w:pStyle w:val="ListParagraph"/>
        <w:numPr>
          <w:ilvl w:val="0"/>
          <w:numId w:val="2"/>
        </w:numPr>
        <w:spacing w:before="60" w:after="60"/>
      </w:pPr>
      <w:r>
        <w:rPr>
          <w:rFonts w:ascii="Arial" w:cs="Arial" w:eastAsia="Arial" w:hAnsi="Arial"/>
          <w:color w:val="1C2833"/>
          <w:sz w:val="22"/>
          <w:szCs w:val="22"/>
        </w:rPr>
        <w:t xml:space="preserve">Agreements split into readable sections with plain-language summaries have 3x higher comprehension rates than dense legal documents (UX research, 2023).</w:t>
      </w:r>
    </w:p>
    <w:p>
      <w:pPr>
        <w:pStyle w:val="ListParagraph"/>
        <w:numPr>
          <w:ilvl w:val="0"/>
          <w:numId w:val="2"/>
        </w:numPr>
        <w:spacing w:before="60" w:after="60"/>
      </w:pPr>
      <w:r>
        <w:rPr>
          <w:rFonts w:ascii="Arial" w:cs="Arial" w:eastAsia="Arial" w:hAnsi="Arial"/>
          <w:color w:val="1C2833"/>
          <w:sz w:val="22"/>
          <w:szCs w:val="22"/>
        </w:rPr>
        <w:t xml:space="preserve">Versioned agreements with change notifications (email when terms update + re-acceptance required for material changes) protect the platform legally from 'I didn't know' defences.</w:t>
      </w:r>
    </w:p>
    <w:p>
      <w:pPr>
        <w:pStyle w:val="ListParagraph"/>
        <w:numPr>
          <w:ilvl w:val="0"/>
          <w:numId w:val="2"/>
        </w:numPr>
        <w:spacing w:before="60" w:after="60"/>
      </w:pPr>
      <w:r>
        <w:rPr>
          <w:rFonts w:ascii="Arial" w:cs="Arial" w:eastAsia="Arial" w:hAnsi="Arial"/>
          <w:color w:val="1C2833"/>
          <w:sz w:val="22"/>
          <w:szCs w:val="22"/>
        </w:rPr>
        <w:t xml:space="preserve">India's DPDP Act 2023 requires separate, granular consent for data processing — bundled 'accept all' checkboxes are not compliant and invite regulatory action.</w:t>
      </w:r>
    </w:p>
    <w:p>
      <w:pPr>
        <w:pStyle w:val="ListParagraph"/>
        <w:numPr>
          <w:ilvl w:val="0"/>
          <w:numId w:val="2"/>
        </w:numPr>
        <w:spacing w:before="60" w:after="60"/>
      </w:pPr>
      <w:r>
        <w:rPr>
          <w:rFonts w:ascii="Arial" w:cs="Arial" w:eastAsia="Arial" w:hAnsi="Arial"/>
          <w:color w:val="1C2833"/>
          <w:sz w:val="22"/>
          <w:szCs w:val="22"/>
        </w:rPr>
        <w:t xml:space="preserve">DocuSign research shows legally admissible e-signatures require: identity verification + explicit intent to sign + tamper-evident document + complete audit trail.</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Digital Trainer Agreement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Full trainer agreement: platform rules, IP ownership, code of conduct, payout terms</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Version-controlled, legally reviewed document</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Plain-Language Summaries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Each section has a 2-line plain-language summary with 'Read full section' expandable</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Comprehension check option for critical clauses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Aadhaar eSign Integration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Use UIDAI Aadhaar eSign API for legally valid electronic signature</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IT Act 2000 compliant, fully tamper-proof</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Granular Consent Management</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Separate consent checkboxes: data processing, marketing, research use, third-party sharing</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DPDP Act compliant, individually revocable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Agreement Audit Trail</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Store signed agreement with IP address, timestamp, device fingerprint, signer identity</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Forensic-grade audit log, tamper-evident hash</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Agreement Version Manager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Maintain all historical versions; log which version each trainer signed</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Diff view showing changes between versions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Re-Acceptance Workflow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Automated re-acceptance request when material agreement changes occur</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Grace period defined, account suspension on non-acceptance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DEBD0" w:val="clear"/>
            <w:tcMar>
              <w:top w:type="dxa" w:w="130"/>
              <w:left w:type="dxa" w:w="220"/>
              <w:bottom w:type="dxa" w:w="130"/>
              <w:right w:type="dxa" w:w="220"/>
            </w:tcMar>
          </w:tcPr>
          <w:p>
            <w:pPr>
              <w:spacing w:before="40" w:after="40"/>
            </w:pPr>
            <w:r>
              <w:rPr>
                <w:rFonts w:ascii="Arial" w:cs="Arial" w:eastAsia="Arial" w:hAnsi="Arial"/>
                <w:b/>
                <w:bCs/>
                <w:color w:val="BA4A00"/>
                <w:sz w:val="22"/>
                <w:szCs w:val="22"/>
              </w:rPr>
              <w:t xml:space="preserve">Key Insight — IP Ownership Clarity</w:t>
            </w:r>
          </w:p>
          <w:p>
            <w:pPr>
              <w:spacing w:before="40" w:after="40"/>
            </w:pPr>
            <w:r>
              <w:rPr>
                <w:rFonts w:ascii="Arial" w:cs="Arial" w:eastAsia="Arial" w:hAnsi="Arial"/>
                <w:color w:val="1C2833"/>
                <w:sz w:val="21"/>
                <w:szCs w:val="21"/>
              </w:rPr>
              <w:t xml:space="preserve">The most legally contested clause in trainer agreements on EdTech platforms is intellectual property ownership of training materials. EcoSkiller's agreement must clearly state: who owns content created on the platform, under what conditions EcoSkiller can distribute it, trainer's right to use their own materials elsewhere, and revenue share implications. Ambiguity here leads to expensive disputes, chargebacks, and trainer departures.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T.8</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Trainer Background Validation</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Trainer Background Validation goes beyond credential verification to check a trainer's legal and professional history — criminal records, court cases, regulatory blacklists, adverse media reports, and past employer disputes. For a platform training vulnerable populations (students, job seekers, early-career professionals), this is a duty-of-care obligation that protects learners and shields the platform from legal liability.</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Background verification providers in India (AuthBridge, First Advantage, HireRight) offer comprehensive checks covering criminal records, court cases, media searches, and address verification.</w:t>
      </w:r>
    </w:p>
    <w:p>
      <w:pPr>
        <w:pStyle w:val="ListParagraph"/>
        <w:numPr>
          <w:ilvl w:val="0"/>
          <w:numId w:val="2"/>
        </w:numPr>
        <w:spacing w:before="60" w:after="60"/>
      </w:pPr>
      <w:r>
        <w:rPr>
          <w:rFonts w:ascii="Arial" w:cs="Arial" w:eastAsia="Arial" w:hAnsi="Arial"/>
          <w:color w:val="1C2833"/>
          <w:sz w:val="22"/>
          <w:szCs w:val="22"/>
        </w:rPr>
        <w:t xml:space="preserve">India's National Crime Records Bureau (NCRB) database is accessible via authorized verification agencies for criminal background checks.</w:t>
      </w:r>
    </w:p>
    <w:p>
      <w:pPr>
        <w:pStyle w:val="ListParagraph"/>
        <w:numPr>
          <w:ilvl w:val="0"/>
          <w:numId w:val="2"/>
        </w:numPr>
        <w:spacing w:before="60" w:after="60"/>
      </w:pPr>
      <w:r>
        <w:rPr>
          <w:rFonts w:ascii="Arial" w:cs="Arial" w:eastAsia="Arial" w:hAnsi="Arial"/>
          <w:color w:val="1C2833"/>
          <w:sz w:val="22"/>
          <w:szCs w:val="22"/>
        </w:rPr>
        <w:t xml:space="preserve">SEBI, IRDAI, and RBI maintain regulatory blacklists of barred individuals — essential for trainers claiming expertise in finance, insurance, and banking.</w:t>
      </w:r>
    </w:p>
    <w:p>
      <w:pPr>
        <w:pStyle w:val="ListParagraph"/>
        <w:numPr>
          <w:ilvl w:val="0"/>
          <w:numId w:val="2"/>
        </w:numPr>
        <w:spacing w:before="60" w:after="60"/>
      </w:pPr>
      <w:r>
        <w:rPr>
          <w:rFonts w:ascii="Arial" w:cs="Arial" w:eastAsia="Arial" w:hAnsi="Arial"/>
          <w:color w:val="1C2833"/>
          <w:sz w:val="22"/>
          <w:szCs w:val="22"/>
        </w:rPr>
        <w:t xml:space="preserve">'Adverse media' searches (Google + news databases) flag trainers associated with fraud, harassment, or professional misconduct in public records.</w:t>
      </w:r>
    </w:p>
    <w:p>
      <w:pPr>
        <w:pStyle w:val="ListParagraph"/>
        <w:numPr>
          <w:ilvl w:val="0"/>
          <w:numId w:val="2"/>
        </w:numPr>
        <w:spacing w:before="60" w:after="60"/>
      </w:pPr>
      <w:r>
        <w:rPr>
          <w:rFonts w:ascii="Arial" w:cs="Arial" w:eastAsia="Arial" w:hAnsi="Arial"/>
          <w:color w:val="1C2833"/>
          <w:sz w:val="22"/>
          <w:szCs w:val="22"/>
        </w:rPr>
        <w:t xml:space="preserve">Background checks must be re-run periodically (at minimum annually or upon complaints) — not just at onboarding — to maintain ongoing platform trust.</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Criminal Record Check</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NCRB-authorized criminal background check via authorized partner verification agency</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Automated request, 24–48hr turnaround</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Court Case Search</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Check pending and concluded civil/criminal court cases via eCourts India database</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Name + PAN + address cross-match for accuracy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Regulatory Blacklist Check</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Check SEBI, IRDAI, RBI, MCA blacklists for domain-relevant trainers</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Domain-specific list selection, auto-triggered by tags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Adverse Media Screening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AI-powered news and web search for trainer name with misconduct-related keywords</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Sentiment-scored flag with source links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Platform Blacklist Check</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Internal check against EcoSkiller's own blacklist of previously removed trainers</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Cross-platform sharing with trusted partner networks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Ongoing Annual Monitoring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Annual re-check plus trigger-based re-check upon learner complaints</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Auto-suspend pending re-verification result</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Background Check Consent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Explicit, DPDP-compliant consent form before initiating any background check</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Detailed disclosure of exactly which checks are being run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0ECE7" w:val="clear"/>
            <w:tcMar>
              <w:top w:type="dxa" w:w="130"/>
              <w:left w:type="dxa" w:w="220"/>
              <w:bottom w:type="dxa" w:w="130"/>
              <w:right w:type="dxa" w:w="220"/>
            </w:tcMar>
          </w:tcPr>
          <w:p>
            <w:pPr>
              <w:spacing w:before="40" w:after="40"/>
            </w:pPr>
            <w:r>
              <w:rPr>
                <w:rFonts w:ascii="Arial" w:cs="Arial" w:eastAsia="Arial" w:hAnsi="Arial"/>
                <w:b/>
                <w:bCs/>
                <w:color w:val="0E6655"/>
                <w:sz w:val="22"/>
                <w:szCs w:val="22"/>
              </w:rPr>
              <w:t xml:space="preserve">Key Insight — Domain-Specific Risk Thresholds</w:t>
            </w:r>
          </w:p>
          <w:p>
            <w:pPr>
              <w:spacing w:before="40" w:after="40"/>
            </w:pPr>
            <w:r>
              <w:rPr>
                <w:rFonts w:ascii="Arial" w:cs="Arial" w:eastAsia="Arial" w:hAnsi="Arial"/>
                <w:color w:val="1C2833"/>
                <w:sz w:val="21"/>
                <w:szCs w:val="21"/>
              </w:rPr>
              <w:t xml:space="preserve">Not all background check flags should result in immediate rejection. EcoSkiller should implement domain-specific risk thresholds: a historical traffic violation has no bearing on a software trainer, but a financial fraud case is fully disqualifying for a finance domain trainer. Build a configurable risk scoring matrix where administrators can set domain-specific disqualification criteria rather than applying blanket rules across all trainer types.</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T.9</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Trainer Profile Approval System</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The Trainer Profile Approval System is the quality gate between onboarding completion and public profile activation. It combines automated rule-based checks with human review for edge cases to ensure every approved trainer on EcoSkiller meets a defined minimum quality standard. The system must be fast (to avoid trainer frustration), thorough (to maintain platform quality), and transparent (to build trainer trust through clear communication of requirements and outcomes).</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Uber's driver onboarding and Airbnb's host verification are the consumer marketplace gold standards — both use hybrid automated/human review with clear SLAs.</w:t>
      </w:r>
    </w:p>
    <w:p>
      <w:pPr>
        <w:pStyle w:val="ListParagraph"/>
        <w:numPr>
          <w:ilvl w:val="0"/>
          <w:numId w:val="2"/>
        </w:numPr>
        <w:spacing w:before="60" w:after="60"/>
      </w:pPr>
      <w:r>
        <w:rPr>
          <w:rFonts w:ascii="Arial" w:cs="Arial" w:eastAsia="Arial" w:hAnsi="Arial"/>
          <w:color w:val="1C2833"/>
          <w:sz w:val="22"/>
          <w:szCs w:val="22"/>
        </w:rPr>
        <w:t xml:space="preserve">SLA-based approval commitments (e.g., 'Your profile will be reviewed within 3 business days') dramatically reduce support tickets and trainer anxiety.</w:t>
      </w:r>
    </w:p>
    <w:p>
      <w:pPr>
        <w:pStyle w:val="ListParagraph"/>
        <w:numPr>
          <w:ilvl w:val="0"/>
          <w:numId w:val="2"/>
        </w:numPr>
        <w:spacing w:before="60" w:after="60"/>
      </w:pPr>
      <w:r>
        <w:rPr>
          <w:rFonts w:ascii="Arial" w:cs="Arial" w:eastAsia="Arial" w:hAnsi="Arial"/>
          <w:color w:val="1C2833"/>
          <w:sz w:val="22"/>
          <w:szCs w:val="22"/>
        </w:rPr>
        <w:t xml:space="preserve">Rejection notifications with specific reasons and a clear re-application path have 45% lower trainer churn rates than vague generic rejection emails.</w:t>
      </w:r>
    </w:p>
    <w:p>
      <w:pPr>
        <w:pStyle w:val="ListParagraph"/>
        <w:numPr>
          <w:ilvl w:val="0"/>
          <w:numId w:val="2"/>
        </w:numPr>
        <w:spacing w:before="60" w:after="60"/>
      </w:pPr>
      <w:r>
        <w:rPr>
          <w:rFonts w:ascii="Arial" w:cs="Arial" w:eastAsia="Arial" w:hAnsi="Arial"/>
          <w:color w:val="1C2833"/>
          <w:sz w:val="22"/>
          <w:szCs w:val="22"/>
        </w:rPr>
        <w:t xml:space="preserve">Tiered approval (Provisional &gt; Standard &gt; Expert) allows qualified trainers to start operating quickly while full verification completes — balancing speed and safety.</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Automated Pre-Screening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Rule-based pre-check of all mandatory fields, uploads, and KYC status before human review</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Pass/fail with specific identified gap report</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Admin Review Dashboard</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Reviewer interface with all pending profiles, checklist, one-click approve/reject</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Priority queue by profile completeness score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Tiered Approval Levels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Provisional (basic KYC done) &gt; Standard (experience verified) &gt; Expert (all checks passed)</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Different feature permissions per tier</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Rejection Reason Builder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Structured rejection selector plus free text for specific actionable feedback</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Re-application guidance auto-attached to rejection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Approval SLA Tracking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Track time-in-review per profile; escalate overdue reviews to senior admin</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SLA dashboard with breach alerts and reporting</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Appeal &amp; Dispute Process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Rejected trainers can submit appeal with additional supporting evidence</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Secondary reviewer assigned, 5-day response SLA</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Approval Notification Workflow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Automated email/SMS/WhatsApp notification at each status change</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Personalized message with specific next steps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EF9E7" w:val="clear"/>
            <w:tcMar>
              <w:top w:type="dxa" w:w="130"/>
              <w:left w:type="dxa" w:w="220"/>
              <w:bottom w:type="dxa" w:w="130"/>
              <w:right w:type="dxa" w:w="220"/>
            </w:tcMar>
          </w:tcPr>
          <w:p>
            <w:pPr>
              <w:spacing w:before="40" w:after="40"/>
            </w:pPr>
            <w:r>
              <w:rPr>
                <w:rFonts w:ascii="Arial" w:cs="Arial" w:eastAsia="Arial" w:hAnsi="Arial"/>
                <w:b/>
                <w:bCs/>
                <w:color w:val="9A7D0A"/>
                <w:sz w:val="22"/>
                <w:szCs w:val="22"/>
              </w:rPr>
              <w:t xml:space="preserve">Key Insight — Tiered Activation Strategy</w:t>
            </w:r>
          </w:p>
          <w:p>
            <w:pPr>
              <w:spacing w:before="40" w:after="40"/>
            </w:pPr>
            <w:r>
              <w:rPr>
                <w:rFonts w:ascii="Arial" w:cs="Arial" w:eastAsia="Arial" w:hAnsi="Arial"/>
                <w:color w:val="1C2833"/>
                <w:sz w:val="21"/>
                <w:szCs w:val="21"/>
              </w:rPr>
              <w:t xml:space="preserve">Requiring 100% verification completion before a trainer can create any content causes unnecessary friction and dropout. EcoSkiller should implement a tiered activation model: Provisional trainers (basic KYC done) can create draft content but not publish. Standard trainers (experience verified) can publish to their assigned institute or corporate clients. Expert trainers (full verification complete) can list on the open marketplace. This maintains quality control while retaining good trainers who are still mid-verification.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700"/>
      </w:tblGrid>
      <w:tr>
        <w:tc>
          <w:tcPr>
            <w:tcW w:type="dxa" w:w="660"/>
            <w:tcBorders>
              <w:top w:val="none" w:color="FFFFFF" w:sz="0"/>
              <w:left w:val="none" w:color="FFFFFF" w:sz="0"/>
              <w:bottom w:val="none" w:color="FFFFFF" w:sz="0"/>
              <w:right w:val="none" w:color="FFFFFF" w:sz="0"/>
            </w:tcBorders>
            <w:shd w:fill="0B2545" w:val="clear"/>
            <w:tcMar>
              <w:top w:type="dxa" w:w="130"/>
              <w:left w:type="dxa" w:w="160"/>
              <w:bottom w:type="dxa" w:w="130"/>
              <w:right w:type="dxa" w:w="160"/>
            </w:tcMar>
          </w:tcPr>
          <w:p>
            <w:pPr>
              <w:jc w:val="center"/>
            </w:pPr>
            <w:r>
              <w:rPr>
                <w:rFonts w:ascii="Arial" w:cs="Arial" w:eastAsia="Arial" w:hAnsi="Arial"/>
                <w:b/>
                <w:bCs/>
                <w:color w:val="FFFFFF"/>
                <w:sz w:val="30"/>
                <w:szCs w:val="30"/>
              </w:rPr>
              <w:t xml:space="preserve">T.10</w:t>
            </w:r>
          </w:p>
        </w:tc>
        <w:tc>
          <w:tcPr>
            <w:tcW w:type="dxa" w:w="8700"/>
            <w:tcBorders>
              <w:top w:val="none" w:color="FFFFFF" w:sz="0"/>
              <w:left w:val="none" w:color="FFFFFF" w:sz="0"/>
              <w:bottom w:val="none" w:color="FFFFFF" w:sz="0"/>
              <w:right w:val="none" w:color="FFFFFF" w:sz="0"/>
            </w:tcBorders>
            <w:shd w:fill="D6EAF8" w:val="clear"/>
            <w:tcMar>
              <w:top w:type="dxa" w:w="130"/>
              <w:left w:type="dxa" w:w="220"/>
              <w:bottom w:type="dxa" w:w="130"/>
              <w:right w:type="dxa" w:w="160"/>
            </w:tcMar>
          </w:tcPr>
          <w:p>
            <w:r>
              <w:rPr>
                <w:rFonts w:ascii="Arial" w:cs="Arial" w:eastAsia="Arial" w:hAnsi="Arial"/>
                <w:b/>
                <w:bCs/>
                <w:color w:val="0B2545"/>
                <w:sz w:val="30"/>
                <w:szCs w:val="30"/>
              </w:rPr>
              <w:t xml:space="preserve">Verified Trainer Badge System</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Overview</w:t>
      </w:r>
    </w:p>
    <w:p>
      <w:pPr>
        <w:spacing w:before="80" w:after="80"/>
      </w:pPr>
      <w:r>
        <w:rPr>
          <w:rFonts w:ascii="Arial" w:cs="Arial" w:eastAsia="Arial" w:hAnsi="Arial"/>
          <w:color w:val="1C2833"/>
          <w:sz w:val="22"/>
          <w:szCs w:val="22"/>
        </w:rPr>
        <w:t xml:space="preserve">The Verified Trainer Badge System is the trust signal layer that makes internal verification visible to learners, institutes, and corporates. A badge transforms internal verification data into a public-facing trust credential. Well-designed badge systems create aspiration (trainers want higher tiers), clear signaling (learners quickly identify quality), and meaningful accountability (badge loss is a real consequence). This is the consumer-facing output of all behind-the-scenes verification infrastructure.</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Market Research &amp; Best Practices</w:t>
      </w:r>
    </w:p>
    <w:p>
      <w:pPr>
        <w:pStyle w:val="ListParagraph"/>
        <w:numPr>
          <w:ilvl w:val="0"/>
          <w:numId w:val="2"/>
        </w:numPr>
        <w:spacing w:before="60" w:after="60"/>
      </w:pPr>
      <w:r>
        <w:rPr>
          <w:rFonts w:ascii="Arial" w:cs="Arial" w:eastAsia="Arial" w:hAnsi="Arial"/>
          <w:color w:val="1C2833"/>
          <w:sz w:val="22"/>
          <w:szCs w:val="22"/>
        </w:rPr>
        <w:t xml:space="preserve">LinkedIn's 'Top Voice' and 'Open to Work' badges demonstrate that visible trust signals on professional profiles drive 2.5x more engagement with those profiles.</w:t>
      </w:r>
    </w:p>
    <w:p>
      <w:pPr>
        <w:pStyle w:val="ListParagraph"/>
        <w:numPr>
          <w:ilvl w:val="0"/>
          <w:numId w:val="2"/>
        </w:numPr>
        <w:spacing w:before="60" w:after="60"/>
      </w:pPr>
      <w:r>
        <w:rPr>
          <w:rFonts w:ascii="Arial" w:cs="Arial" w:eastAsia="Arial" w:hAnsi="Arial"/>
          <w:color w:val="1C2833"/>
          <w:sz w:val="22"/>
          <w:szCs w:val="22"/>
        </w:rPr>
        <w:t xml:space="preserve">Digital badge standards (Open Badges 3.0, IMS Global) allow EcoSkiller badges to be displayed on LinkedIn, email signatures, and resumes — amplifying EcoSkiller brand reach.</w:t>
      </w:r>
    </w:p>
    <w:p>
      <w:pPr>
        <w:pStyle w:val="ListParagraph"/>
        <w:numPr>
          <w:ilvl w:val="0"/>
          <w:numId w:val="2"/>
        </w:numPr>
        <w:spacing w:before="60" w:after="60"/>
      </w:pPr>
      <w:r>
        <w:rPr>
          <w:rFonts w:ascii="Arial" w:cs="Arial" w:eastAsia="Arial" w:hAnsi="Arial"/>
          <w:color w:val="1C2833"/>
          <w:sz w:val="22"/>
          <w:szCs w:val="22"/>
        </w:rPr>
        <w:t xml:space="preserve">Tiered badge systems (Verified/Professional/Expert/Master) create aspiration that drives trainers to complete verification and maintain ongoing platform quality standards.</w:t>
      </w:r>
    </w:p>
    <w:p>
      <w:pPr>
        <w:pStyle w:val="ListParagraph"/>
        <w:numPr>
          <w:ilvl w:val="0"/>
          <w:numId w:val="2"/>
        </w:numPr>
        <w:spacing w:before="60" w:after="60"/>
      </w:pPr>
      <w:r>
        <w:rPr>
          <w:rFonts w:ascii="Arial" w:cs="Arial" w:eastAsia="Arial" w:hAnsi="Arial"/>
          <w:color w:val="1C2833"/>
          <w:sz w:val="22"/>
          <w:szCs w:val="22"/>
        </w:rPr>
        <w:t xml:space="preserve">Badge revocation mechanisms (triggered by learner complaints, failed re-verification, or code of conduct violations) make badges meaningful — they can be earned and lost.</w:t>
      </w:r>
    </w:p>
    <w:p>
      <w:pPr>
        <w:pStyle w:val="ListParagraph"/>
        <w:numPr>
          <w:ilvl w:val="0"/>
          <w:numId w:val="2"/>
        </w:numPr>
        <w:spacing w:before="60" w:after="60"/>
      </w:pPr>
      <w:r>
        <w:rPr>
          <w:rFonts w:ascii="Arial" w:cs="Arial" w:eastAsia="Arial" w:hAnsi="Arial"/>
          <w:color w:val="1C2833"/>
          <w:sz w:val="22"/>
          <w:szCs w:val="22"/>
        </w:rPr>
        <w:t xml:space="preserve">Employer-facing badge verification links (public URL with badge details and verification date) are highly valued by corporate L&amp;D procurement teams.</w:t>
      </w:r>
    </w:p>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Badge Tier Framework</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60"/>
        <w:gridCol w:w="2900"/>
      </w:tblGrid>
      <w:tr>
        <w:trPr>
          <w:tblHeader/>
        </w:trPr>
        <w:tc>
          <w:tcPr>
            <w:tcW w:type="dxa" w:w="1700"/>
            <w:tcBorders>
              <w:top w:val="single" w:color="D5D8DC" w:sz="1"/>
              <w:left w:val="single" w:color="D5D8DC" w:sz="1"/>
              <w:bottom w:val="single" w:color="D5D8DC" w:sz="1"/>
              <w:right w:val="single" w:color="D5D8DC" w:sz="1"/>
            </w:tcBorders>
            <w:shd w:fill="0B2545" w:val="clear"/>
            <w:tcMar>
              <w:top w:type="dxa" w:w="90"/>
              <w:left w:type="dxa" w:w="140"/>
              <w:bottom w:type="dxa" w:w="90"/>
              <w:right w:type="dxa" w:w="140"/>
            </w:tcMar>
          </w:tcPr>
          <w:p>
            <w:r>
              <w:rPr>
                <w:rFonts w:ascii="Arial" w:cs="Arial" w:eastAsia="Arial" w:hAnsi="Arial"/>
                <w:b/>
                <w:bCs/>
                <w:color w:val="FFFFFF"/>
                <w:sz w:val="20"/>
                <w:szCs w:val="20"/>
              </w:rPr>
              <w:t xml:space="preserve">Badge Tier</w:t>
            </w:r>
          </w:p>
        </w:tc>
        <w:tc>
          <w:tcPr>
            <w:tcW w:type="dxa" w:w="2300"/>
            <w:tcBorders>
              <w:top w:val="single" w:color="D5D8DC" w:sz="1"/>
              <w:left w:val="single" w:color="D5D8DC" w:sz="1"/>
              <w:bottom w:val="single" w:color="D5D8DC" w:sz="1"/>
              <w:right w:val="single" w:color="D5D8DC" w:sz="1"/>
            </w:tcBorders>
            <w:shd w:fill="0B2545" w:val="clear"/>
            <w:tcMar>
              <w:top w:type="dxa" w:w="90"/>
              <w:left w:type="dxa" w:w="140"/>
              <w:bottom w:type="dxa" w:w="90"/>
              <w:right w:type="dxa" w:w="140"/>
            </w:tcMar>
          </w:tcPr>
          <w:p>
            <w:r>
              <w:rPr>
                <w:rFonts w:ascii="Arial" w:cs="Arial" w:eastAsia="Arial" w:hAnsi="Arial"/>
                <w:b/>
                <w:bCs/>
                <w:color w:val="FFFFFF"/>
                <w:sz w:val="20"/>
                <w:szCs w:val="20"/>
              </w:rPr>
              <w:t xml:space="preserve">Requirements</w:t>
            </w:r>
          </w:p>
        </w:tc>
        <w:tc>
          <w:tcPr>
            <w:tcW w:type="dxa" w:w="2360"/>
            <w:tcBorders>
              <w:top w:val="single" w:color="D5D8DC" w:sz="1"/>
              <w:left w:val="single" w:color="D5D8DC" w:sz="1"/>
              <w:bottom w:val="single" w:color="D5D8DC" w:sz="1"/>
              <w:right w:val="single" w:color="D5D8DC" w:sz="1"/>
            </w:tcBorders>
            <w:shd w:fill="0B2545" w:val="clear"/>
            <w:tcMar>
              <w:top w:type="dxa" w:w="90"/>
              <w:left w:type="dxa" w:w="140"/>
              <w:bottom w:type="dxa" w:w="90"/>
              <w:right w:type="dxa" w:w="140"/>
            </w:tcMar>
          </w:tcPr>
          <w:p>
            <w:r>
              <w:rPr>
                <w:rFonts w:ascii="Arial" w:cs="Arial" w:eastAsia="Arial" w:hAnsi="Arial"/>
                <w:b/>
                <w:bCs/>
                <w:color w:val="FFFFFF"/>
                <w:sz w:val="20"/>
                <w:szCs w:val="20"/>
              </w:rPr>
              <w:t xml:space="preserve">Permissions</w:t>
            </w:r>
          </w:p>
        </w:tc>
        <w:tc>
          <w:tcPr>
            <w:tcW w:type="dxa" w:w="2900"/>
            <w:tcBorders>
              <w:top w:val="single" w:color="D5D8DC" w:sz="1"/>
              <w:left w:val="single" w:color="D5D8DC" w:sz="1"/>
              <w:bottom w:val="single" w:color="D5D8DC" w:sz="1"/>
              <w:right w:val="single" w:color="D5D8DC" w:sz="1"/>
            </w:tcBorders>
            <w:shd w:fill="0B2545" w:val="clear"/>
            <w:tcMar>
              <w:top w:type="dxa" w:w="90"/>
              <w:left w:type="dxa" w:w="140"/>
              <w:bottom w:type="dxa" w:w="90"/>
              <w:right w:type="dxa" w:w="140"/>
            </w:tcMar>
          </w:tcPr>
          <w:p>
            <w:r>
              <w:rPr>
                <w:rFonts w:ascii="Arial" w:cs="Arial" w:eastAsia="Arial" w:hAnsi="Arial"/>
                <w:b/>
                <w:bCs/>
                <w:color w:val="FFFFFF"/>
                <w:sz w:val="20"/>
                <w:szCs w:val="20"/>
              </w:rPr>
              <w:t xml:space="preserve">Visual Design</w:t>
            </w:r>
          </w:p>
        </w:tc>
      </w:tr>
      <w:tr>
        <w:tc>
          <w:tcPr>
            <w:tcW w:type="dxa" w:w="1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Verified</w:t>
            </w:r>
          </w:p>
        </w:tc>
        <w:tc>
          <w:tcPr>
            <w:tcW w:type="dxa" w:w="2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KYC complete + email/mobile verified</w:t>
            </w:r>
          </w:p>
        </w:tc>
        <w:tc>
          <w:tcPr>
            <w:tcW w:type="dxa" w:w="2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Create content, join institute programs</w:t>
            </w:r>
          </w:p>
        </w:tc>
        <w:tc>
          <w:tcPr>
            <w:tcW w:type="dxa" w:w="2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Blue checkmark badge</w:t>
            </w:r>
          </w:p>
        </w:tc>
      </w:tr>
      <w:tr>
        <w:tc>
          <w:tcPr>
            <w:tcW w:type="dxa" w:w="1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Professional</w:t>
            </w:r>
          </w:p>
        </w:tc>
        <w:tc>
          <w:tcPr>
            <w:tcW w:type="dxa" w:w="23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Verified + experience + 1 cert verified</w:t>
            </w:r>
          </w:p>
        </w:tc>
        <w:tc>
          <w:tcPr>
            <w:tcW w:type="dxa" w:w="2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Publish on marketplace, set own pricing</w:t>
            </w:r>
          </w:p>
        </w:tc>
        <w:tc>
          <w:tcPr>
            <w:tcW w:type="dxa" w:w="2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tcPr>
          <w:p>
            <w:r>
              <w:rPr>
                <w:rFonts w:ascii="Arial" w:cs="Arial" w:eastAsia="Arial" w:hAnsi="Arial"/>
                <w:color w:val="1C2833"/>
                <w:sz w:val="20"/>
                <w:szCs w:val="20"/>
              </w:rPr>
              <w:t xml:space="preserve">Gold star + blue checkmark</w:t>
            </w:r>
          </w:p>
        </w:tc>
      </w:tr>
      <w:tr>
        <w:tc>
          <w:tcPr>
            <w:tcW w:type="dxa" w:w="1700"/>
            <w:tcBorders>
              <w:top w:val="single" w:color="D5D8DC" w:sz="1"/>
              <w:left w:val="single" w:color="D5D8DC" w:sz="1"/>
              <w:bottom w:val="single" w:color="D5D8DC" w:sz="1"/>
              <w:right w:val="single" w:color="D5D8DC" w:sz="1"/>
            </w:tcBorders>
            <w:shd w:fill="D0ECE7" w:val="clear"/>
            <w:tcMar>
              <w:top w:type="dxa" w:w="80"/>
              <w:left w:type="dxa" w:w="140"/>
              <w:bottom w:type="dxa" w:w="80"/>
              <w:right w:type="dxa" w:w="140"/>
            </w:tcMar>
          </w:tcPr>
          <w:p>
            <w:r>
              <w:rPr>
                <w:rFonts w:ascii="Arial" w:cs="Arial" w:eastAsia="Arial" w:hAnsi="Arial"/>
                <w:color w:val="1C2833"/>
                <w:sz w:val="20"/>
                <w:szCs w:val="20"/>
              </w:rPr>
              <w:t xml:space="preserve">Expert</w:t>
            </w:r>
          </w:p>
        </w:tc>
        <w:tc>
          <w:tcPr>
            <w:tcW w:type="dxa" w:w="2300"/>
            <w:tcBorders>
              <w:top w:val="single" w:color="D5D8DC" w:sz="1"/>
              <w:left w:val="single" w:color="D5D8DC" w:sz="1"/>
              <w:bottom w:val="single" w:color="D5D8DC" w:sz="1"/>
              <w:right w:val="single" w:color="D5D8DC" w:sz="1"/>
            </w:tcBorders>
            <w:shd w:fill="D0ECE7" w:val="clear"/>
            <w:tcMar>
              <w:top w:type="dxa" w:w="80"/>
              <w:left w:type="dxa" w:w="140"/>
              <w:bottom w:type="dxa" w:w="80"/>
              <w:right w:type="dxa" w:w="140"/>
            </w:tcMar>
          </w:tcPr>
          <w:p>
            <w:r>
              <w:rPr>
                <w:rFonts w:ascii="Arial" w:cs="Arial" w:eastAsia="Arial" w:hAnsi="Arial"/>
                <w:color w:val="1C2833"/>
                <w:sz w:val="20"/>
                <w:szCs w:val="20"/>
              </w:rPr>
              <w:t xml:space="preserve">Professional + background check + 3+ verified certs + 4.5 star rating</w:t>
            </w:r>
          </w:p>
        </w:tc>
        <w:tc>
          <w:tcPr>
            <w:tcW w:type="dxa" w:w="2360"/>
            <w:tcBorders>
              <w:top w:val="single" w:color="D5D8DC" w:sz="1"/>
              <w:left w:val="single" w:color="D5D8DC" w:sz="1"/>
              <w:bottom w:val="single" w:color="D5D8DC" w:sz="1"/>
              <w:right w:val="single" w:color="D5D8DC" w:sz="1"/>
            </w:tcBorders>
            <w:shd w:fill="D0ECE7" w:val="clear"/>
            <w:tcMar>
              <w:top w:type="dxa" w:w="80"/>
              <w:left w:type="dxa" w:w="140"/>
              <w:bottom w:type="dxa" w:w="80"/>
              <w:right w:type="dxa" w:w="140"/>
            </w:tcMar>
          </w:tcPr>
          <w:p>
            <w:r>
              <w:rPr>
                <w:rFonts w:ascii="Arial" w:cs="Arial" w:eastAsia="Arial" w:hAnsi="Arial"/>
                <w:color w:val="1C2833"/>
                <w:sz w:val="20"/>
                <w:szCs w:val="20"/>
              </w:rPr>
              <w:t xml:space="preserve">Featured placement, premium programs, enterprise rosters</w:t>
            </w:r>
          </w:p>
        </w:tc>
        <w:tc>
          <w:tcPr>
            <w:tcW w:type="dxa" w:w="2900"/>
            <w:tcBorders>
              <w:top w:val="single" w:color="D5D8DC" w:sz="1"/>
              <w:left w:val="single" w:color="D5D8DC" w:sz="1"/>
              <w:bottom w:val="single" w:color="D5D8DC" w:sz="1"/>
              <w:right w:val="single" w:color="D5D8DC" w:sz="1"/>
            </w:tcBorders>
            <w:shd w:fill="D0ECE7" w:val="clear"/>
            <w:tcMar>
              <w:top w:type="dxa" w:w="80"/>
              <w:left w:type="dxa" w:w="140"/>
              <w:bottom w:type="dxa" w:w="80"/>
              <w:right w:type="dxa" w:w="140"/>
            </w:tcMar>
          </w:tcPr>
          <w:p>
            <w:r>
              <w:rPr>
                <w:rFonts w:ascii="Arial" w:cs="Arial" w:eastAsia="Arial" w:hAnsi="Arial"/>
                <w:color w:val="1C2833"/>
                <w:sz w:val="20"/>
                <w:szCs w:val="20"/>
              </w:rPr>
              <w:t xml:space="preserve">Gold trophy + blue checkmark + Expert label</w:t>
            </w:r>
          </w:p>
        </w:tc>
      </w:tr>
      <w:tr>
        <w:tc>
          <w:tcPr>
            <w:tcW w:type="dxa" w:w="17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color w:val="1C2833"/>
                <w:sz w:val="20"/>
                <w:szCs w:val="20"/>
              </w:rPr>
              <w:t xml:space="preserve">Master</w:t>
            </w:r>
          </w:p>
        </w:tc>
        <w:tc>
          <w:tcPr>
            <w:tcW w:type="dxa" w:w="23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color w:val="1C2833"/>
                <w:sz w:val="20"/>
                <w:szCs w:val="20"/>
              </w:rPr>
              <w:t xml:space="preserve">Expert + 1yr on platform + 50+ learners rated 4.8 stars + NAD degree verified</w:t>
            </w:r>
          </w:p>
        </w:tc>
        <w:tc>
          <w:tcPr>
            <w:tcW w:type="dxa" w:w="236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color w:val="1C2833"/>
                <w:sz w:val="20"/>
                <w:szCs w:val="20"/>
              </w:rPr>
              <w:t xml:space="preserve">Top marketplace placement, EcoSkiller marketing partnerships</w:t>
            </w:r>
          </w:p>
        </w:tc>
        <w:tc>
          <w:tcPr>
            <w:tcW w:type="dxa" w:w="29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color w:val="1C2833"/>
                <w:sz w:val="20"/>
                <w:szCs w:val="20"/>
              </w:rPr>
              <w:t xml:space="preserve">Crown + gold border profile card</w:t>
            </w:r>
          </w:p>
        </w:tc>
      </w:tr>
    </w:tbl>
    <w:p>
      <w:pPr>
        <w:spacing w:before="0" w:after="0"/>
      </w:pPr>
      <w:r>
        <w:rPr>
          <w:sz w:val="20"/>
          <w:szCs w:val="20"/>
        </w:rPr>
        <w:t xml:space="preserve"/>
      </w:r>
    </w:p>
    <w:p>
      <w:pPr>
        <w:pStyle w:val="Heading3"/>
        <w:spacing w:before="200" w:after="80"/>
      </w:pPr>
      <w:r>
        <w:rPr>
          <w:rFonts w:ascii="Arial" w:cs="Arial" w:eastAsia="Arial" w:hAnsi="Arial"/>
          <w:b/>
          <w:bCs/>
          <w:color w:val="0E6655"/>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300"/>
            <w:tcBorders>
              <w:top w:val="single" w:color="D5D8DC" w:sz="1"/>
              <w:left w:val="single" w:color="D5D8DC" w:sz="1"/>
              <w:bottom w:val="single" w:color="D5D8DC" w:sz="1"/>
              <w:right w:val="single" w:color="D5D8DC" w:sz="1"/>
            </w:tcBorders>
            <w:shd w:fill="0B2545"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Open Badge 3.0 Issuance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Issue EcoSkiller badges as Open Badge 3.0 standard digital credentials</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Portable to LinkedIn, email signature, resume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Public Badge Verification URL</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Each badge has unique public URL showing verification details, issuer, and date</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QR code generated for offline/print use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Badge Progress Tracker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Trainer dashboard showing current tier, requirements met, and gap to next tier</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Gamified progress visualization with checklist</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Badge Revocation System</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Automated and manual badge downgrade and revocation triggers</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Complaint threshold, failed re-KYC, CoC violation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Badge Share Tools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One-click share of badge to LinkedIn, Twitter, WhatsApp with pre-filled copy</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UTM-tagged links for EcoSkiller brand tracking</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6FA8"/>
                <w:sz w:val="20"/>
                <w:szCs w:val="20"/>
              </w:rPr>
              <w:t xml:space="preserve">Institute/Corporate Badge Filter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Clients can filter trainer search by minimum required badge tier</w:t>
            </w:r>
          </w:p>
        </w:tc>
        <w:tc>
          <w:tcPr>
            <w:tcW w:type="dxa" w:w="33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val="false"/>
                <w:bCs w:val="false"/>
                <w:color w:val="1C2833"/>
                <w:sz w:val="20"/>
                <w:szCs w:val="20"/>
              </w:rPr>
              <w:t xml:space="preserve">Procurement workflow and shortlist integration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6FA8"/>
                <w:sz w:val="20"/>
                <w:szCs w:val="20"/>
              </w:rPr>
              <w:t xml:space="preserve">Annual Badge Renewal</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Badge validity is 12 months; trainers re-confirm active status and KYC annually</w:t>
            </w:r>
          </w:p>
        </w:tc>
        <w:tc>
          <w:tcPr>
            <w:tcW w:type="dxa" w:w="33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Renewal reminder 30 days before expiry date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0ECE7" w:val="clear"/>
            <w:tcMar>
              <w:top w:type="dxa" w:w="130"/>
              <w:left w:type="dxa" w:w="220"/>
              <w:bottom w:type="dxa" w:w="130"/>
              <w:right w:type="dxa" w:w="220"/>
            </w:tcMar>
          </w:tcPr>
          <w:p>
            <w:pPr>
              <w:spacing w:before="40" w:after="40"/>
            </w:pPr>
            <w:r>
              <w:rPr>
                <w:rFonts w:ascii="Arial" w:cs="Arial" w:eastAsia="Arial" w:hAnsi="Arial"/>
                <w:b/>
                <w:bCs/>
                <w:color w:val="0E6655"/>
                <w:sz w:val="22"/>
                <w:szCs w:val="22"/>
              </w:rPr>
              <w:t xml:space="preserve">Key Insight — Badge as Brand Ambassador</w:t>
            </w:r>
          </w:p>
          <w:p>
            <w:pPr>
              <w:spacing w:before="40" w:after="40"/>
            </w:pPr>
            <w:r>
              <w:rPr>
                <w:rFonts w:ascii="Arial" w:cs="Arial" w:eastAsia="Arial" w:hAnsi="Arial"/>
                <w:color w:val="1C2833"/>
                <w:sz w:val="21"/>
                <w:szCs w:val="21"/>
              </w:rPr>
              <w:t xml:space="preserve">Every EcoSkiller Verified Trainer badge shared on LinkedIn, displayed on a resume, or shown in a corporate pitch deck is free brand marketing for EcoSkiller. Design the badge to be visually distinctive, recognizable, and portable. Consider a 'Verified by EcoSkiller' co-brand on all shared badges — creating earned, viral media as trainers proudly display their verified credentials across the web.</w:t>
            </w:r>
          </w:p>
        </w:tc>
      </w:tr>
    </w:tbl>
    <w:p>
      <w:pPr>
        <w:spacing w:before="0" w:after="0"/>
      </w:pPr>
      <w:r>
        <w:rPr>
          <w:sz w:val="20"/>
          <w:szCs w:val="20"/>
        </w:rPr>
        <w:t xml:space="preserve"/>
      </w:r>
    </w:p>
    <w:p>
      <w:r>
        <w:br w:type="page"/>
      </w:r>
    </w:p>
    <w:p>
      <w:pPr>
        <w:pStyle w:val="Heading1"/>
        <w:pBdr>
          <w:bottom w:val="single" w:color="0B2545" w:sz="5"/>
        </w:pBdr>
        <w:spacing w:before="380" w:after="120"/>
      </w:pPr>
      <w:r>
        <w:rPr>
          <w:rFonts w:ascii="Arial" w:cs="Arial" w:eastAsia="Arial" w:hAnsi="Arial"/>
          <w:b/>
          <w:bCs/>
          <w:color w:val="0B2545"/>
          <w:sz w:val="38"/>
          <w:szCs w:val="38"/>
        </w:rPr>
        <w:t xml:space="preserve">Consolidated Feature Summary</w:t>
      </w:r>
    </w:p>
    <w:p>
      <w:pPr>
        <w:spacing w:before="0" w:after="0"/>
      </w:pPr>
      <w:r>
        <w:rPr>
          <w:sz w:val="20"/>
          <w:szCs w:val="20"/>
        </w:rPr>
        <w:t xml:space="preserve"/>
      </w:r>
    </w:p>
    <w:p>
      <w:pPr>
        <w:spacing w:before="80" w:after="80"/>
      </w:pPr>
      <w:r>
        <w:rPr>
          <w:rFonts w:ascii="Arial" w:cs="Arial" w:eastAsia="Arial" w:hAnsi="Arial"/>
          <w:color w:val="1C2833"/>
          <w:sz w:val="22"/>
          <w:szCs w:val="22"/>
        </w:rPr>
        <w:t xml:space="preserve">The table below provides a consolidated reference of all 10 Trainer Onboarding &amp; Verification sub-features with their purpose, target actor, strategic priority, and primary trust function on the EcoSkiller platform.</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300"/>
        <w:gridCol w:w="2280"/>
        <w:gridCol w:w="1700"/>
        <w:gridCol w:w="2700"/>
      </w:tblGrid>
      <w:tr>
        <w:trPr>
          <w:tblHeader/>
        </w:trPr>
        <w:tc>
          <w:tcPr>
            <w:tcW w:type="dxa" w:w="380"/>
            <w:tcBorders>
              <w:top w:val="single" w:color="D5D8DC" w:sz="1"/>
              <w:left w:val="single" w:color="D5D8DC" w:sz="1"/>
              <w:bottom w:val="single" w:color="D5D8DC" w:sz="1"/>
              <w:right w:val="single" w:color="D5D8DC" w:sz="1"/>
            </w:tcBorders>
            <w:shd w:fill="0B2545" w:val="clear"/>
            <w:tcMar>
              <w:top w:type="dxa" w:w="80"/>
              <w:left w:type="dxa" w:w="110"/>
              <w:bottom w:type="dxa" w:w="80"/>
              <w:right w:type="dxa" w:w="110"/>
            </w:tcMar>
          </w:tcPr>
          <w:p>
            <w:r>
              <w:rPr>
                <w:rFonts w:ascii="Arial" w:cs="Arial" w:eastAsia="Arial" w:hAnsi="Arial"/>
                <w:b/>
                <w:bCs/>
                <w:color w:val="FFFFFF"/>
                <w:sz w:val="20"/>
                <w:szCs w:val="20"/>
              </w:rPr>
              <w:t xml:space="preserve">#</w:t>
            </w:r>
          </w:p>
        </w:tc>
        <w:tc>
          <w:tcPr>
            <w:tcW w:type="dxa" w:w="2300"/>
            <w:tcBorders>
              <w:top w:val="single" w:color="D5D8DC" w:sz="1"/>
              <w:left w:val="single" w:color="D5D8DC" w:sz="1"/>
              <w:bottom w:val="single" w:color="D5D8DC" w:sz="1"/>
              <w:right w:val="single" w:color="D5D8DC" w:sz="1"/>
            </w:tcBorders>
            <w:shd w:fill="0B2545" w:val="clear"/>
            <w:tcMar>
              <w:top w:type="dxa" w:w="80"/>
              <w:left w:type="dxa" w:w="110"/>
              <w:bottom w:type="dxa" w:w="80"/>
              <w:right w:type="dxa" w:w="110"/>
            </w:tcMar>
          </w:tcPr>
          <w:p>
            <w:r>
              <w:rPr>
                <w:rFonts w:ascii="Arial" w:cs="Arial" w:eastAsia="Arial" w:hAnsi="Arial"/>
                <w:b/>
                <w:bCs/>
                <w:color w:val="FFFFFF"/>
                <w:sz w:val="20"/>
                <w:szCs w:val="20"/>
              </w:rPr>
              <w:t xml:space="preserve">Feature</w:t>
            </w:r>
          </w:p>
        </w:tc>
        <w:tc>
          <w:tcPr>
            <w:tcW w:type="dxa" w:w="2280"/>
            <w:tcBorders>
              <w:top w:val="single" w:color="D5D8DC" w:sz="1"/>
              <w:left w:val="single" w:color="D5D8DC" w:sz="1"/>
              <w:bottom w:val="single" w:color="D5D8DC" w:sz="1"/>
              <w:right w:val="single" w:color="D5D8DC" w:sz="1"/>
            </w:tcBorders>
            <w:shd w:fill="0B2545" w:val="clear"/>
            <w:tcMar>
              <w:top w:type="dxa" w:w="80"/>
              <w:left w:type="dxa" w:w="110"/>
              <w:bottom w:type="dxa" w:w="80"/>
              <w:right w:type="dxa" w:w="110"/>
            </w:tcMar>
          </w:tcPr>
          <w:p>
            <w:r>
              <w:rPr>
                <w:rFonts w:ascii="Arial" w:cs="Arial" w:eastAsia="Arial" w:hAnsi="Arial"/>
                <w:b/>
                <w:bCs/>
                <w:color w:val="FFFFFF"/>
                <w:sz w:val="20"/>
                <w:szCs w:val="20"/>
              </w:rPr>
              <w:t xml:space="preserve">Purpose</w:t>
            </w:r>
          </w:p>
        </w:tc>
        <w:tc>
          <w:tcPr>
            <w:tcW w:type="dxa" w:w="1700"/>
            <w:tcBorders>
              <w:top w:val="single" w:color="D5D8DC" w:sz="1"/>
              <w:left w:val="single" w:color="D5D8DC" w:sz="1"/>
              <w:bottom w:val="single" w:color="D5D8DC" w:sz="1"/>
              <w:right w:val="single" w:color="D5D8DC" w:sz="1"/>
            </w:tcBorders>
            <w:shd w:fill="0B2545" w:val="clear"/>
            <w:tcMar>
              <w:top w:type="dxa" w:w="80"/>
              <w:left w:type="dxa" w:w="110"/>
              <w:bottom w:type="dxa" w:w="80"/>
              <w:right w:type="dxa" w:w="110"/>
            </w:tcMar>
          </w:tcPr>
          <w:p>
            <w:r>
              <w:rPr>
                <w:rFonts w:ascii="Arial" w:cs="Arial" w:eastAsia="Arial" w:hAnsi="Arial"/>
                <w:b/>
                <w:bCs/>
                <w:color w:val="FFFFFF"/>
                <w:sz w:val="20"/>
                <w:szCs w:val="20"/>
              </w:rPr>
              <w:t xml:space="preserve">Priority</w:t>
            </w:r>
          </w:p>
        </w:tc>
        <w:tc>
          <w:tcPr>
            <w:tcW w:type="dxa" w:w="2700"/>
            <w:tcBorders>
              <w:top w:val="single" w:color="D5D8DC" w:sz="1"/>
              <w:left w:val="single" w:color="D5D8DC" w:sz="1"/>
              <w:bottom w:val="single" w:color="D5D8DC" w:sz="1"/>
              <w:right w:val="single" w:color="D5D8DC" w:sz="1"/>
            </w:tcBorders>
            <w:shd w:fill="0B2545" w:val="clear"/>
            <w:tcMar>
              <w:top w:type="dxa" w:w="80"/>
              <w:left w:type="dxa" w:w="110"/>
              <w:bottom w:type="dxa" w:w="80"/>
              <w:right w:type="dxa" w:w="110"/>
            </w:tcMar>
          </w:tcPr>
          <w:p>
            <w:r>
              <w:rPr>
                <w:rFonts w:ascii="Arial" w:cs="Arial" w:eastAsia="Arial" w:hAnsi="Arial"/>
                <w:b/>
                <w:bCs/>
                <w:color w:val="FFFFFF"/>
                <w:sz w:val="20"/>
                <w:szCs w:val="20"/>
              </w:rPr>
              <w:t xml:space="preserve">Trust Function</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T.1</w:t>
            </w:r>
          </w:p>
        </w:tc>
        <w:tc>
          <w:tcPr>
            <w:tcW w:type="dxa" w:w="23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bCs/>
                <w:color w:val="1A6FA8"/>
                <w:sz w:val="19"/>
                <w:szCs w:val="19"/>
              </w:rPr>
              <w:t xml:space="preserve">Account Registration</w:t>
            </w:r>
          </w:p>
        </w:tc>
        <w:tc>
          <w:tcPr>
            <w:tcW w:type="dxa" w:w="22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Supply-side onboarding entry point</w:t>
            </w:r>
          </w:p>
        </w:tc>
        <w:tc>
          <w:tcPr>
            <w:tcW w:type="dxa" w:w="1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Critical</w:t>
            </w:r>
          </w:p>
        </w:tc>
        <w:tc>
          <w:tcPr>
            <w:tcW w:type="dxa" w:w="2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Identity collection &amp; account creation</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T.2</w:t>
            </w:r>
          </w:p>
        </w:tc>
        <w:tc>
          <w:tcPr>
            <w:tcW w:type="dxa" w:w="23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bCs/>
                <w:color w:val="1A6FA8"/>
                <w:sz w:val="19"/>
                <w:szCs w:val="19"/>
              </w:rPr>
              <w:t xml:space="preserve">KYC / Identity Verification</w:t>
            </w:r>
          </w:p>
        </w:tc>
        <w:tc>
          <w:tcPr>
            <w:tcW w:type="dxa" w:w="22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Confirm trainer is who they claim to be</w:t>
            </w:r>
          </w:p>
        </w:tc>
        <w:tc>
          <w:tcPr>
            <w:tcW w:type="dxa" w:w="1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Critical</w:t>
            </w:r>
          </w:p>
        </w:tc>
        <w:tc>
          <w:tcPr>
            <w:tcW w:type="dxa" w:w="2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Fraud prevention, legal compliance</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T.3</w:t>
            </w:r>
          </w:p>
        </w:tc>
        <w:tc>
          <w:tcPr>
            <w:tcW w:type="dxa" w:w="23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bCs/>
                <w:color w:val="1A6FA8"/>
                <w:sz w:val="19"/>
                <w:szCs w:val="19"/>
              </w:rPr>
              <w:t xml:space="preserve">Industry Experience Verification</w:t>
            </w:r>
          </w:p>
        </w:tc>
        <w:tc>
          <w:tcPr>
            <w:tcW w:type="dxa" w:w="22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Validate real-world work history claims</w:t>
            </w:r>
          </w:p>
        </w:tc>
        <w:tc>
          <w:tcPr>
            <w:tcW w:type="dxa" w:w="1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Critical</w:t>
            </w:r>
          </w:p>
        </w:tc>
        <w:tc>
          <w:tcPr>
            <w:tcW w:type="dxa" w:w="2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Expertise credibility assurance</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T.4</w:t>
            </w:r>
          </w:p>
        </w:tc>
        <w:tc>
          <w:tcPr>
            <w:tcW w:type="dxa" w:w="23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bCs/>
                <w:color w:val="1A6FA8"/>
                <w:sz w:val="19"/>
                <w:szCs w:val="19"/>
              </w:rPr>
              <w:t xml:space="preserve">Certification Verification</w:t>
            </w:r>
          </w:p>
        </w:tc>
        <w:tc>
          <w:tcPr>
            <w:tcW w:type="dxa" w:w="22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Confirm professional qualifications</w:t>
            </w:r>
          </w:p>
        </w:tc>
        <w:tc>
          <w:tcPr>
            <w:tcW w:type="dxa" w:w="1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Critical</w:t>
            </w:r>
          </w:p>
        </w:tc>
        <w:tc>
          <w:tcPr>
            <w:tcW w:type="dxa" w:w="2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Credential fraud prevention</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T.5</w:t>
            </w:r>
          </w:p>
        </w:tc>
        <w:tc>
          <w:tcPr>
            <w:tcW w:type="dxa" w:w="23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bCs/>
                <w:color w:val="1A6FA8"/>
                <w:sz w:val="19"/>
                <w:szCs w:val="19"/>
              </w:rPr>
              <w:t xml:space="preserve">Domain Expertise Tagging</w:t>
            </w:r>
          </w:p>
        </w:tc>
        <w:tc>
          <w:tcPr>
            <w:tcW w:type="dxa" w:w="22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Precise skill classification for matching</w:t>
            </w:r>
          </w:p>
        </w:tc>
        <w:tc>
          <w:tcPr>
            <w:tcW w:type="dxa" w:w="1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High</w:t>
            </w:r>
          </w:p>
        </w:tc>
        <w:tc>
          <w:tcPr>
            <w:tcW w:type="dxa" w:w="2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Discovery, matching, quality signaling</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T.6</w:t>
            </w:r>
          </w:p>
        </w:tc>
        <w:tc>
          <w:tcPr>
            <w:tcW w:type="dxa" w:w="23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bCs/>
                <w:color w:val="1A6FA8"/>
                <w:sz w:val="19"/>
                <w:szCs w:val="19"/>
              </w:rPr>
              <w:t xml:space="preserve">Onboarding Workflow</w:t>
            </w:r>
          </w:p>
        </w:tc>
        <w:tc>
          <w:tcPr>
            <w:tcW w:type="dxa" w:w="22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End-to-end guided verification journey</w:t>
            </w:r>
          </w:p>
        </w:tc>
        <w:tc>
          <w:tcPr>
            <w:tcW w:type="dxa" w:w="1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Critical</w:t>
            </w:r>
          </w:p>
        </w:tc>
        <w:tc>
          <w:tcPr>
            <w:tcW w:type="dxa" w:w="2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Process orchestration &amp; completion rate</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T.7</w:t>
            </w:r>
          </w:p>
        </w:tc>
        <w:tc>
          <w:tcPr>
            <w:tcW w:type="dxa" w:w="23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bCs/>
                <w:color w:val="1A6FA8"/>
                <w:sz w:val="19"/>
                <w:szCs w:val="19"/>
              </w:rPr>
              <w:t xml:space="preserve">Agreement &amp; Compliance</w:t>
            </w:r>
          </w:p>
        </w:tc>
        <w:tc>
          <w:tcPr>
            <w:tcW w:type="dxa" w:w="22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Legal agreement and policy acceptance</w:t>
            </w:r>
          </w:p>
        </w:tc>
        <w:tc>
          <w:tcPr>
            <w:tcW w:type="dxa" w:w="1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Critical</w:t>
            </w:r>
          </w:p>
        </w:tc>
        <w:tc>
          <w:tcPr>
            <w:tcW w:type="dxa" w:w="2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Platform legal protection, IP clarity</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T.8</w:t>
            </w:r>
          </w:p>
        </w:tc>
        <w:tc>
          <w:tcPr>
            <w:tcW w:type="dxa" w:w="23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bCs/>
                <w:color w:val="1A6FA8"/>
                <w:sz w:val="19"/>
                <w:szCs w:val="19"/>
              </w:rPr>
              <w:t xml:space="preserve">Background Validation</w:t>
            </w:r>
          </w:p>
        </w:tc>
        <w:tc>
          <w:tcPr>
            <w:tcW w:type="dxa" w:w="22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Legal and professional history check</w:t>
            </w:r>
          </w:p>
        </w:tc>
        <w:tc>
          <w:tcPr>
            <w:tcW w:type="dxa" w:w="1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Critical</w:t>
            </w:r>
          </w:p>
        </w:tc>
        <w:tc>
          <w:tcPr>
            <w:tcW w:type="dxa" w:w="2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Learner safety, duty of care</w:t>
            </w:r>
          </w:p>
        </w:tc>
      </w:tr>
      <w:tr>
        <w:tc>
          <w:tcPr>
            <w:tcW w:type="dxa" w:w="3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T.9</w:t>
            </w:r>
          </w:p>
        </w:tc>
        <w:tc>
          <w:tcPr>
            <w:tcW w:type="dxa" w:w="23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bCs/>
                <w:color w:val="1A6FA8"/>
                <w:sz w:val="19"/>
                <w:szCs w:val="19"/>
              </w:rPr>
              <w:t xml:space="preserve">Profile Approval System</w:t>
            </w:r>
          </w:p>
        </w:tc>
        <w:tc>
          <w:tcPr>
            <w:tcW w:type="dxa" w:w="228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Quality gate before public activation</w:t>
            </w:r>
          </w:p>
        </w:tc>
        <w:tc>
          <w:tcPr>
            <w:tcW w:type="dxa" w:w="1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Critical</w:t>
            </w:r>
          </w:p>
        </w:tc>
        <w:tc>
          <w:tcPr>
            <w:tcW w:type="dxa" w:w="2700"/>
            <w:tcBorders>
              <w:top w:val="single" w:color="D5D8DC" w:sz="1"/>
              <w:left w:val="single" w:color="D5D8DC" w:sz="1"/>
              <w:bottom w:val="single" w:color="D5D8DC" w:sz="1"/>
              <w:right w:val="single" w:color="D5D8DC" w:sz="1"/>
            </w:tcBorders>
            <w:shd w:fill="FFFFFF" w:val="clear"/>
            <w:tcMar>
              <w:top w:type="dxa" w:w="70"/>
              <w:left w:type="dxa" w:w="110"/>
              <w:bottom w:type="dxa" w:w="70"/>
              <w:right w:type="dxa" w:w="110"/>
            </w:tcMar>
          </w:tcPr>
          <w:p>
            <w:r>
              <w:rPr>
                <w:rFonts w:ascii="Arial" w:cs="Arial" w:eastAsia="Arial" w:hAnsi="Arial"/>
                <w:b w:val="false"/>
                <w:bCs w:val="false"/>
                <w:color w:val="1C2833"/>
                <w:sz w:val="19"/>
                <w:szCs w:val="19"/>
              </w:rPr>
              <w:t xml:space="preserve">Supply quality control</w:t>
            </w:r>
          </w:p>
        </w:tc>
      </w:tr>
      <w:tr>
        <w:tc>
          <w:tcPr>
            <w:tcW w:type="dxa" w:w="3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T.10</w:t>
            </w:r>
          </w:p>
        </w:tc>
        <w:tc>
          <w:tcPr>
            <w:tcW w:type="dxa" w:w="23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bCs/>
                <w:color w:val="1A6FA8"/>
                <w:sz w:val="19"/>
                <w:szCs w:val="19"/>
              </w:rPr>
              <w:t xml:space="preserve">Verified Badge System</w:t>
            </w:r>
          </w:p>
        </w:tc>
        <w:tc>
          <w:tcPr>
            <w:tcW w:type="dxa" w:w="228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Trust signaling to learners and clients</w:t>
            </w:r>
          </w:p>
        </w:tc>
        <w:tc>
          <w:tcPr>
            <w:tcW w:type="dxa" w:w="1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High</w:t>
            </w:r>
          </w:p>
        </w:tc>
        <w:tc>
          <w:tcPr>
            <w:tcW w:type="dxa" w:w="2700"/>
            <w:tcBorders>
              <w:top w:val="single" w:color="D5D8DC" w:sz="1"/>
              <w:left w:val="single" w:color="D5D8DC" w:sz="1"/>
              <w:bottom w:val="single" w:color="D5D8DC" w:sz="1"/>
              <w:right w:val="single" w:color="D5D8DC" w:sz="1"/>
            </w:tcBorders>
            <w:shd w:fill="F2F3F4" w:val="clear"/>
            <w:tcMar>
              <w:top w:type="dxa" w:w="70"/>
              <w:left w:type="dxa" w:w="110"/>
              <w:bottom w:type="dxa" w:w="70"/>
              <w:right w:type="dxa" w:w="110"/>
            </w:tcMar>
          </w:tcPr>
          <w:p>
            <w:r>
              <w:rPr>
                <w:rFonts w:ascii="Arial" w:cs="Arial" w:eastAsia="Arial" w:hAnsi="Arial"/>
                <w:b w:val="false"/>
                <w:bCs w:val="false"/>
                <w:color w:val="1C2833"/>
                <w:sz w:val="19"/>
                <w:szCs w:val="19"/>
              </w:rPr>
              <w:t xml:space="preserve">Marketplace trust, trainer aspiration</w:t>
            </w:r>
          </w:p>
        </w:tc>
      </w:tr>
    </w:tbl>
    <w:p>
      <w:pPr>
        <w:spacing w:before="0" w:after="0"/>
      </w:pPr>
      <w:r>
        <w:rPr>
          <w:sz w:val="20"/>
          <w:szCs w:val="20"/>
        </w:rPr>
        <w:t xml:space="preserve"/>
      </w:r>
    </w:p>
    <w:p>
      <w:pPr>
        <w:spacing w:before="0" w:after="0"/>
      </w:pPr>
      <w:r>
        <w:rPr>
          <w:sz w:val="20"/>
          <w:szCs w:val="20"/>
        </w:rPr>
        <w:t xml:space="preserve"/>
      </w:r>
    </w:p>
    <w:p>
      <w:pPr>
        <w:pStyle w:val="Heading1"/>
        <w:pBdr>
          <w:bottom w:val="single" w:color="0B2545" w:sz="5"/>
        </w:pBdr>
        <w:spacing w:before="380" w:after="120"/>
      </w:pPr>
      <w:r>
        <w:rPr>
          <w:rFonts w:ascii="Arial" w:cs="Arial" w:eastAsia="Arial" w:hAnsi="Arial"/>
          <w:b/>
          <w:bCs/>
          <w:color w:val="0B2545"/>
          <w:sz w:val="38"/>
          <w:szCs w:val="38"/>
        </w:rPr>
        <w:t xml:space="preserve">Implementation Roadmap</w:t>
      </w:r>
    </w:p>
    <w:p>
      <w:pPr>
        <w:spacing w:before="0" w:after="0"/>
      </w:pPr>
      <w:r>
        <w:rPr>
          <w:sz w:val="20"/>
          <w:szCs w:val="20"/>
        </w:rPr>
        <w:t xml:space="preserve"/>
      </w:r>
    </w:p>
    <w:p>
      <w:pPr>
        <w:pStyle w:val="Heading2"/>
        <w:spacing w:before="280" w:after="100"/>
      </w:pPr>
      <w:r>
        <w:rPr>
          <w:rFonts w:ascii="Arial" w:cs="Arial" w:eastAsia="Arial" w:hAnsi="Arial"/>
          <w:b/>
          <w:bCs/>
          <w:color w:val="1A6FA8"/>
          <w:sz w:val="28"/>
          <w:szCs w:val="28"/>
        </w:rPr>
        <w:t xml:space="preserve">Phase 1 — Trust Foundation (Month 1–3)</w:t>
      </w:r>
    </w:p>
    <w:p>
      <w:pPr>
        <w:pStyle w:val="ListParagraph"/>
        <w:numPr>
          <w:ilvl w:val="0"/>
          <w:numId w:val="2"/>
        </w:numPr>
        <w:spacing w:before="60" w:after="60"/>
      </w:pPr>
      <w:r>
        <w:rPr>
          <w:rFonts w:ascii="Arial" w:cs="Arial" w:eastAsia="Arial" w:hAnsi="Arial"/>
          <w:color w:val="1C2833"/>
          <w:sz w:val="22"/>
          <w:szCs w:val="22"/>
        </w:rPr>
        <w:t xml:space="preserve">T.1 Account Registration — Supply side must onboard before any other feature can operate</w:t>
      </w:r>
    </w:p>
    <w:p>
      <w:pPr>
        <w:pStyle w:val="ListParagraph"/>
        <w:numPr>
          <w:ilvl w:val="0"/>
          <w:numId w:val="2"/>
        </w:numPr>
        <w:spacing w:before="60" w:after="60"/>
      </w:pPr>
      <w:r>
        <w:rPr>
          <w:rFonts w:ascii="Arial" w:cs="Arial" w:eastAsia="Arial" w:hAnsi="Arial"/>
          <w:color w:val="1C2833"/>
          <w:sz w:val="22"/>
          <w:szCs w:val="22"/>
        </w:rPr>
        <w:t xml:space="preserve">T.2 KYC / Identity Verification — Core legal requirement; integrate Aadhaar eKYC and PAN from day one</w:t>
      </w:r>
    </w:p>
    <w:p>
      <w:pPr>
        <w:pStyle w:val="ListParagraph"/>
        <w:numPr>
          <w:ilvl w:val="0"/>
          <w:numId w:val="2"/>
        </w:numPr>
        <w:spacing w:before="60" w:after="60"/>
      </w:pPr>
      <w:r>
        <w:rPr>
          <w:rFonts w:ascii="Arial" w:cs="Arial" w:eastAsia="Arial" w:hAnsi="Arial"/>
          <w:color w:val="1C2833"/>
          <w:sz w:val="22"/>
          <w:szCs w:val="22"/>
        </w:rPr>
        <w:t xml:space="preserve">T.6 Onboarding Workflow — Process orchestration needed to coordinate all verification steps</w:t>
      </w:r>
    </w:p>
    <w:p>
      <w:pPr>
        <w:pStyle w:val="ListParagraph"/>
        <w:numPr>
          <w:ilvl w:val="0"/>
          <w:numId w:val="2"/>
        </w:numPr>
        <w:spacing w:before="60" w:after="60"/>
      </w:pPr>
      <w:r>
        <w:rPr>
          <w:rFonts w:ascii="Arial" w:cs="Arial" w:eastAsia="Arial" w:hAnsi="Arial"/>
          <w:color w:val="1C2833"/>
          <w:sz w:val="22"/>
          <w:szCs w:val="22"/>
        </w:rPr>
        <w:t xml:space="preserve">T.7 Agreement &amp; Compliance — Legal protection must be in place before first trainer goes live on platform</w:t>
      </w:r>
    </w:p>
    <w:p>
      <w:pPr>
        <w:spacing w:before="0" w:after="0"/>
      </w:pPr>
      <w:r>
        <w:rPr>
          <w:sz w:val="20"/>
          <w:szCs w:val="20"/>
        </w:rPr>
        <w:t xml:space="preserve"/>
      </w:r>
    </w:p>
    <w:p>
      <w:pPr>
        <w:pStyle w:val="Heading2"/>
        <w:spacing w:before="280" w:after="100"/>
      </w:pPr>
      <w:r>
        <w:rPr>
          <w:rFonts w:ascii="Arial" w:cs="Arial" w:eastAsia="Arial" w:hAnsi="Arial"/>
          <w:b/>
          <w:bCs/>
          <w:color w:val="1A6FA8"/>
          <w:sz w:val="28"/>
          <w:szCs w:val="28"/>
        </w:rPr>
        <w:t xml:space="preserve">Phase 2 — Credential Depth (Month 4–6)</w:t>
      </w:r>
    </w:p>
    <w:p>
      <w:pPr>
        <w:pStyle w:val="ListParagraph"/>
        <w:numPr>
          <w:ilvl w:val="0"/>
          <w:numId w:val="2"/>
        </w:numPr>
        <w:spacing w:before="60" w:after="60"/>
      </w:pPr>
      <w:r>
        <w:rPr>
          <w:rFonts w:ascii="Arial" w:cs="Arial" w:eastAsia="Arial" w:hAnsi="Arial"/>
          <w:color w:val="1C2833"/>
          <w:sz w:val="22"/>
          <w:szCs w:val="22"/>
        </w:rPr>
        <w:t xml:space="preserve">T.3 Industry Experience Verification — EPFO integration and employer reference verification system</w:t>
      </w:r>
    </w:p>
    <w:p>
      <w:pPr>
        <w:pStyle w:val="ListParagraph"/>
        <w:numPr>
          <w:ilvl w:val="0"/>
          <w:numId w:val="2"/>
        </w:numPr>
        <w:spacing w:before="60" w:after="60"/>
      </w:pPr>
      <w:r>
        <w:rPr>
          <w:rFonts w:ascii="Arial" w:cs="Arial" w:eastAsia="Arial" w:hAnsi="Arial"/>
          <w:color w:val="1C2833"/>
          <w:sz w:val="22"/>
          <w:szCs w:val="22"/>
        </w:rPr>
        <w:t xml:space="preserve">T.4 Certification Verification — Credly, NAD, DigiLocker, and direct certification body API integrations</w:t>
      </w:r>
    </w:p>
    <w:p>
      <w:pPr>
        <w:pStyle w:val="ListParagraph"/>
        <w:numPr>
          <w:ilvl w:val="0"/>
          <w:numId w:val="2"/>
        </w:numPr>
        <w:spacing w:before="60" w:after="60"/>
      </w:pPr>
      <w:r>
        <w:rPr>
          <w:rFonts w:ascii="Arial" w:cs="Arial" w:eastAsia="Arial" w:hAnsi="Arial"/>
          <w:color w:val="1C2833"/>
          <w:sz w:val="22"/>
          <w:szCs w:val="22"/>
        </w:rPr>
        <w:t xml:space="preserve">T.9 Profile Approval System — Admin dashboard, automated pre-screening rules, and SLA enforcement</w:t>
      </w:r>
    </w:p>
    <w:p>
      <w:pPr>
        <w:pStyle w:val="ListParagraph"/>
        <w:numPr>
          <w:ilvl w:val="0"/>
          <w:numId w:val="2"/>
        </w:numPr>
        <w:spacing w:before="60" w:after="60"/>
      </w:pPr>
      <w:r>
        <w:rPr>
          <w:rFonts w:ascii="Arial" w:cs="Arial" w:eastAsia="Arial" w:hAnsi="Arial"/>
          <w:color w:val="1C2833"/>
          <w:sz w:val="22"/>
          <w:szCs w:val="22"/>
        </w:rPr>
        <w:t xml:space="preserve">T.8 Background Validation — Partner with AuthBridge or SpringVerify for automated background checks</w:t>
      </w:r>
    </w:p>
    <w:p>
      <w:pPr>
        <w:spacing w:before="0" w:after="0"/>
      </w:pPr>
      <w:r>
        <w:rPr>
          <w:sz w:val="20"/>
          <w:szCs w:val="20"/>
        </w:rPr>
        <w:t xml:space="preserve"/>
      </w:r>
    </w:p>
    <w:p>
      <w:pPr>
        <w:pStyle w:val="Heading2"/>
        <w:spacing w:before="280" w:after="100"/>
      </w:pPr>
      <w:r>
        <w:rPr>
          <w:rFonts w:ascii="Arial" w:cs="Arial" w:eastAsia="Arial" w:hAnsi="Arial"/>
          <w:b/>
          <w:bCs/>
          <w:color w:val="1A6FA8"/>
          <w:sz w:val="28"/>
          <w:szCs w:val="28"/>
        </w:rPr>
        <w:t xml:space="preserve">Phase 3 — Discovery &amp; Trust Signals (Month 7–9)</w:t>
      </w:r>
    </w:p>
    <w:p>
      <w:pPr>
        <w:pStyle w:val="ListParagraph"/>
        <w:numPr>
          <w:ilvl w:val="0"/>
          <w:numId w:val="2"/>
        </w:numPr>
        <w:spacing w:before="60" w:after="60"/>
      </w:pPr>
      <w:r>
        <w:rPr>
          <w:rFonts w:ascii="Arial" w:cs="Arial" w:eastAsia="Arial" w:hAnsi="Arial"/>
          <w:color w:val="1C2833"/>
          <w:sz w:val="22"/>
          <w:szCs w:val="22"/>
        </w:rPr>
        <w:t xml:space="preserve">T.5 Domain Expertise Tagging — AI tag extraction engine and skill taxonomy alignment</w:t>
      </w:r>
    </w:p>
    <w:p>
      <w:pPr>
        <w:pStyle w:val="ListParagraph"/>
        <w:numPr>
          <w:ilvl w:val="0"/>
          <w:numId w:val="2"/>
        </w:numPr>
        <w:spacing w:before="60" w:after="60"/>
      </w:pPr>
      <w:r>
        <w:rPr>
          <w:rFonts w:ascii="Arial" w:cs="Arial" w:eastAsia="Arial" w:hAnsi="Arial"/>
          <w:color w:val="1C2833"/>
          <w:sz w:val="22"/>
          <w:szCs w:val="22"/>
        </w:rPr>
        <w:t xml:space="preserve">T.10 Verified Badge System — Open Badge 3.0 issuance, badge tier framework, and LinkedIn sharing tools</w:t>
      </w:r>
    </w:p>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30"/>
              <w:left w:type="dxa" w:w="220"/>
              <w:bottom w:type="dxa" w:w="130"/>
              <w:right w:type="dxa" w:w="220"/>
            </w:tcMar>
          </w:tcPr>
          <w:p>
            <w:pPr>
              <w:spacing w:before="40" w:after="40"/>
            </w:pPr>
            <w:r>
              <w:rPr>
                <w:rFonts w:ascii="Arial" w:cs="Arial" w:eastAsia="Arial" w:hAnsi="Arial"/>
                <w:b/>
                <w:bCs/>
                <w:color w:val="0B2545"/>
                <w:sz w:val="22"/>
                <w:szCs w:val="22"/>
              </w:rPr>
              <w:t xml:space="preserve">Strategic Note for EcoSkiller — Verification as Competitive Moat</w:t>
            </w:r>
          </w:p>
          <w:p>
            <w:pPr>
              <w:spacing w:before="40" w:after="40"/>
            </w:pPr>
            <w:r>
              <w:rPr>
                <w:rFonts w:ascii="Arial" w:cs="Arial" w:eastAsia="Arial" w:hAnsi="Arial"/>
                <w:color w:val="1C2833"/>
                <w:sz w:val="21"/>
                <w:szCs w:val="21"/>
              </w:rPr>
              <w:t xml:space="preserve">In the Indian EdTech market, virtually every platform relies on self-declaration for trainer credentials. EcoSkiller has a unique opportunity to position 'Every trainer is verified' as a core brand promise — not just a feature. This requires: (1) Aadhaar, EPFO, and NAD integration for government-grade verification that no competitor can easily replicate; (2) A visually beautiful Verified Badge that trainers are proud to share publicly; (3) Clear, learner-facing communication of exactly what 'verified' means on every trainer profile card; (4) Strict zero-tolerance enforcement — one unverified trainer who causes learner harm will undo the entire brand positioning. The investment in verification infrastructure will pay back through higher learner conversion rates, faster enterprise sales cycles, stronger institute adoption, and a supply side of trainers who see EcoSkiller verification as a career credential worth earning. Trust is EcoSkiller's moat.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2545" w:sz="4"/>
      </w:pBdr>
      <w:tabs>
        <w:tab w:val="right" w:pos="9026"/>
      </w:tabs>
    </w:pPr>
    <w:r>
      <w:rPr>
        <w:rFonts w:ascii="Arial" w:cs="Arial" w:eastAsia="Arial" w:hAnsi="Arial"/>
        <w:color w:val="888888"/>
        <w:sz w:val="18"/>
        <w:szCs w:val="18"/>
      </w:rPr>
      <w:t xml:space="preserve">Confidential  |  EcoSkiller Research  |  2025</w:t>
    </w:r>
    <w:r>
      <w:rPr>
        <w:rFonts w:ascii="Arial" w:cs="Arial" w:eastAsia="Arial" w:hAnsi="Arial"/>
        <w:color w:val="888888"/>
        <w:sz w:val="18"/>
        <w:szCs w:val="18"/>
      </w:rPr>
      <w:t xml:space="preserve">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4"/>
      </w:pBdr>
    </w:pPr>
    <w:r>
      <w:rPr>
        <w:rFonts w:ascii="Arial" w:cs="Arial" w:eastAsia="Arial" w:hAnsi="Arial"/>
        <w:color w:val="888888"/>
        <w:sz w:val="18"/>
        <w:szCs w:val="18"/>
      </w:rPr>
      <w:t xml:space="preserve">EcoSkiller Platform  |  Trainer Onboarding &amp; Verification</w:t>
    </w:r>
    <w:r>
      <w:rPr>
        <w:rFonts w:ascii="Arial" w:cs="Arial" w:eastAsia="Arial" w:hAnsi="Arial"/>
        <w:color w:val="0E6655"/>
        <w:sz w:val="18"/>
        <w:szCs w:val="18"/>
      </w:rPr>
      <w:t xml:space="preserve">  |  In-Depth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20"/>
      <w:outlineLvl w:val="0"/>
    </w:pPr>
    <w:rPr>
      <w:rFonts w:ascii="Arial" w:cs="Arial" w:eastAsia="Arial" w:hAnsi="Arial"/>
      <w:b/>
      <w:bCs/>
      <w:color w:val="0B2545"/>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1A6F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E66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2026-03-13T02:43:33.976Z</dcterms:created>
  <dcterms:modified xsi:type="dcterms:W3CDTF">2026-03-13T02:43:33.977Z</dcterms:modified>
</cp:coreProperties>
</file>

<file path=docProps/custom.xml><?xml version="1.0" encoding="utf-8"?>
<Properties xmlns="http://schemas.openxmlformats.org/officeDocument/2006/custom-properties" xmlns:vt="http://schemas.openxmlformats.org/officeDocument/2006/docPropsVTypes"/>
</file>