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after="160"/>
        <w:jc w:val="center"/>
      </w:pPr>
      <w:r>
        <w:rPr>
          <w:rFonts w:ascii="Arial" w:cs="Arial" w:eastAsia="Arial" w:hAnsi="Arial"/>
          <w:caps/>
          <w:color w:val="0A6640"/>
          <w:sz w:val="24"/>
          <w:szCs w:val="24"/>
        </w:rPr>
        <w:t xml:space="preserve">FEATURE DESCRIPTION DOCUMENT</w:t>
      </w:r>
    </w:p>
    <w:p>
      <w:pPr>
        <w:spacing w:before="0" w:after="160"/>
        <w:jc w:val="center"/>
      </w:pPr>
      <w:r>
        <w:rPr>
          <w:rFonts w:ascii="Arial" w:cs="Arial" w:eastAsia="Arial" w:hAnsi="Arial"/>
          <w:b/>
          <w:bCs/>
          <w:color w:val="B45309"/>
          <w:sz w:val="30"/>
          <w:szCs w:val="30"/>
        </w:rPr>
        <w:t xml:space="preserve">Feature 11</w:t>
      </w:r>
    </w:p>
    <w:p>
      <w:pPr>
        <w:spacing w:before="0" w:after="260"/>
        <w:jc w:val="center"/>
      </w:pPr>
      <w:r>
        <w:rPr>
          <w:rFonts w:ascii="Arial" w:cs="Arial" w:eastAsia="Arial" w:hAnsi="Arial"/>
          <w:b/>
          <w:bCs/>
          <w:color w:val="0A6640"/>
          <w:sz w:val="52"/>
          <w:szCs w:val="52"/>
        </w:rPr>
        <w:t xml:space="preserve">Trainer Revenue &amp; Monetization</w:t>
      </w:r>
    </w:p>
    <w:p>
      <w:pPr>
        <w:pBdr>
          <w:bottom w:val="single" w:color="A8D5B5" w:sz="6" w:space="1"/>
        </w:pBdr>
        <w:spacing w:before="140" w:after="140"/>
      </w:pPr>
      <w:r>
        <w:t xml:space="preserve"/>
      </w:r>
    </w:p>
    <w:p>
      <w:pPr>
        <w:spacing w:before="140" w:after="80"/>
        <w:jc w:val="center"/>
      </w:pPr>
      <w:r>
        <w:rPr>
          <w:rFonts w:ascii="Arial" w:cs="Arial" w:eastAsia="Arial" w:hAnsi="Arial"/>
          <w:i/>
          <w:iCs/>
          <w:color w:val="1A1A2E"/>
          <w:sz w:val="22"/>
          <w:szCs w:val="22"/>
        </w:rPr>
        <w:t xml:space="preserve">Trainer-Side Module  |  Campus Placement &amp; Institutional Skilling Platform</w:t>
      </w:r>
    </w:p>
    <w:p>
      <w:pPr>
        <w:spacing w:before="80" w:after="80"/>
        <w:jc w:val="center"/>
      </w:pPr>
      <w:r>
        <w:rPr>
          <w:rFonts w:ascii="Arial" w:cs="Arial" w:eastAsia="Arial" w:hAnsi="Arial"/>
          <w:color w:val="1A1A2E"/>
          <w:sz w:val="22"/>
          <w:szCs w:val="22"/>
        </w:rPr>
        <w:t xml:space="preserve">9 Sub-Features  •  Full Trainer Earnings Ecosystem &amp; Revenue Intelligence</w:t>
      </w:r>
    </w:p>
    <w:p>
      <w:pPr>
        <w:spacing w:before="80" w:after="80"/>
      </w:pPr>
      <w:r>
        <w:t xml:space="preserve"/>
      </w:r>
    </w:p>
    <w:p>
      <w:pPr>
        <w:spacing w:before="80" w:after="80"/>
      </w:pPr>
      <w:r>
        <w:t xml:space="preserve"/>
      </w:r>
    </w:p>
    <w:p>
      <w:pPr>
        <w:spacing w:before="80" w:after="80"/>
        <w:jc w:val="center"/>
      </w:pPr>
      <w:r>
        <w:rPr>
          <w:rFonts w:ascii="Arial" w:cs="Arial" w:eastAsia="Arial" w:hAnsi="Arial"/>
          <w:color w:val="1A1A2E"/>
          <w:sz w:val="20"/>
          <w:szCs w:val="20"/>
        </w:rPr>
        <w:t xml:space="preserve">Prepared for:  Trainers  |  Institute Management  |  Platform Administrators  |  Finance Teams</w:t>
      </w:r>
    </w:p>
    <w:p>
      <w:pPr>
        <w:spacing w:before="60" w:after="60"/>
        <w:jc w:val="center"/>
      </w:pPr>
      <w:r>
        <w:rPr>
          <w:rFonts w:ascii="Arial" w:cs="Arial" w:eastAsia="Arial" w:hAnsi="Arial"/>
          <w:color w:val="0A6640"/>
          <w:sz w:val="20"/>
          <w:szCs w:val="20"/>
        </w:rPr>
        <w:t xml:space="preserve">Version 1.0  |  2025–2026</w:t>
      </w:r>
    </w:p>
    <w:p>
      <w:r>
        <w:br w:type="page"/>
      </w:r>
    </w:p>
    <w:p>
      <w:pPr>
        <w:pStyle w:val="Heading1"/>
        <w:spacing w:before="400" w:after="180"/>
      </w:pPr>
      <w:r>
        <w:rPr>
          <w:rFonts w:ascii="Arial" w:cs="Arial" w:eastAsia="Arial" w:hAnsi="Arial"/>
          <w:b/>
          <w:bCs/>
          <w:color w:val="0A6640"/>
          <w:sz w:val="38"/>
          <w:szCs w:val="38"/>
        </w:rPr>
        <w:t xml:space="preserve">Executive Summary</w:t>
      </w:r>
    </w:p>
    <w:p>
      <w:pPr>
        <w:spacing w:before="80" w:after="80"/>
      </w:pPr>
      <w:r>
        <w:rPr>
          <w:rFonts w:ascii="Arial" w:cs="Arial" w:eastAsia="Arial" w:hAnsi="Arial"/>
          <w:color w:val="1A1A2E"/>
          <w:sz w:val="22"/>
          <w:szCs w:val="22"/>
        </w:rPr>
        <w:t xml:space="preserve">Feature 11 — Trainer Revenue &amp; Monetization — is the complete financial engine for trainers operating within the campus placement and skilling platform. It transforms the platform from a pure content-delivery tool into a comprehensive income-generation ecosystem for trainers — enabling them to monetize their expertise across nine distinct revenue streams with full transparency, automated payouts, and real-time earnings analytics.</w:t>
      </w:r>
    </w:p>
    <w:p>
      <w:pPr>
        <w:spacing w:before="80" w:after="80"/>
      </w:pPr>
      <w:r>
        <w:t xml:space="preserve"/>
      </w:r>
    </w:p>
    <w:p>
      <w:pPr>
        <w:spacing w:before="80" w:after="80"/>
      </w:pPr>
      <w:r>
        <w:rPr>
          <w:rFonts w:ascii="Arial" w:cs="Arial" w:eastAsia="Arial" w:hAnsi="Arial"/>
          <w:color w:val="1A1A2E"/>
          <w:sz w:val="22"/>
          <w:szCs w:val="22"/>
        </w:rPr>
        <w:t xml:space="preserve">The trainer economy in India's higher education and placement skilling sector is large, fragmented, and largely unmonetized at the platform level. Expert trainers — whether domain specialists, aptitude coaches, soft-skills trainers, or industry mentors — currently juggle multiple informal payment channels, struggle with collections, and have no unified view of their earnings across engagements. This feature solves that comprehensively.</w:t>
      </w:r>
    </w:p>
    <w:p>
      <w:pPr>
        <w:spacing w:before="80" w:after="80"/>
      </w:pPr>
      <w:r>
        <w:t xml:space="preserve"/>
      </w:r>
    </w:p>
    <w:p>
      <w:pPr>
        <w:spacing w:before="80" w:after="80"/>
      </w:pPr>
      <w:r>
        <w:rPr>
          <w:rFonts w:ascii="Arial" w:cs="Arial" w:eastAsia="Arial" w:hAnsi="Arial"/>
          <w:color w:val="1A1A2E"/>
          <w:sz w:val="22"/>
          <w:szCs w:val="22"/>
        </w:rPr>
        <w:t xml:space="preserve">Each of the 9 sub-features is designed around a specific revenue channel: structured training programs, one-off workshops, mentorship relationships, industrial visit facilitation, course product sales, certification revenue sharing, corporate training contracts, subscription program income, and a unified analytics dashboard. Together, they create a professional, trustworthy, and scalable monetization infrastructure that benefits trainers, institutes, and the platform alike.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160"/>
        <w:gridCol w:w="2900"/>
      </w:tblGrid>
      <w:tr>
        <w:tc>
          <w:tcPr>
            <w:tcW w:type="dxa" w:w="1300"/>
            <w:tcBorders>
              <w:top w:val="single" w:color="B0CFBE" w:sz="1"/>
              <w:left w:val="single" w:color="B0CFBE" w:sz="1"/>
              <w:bottom w:val="single" w:color="B0CFBE" w:sz="1"/>
              <w:right w:val="single" w:color="B0CFBE" w:sz="1"/>
            </w:tcBorders>
            <w:shd w:fill="0A66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SF #</w:t>
            </w:r>
          </w:p>
        </w:tc>
        <w:tc>
          <w:tcPr>
            <w:tcW w:type="dxa" w:w="5160"/>
            <w:tcBorders>
              <w:top w:val="single" w:color="B0CFBE" w:sz="1"/>
              <w:left w:val="single" w:color="B0CFBE" w:sz="1"/>
              <w:bottom w:val="single" w:color="B0CFBE" w:sz="1"/>
              <w:right w:val="single" w:color="B0CFBE" w:sz="1"/>
            </w:tcBorders>
            <w:shd w:fill="0A66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Sub-Feature Name</w:t>
            </w:r>
          </w:p>
        </w:tc>
        <w:tc>
          <w:tcPr>
            <w:tcW w:type="dxa" w:w="2900"/>
            <w:tcBorders>
              <w:top w:val="single" w:color="B0CFBE" w:sz="1"/>
              <w:left w:val="single" w:color="B0CFBE" w:sz="1"/>
              <w:bottom w:val="single" w:color="B0CFBE" w:sz="1"/>
              <w:right w:val="single" w:color="B0CFBE" w:sz="1"/>
            </w:tcBorders>
            <w:shd w:fill="0A66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Primary Beneficiary</w:t>
            </w:r>
          </w:p>
        </w:tc>
      </w:tr>
      <w:tr>
        <w:tc>
          <w:tcPr>
            <w:tcW w:type="dxa" w:w="130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center"/>
            </w:pPr>
            <w:r>
              <w:rPr>
                <w:rFonts w:ascii="Arial" w:cs="Arial" w:eastAsia="Arial" w:hAnsi="Arial"/>
                <w:color w:val="1A1A2E"/>
                <w:sz w:val="20"/>
                <w:szCs w:val="20"/>
              </w:rPr>
              <w:t xml:space="preserve">11.1</w:t>
            </w:r>
          </w:p>
        </w:tc>
        <w:tc>
          <w:tcPr>
            <w:tcW w:type="dxa" w:w="516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left"/>
            </w:pPr>
            <w:r>
              <w:rPr>
                <w:rFonts w:ascii="Arial" w:cs="Arial" w:eastAsia="Arial" w:hAnsi="Arial"/>
                <w:color w:val="1A1A2E"/>
                <w:sz w:val="20"/>
                <w:szCs w:val="20"/>
              </w:rPr>
              <w:t xml:space="preserve">Paid Training Programs</w:t>
            </w:r>
          </w:p>
        </w:tc>
        <w:tc>
          <w:tcPr>
            <w:tcW w:type="dxa" w:w="290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left"/>
            </w:pPr>
            <w:r>
              <w:rPr>
                <w:rFonts w:ascii="Arial" w:cs="Arial" w:eastAsia="Arial" w:hAnsi="Arial"/>
                <w:color w:val="1A1A2E"/>
                <w:sz w:val="20"/>
                <w:szCs w:val="20"/>
              </w:rPr>
              <w:t xml:space="preserve">Trainers / Students / Institutes</w:t>
            </w:r>
          </w:p>
        </w:tc>
      </w:tr>
      <w:tr>
        <w:tc>
          <w:tcPr>
            <w:tcW w:type="dxa" w:w="130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center"/>
            </w:pPr>
            <w:r>
              <w:rPr>
                <w:rFonts w:ascii="Arial" w:cs="Arial" w:eastAsia="Arial" w:hAnsi="Arial"/>
                <w:color w:val="1A1A2E"/>
                <w:sz w:val="20"/>
                <w:szCs w:val="20"/>
              </w:rPr>
              <w:t xml:space="preserve">11.2</w:t>
            </w:r>
          </w:p>
        </w:tc>
        <w:tc>
          <w:tcPr>
            <w:tcW w:type="dxa" w:w="516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Workshop Fees</w:t>
            </w:r>
          </w:p>
        </w:tc>
        <w:tc>
          <w:tcPr>
            <w:tcW w:type="dxa" w:w="290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Trainers / Platform</w:t>
            </w:r>
          </w:p>
        </w:tc>
      </w:tr>
      <w:tr>
        <w:tc>
          <w:tcPr>
            <w:tcW w:type="dxa" w:w="130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center"/>
            </w:pPr>
            <w:r>
              <w:rPr>
                <w:rFonts w:ascii="Arial" w:cs="Arial" w:eastAsia="Arial" w:hAnsi="Arial"/>
                <w:color w:val="1A1A2E"/>
                <w:sz w:val="20"/>
                <w:szCs w:val="20"/>
              </w:rPr>
              <w:t xml:space="preserve">11.3</w:t>
            </w:r>
          </w:p>
        </w:tc>
        <w:tc>
          <w:tcPr>
            <w:tcW w:type="dxa" w:w="516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left"/>
            </w:pPr>
            <w:r>
              <w:rPr>
                <w:rFonts w:ascii="Arial" w:cs="Arial" w:eastAsia="Arial" w:hAnsi="Arial"/>
                <w:color w:val="1A1A2E"/>
                <w:sz w:val="20"/>
                <w:szCs w:val="20"/>
              </w:rPr>
              <w:t xml:space="preserve">Mentorship Fees</w:t>
            </w:r>
          </w:p>
        </w:tc>
        <w:tc>
          <w:tcPr>
            <w:tcW w:type="dxa" w:w="290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left"/>
            </w:pPr>
            <w:r>
              <w:rPr>
                <w:rFonts w:ascii="Arial" w:cs="Arial" w:eastAsia="Arial" w:hAnsi="Arial"/>
                <w:color w:val="1A1A2E"/>
                <w:sz w:val="20"/>
                <w:szCs w:val="20"/>
              </w:rPr>
              <w:t xml:space="preserve">Trainers / Students</w:t>
            </w:r>
          </w:p>
        </w:tc>
      </w:tr>
      <w:tr>
        <w:tc>
          <w:tcPr>
            <w:tcW w:type="dxa" w:w="130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center"/>
            </w:pPr>
            <w:r>
              <w:rPr>
                <w:rFonts w:ascii="Arial" w:cs="Arial" w:eastAsia="Arial" w:hAnsi="Arial"/>
                <w:color w:val="1A1A2E"/>
                <w:sz w:val="20"/>
                <w:szCs w:val="20"/>
              </w:rPr>
              <w:t xml:space="preserve">11.4</w:t>
            </w:r>
          </w:p>
        </w:tc>
        <w:tc>
          <w:tcPr>
            <w:tcW w:type="dxa" w:w="516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Industrial Visit Facilitation Fees</w:t>
            </w:r>
          </w:p>
        </w:tc>
        <w:tc>
          <w:tcPr>
            <w:tcW w:type="dxa" w:w="290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Trainers / Institutes</w:t>
            </w:r>
          </w:p>
        </w:tc>
      </w:tr>
      <w:tr>
        <w:tc>
          <w:tcPr>
            <w:tcW w:type="dxa" w:w="130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center"/>
            </w:pPr>
            <w:r>
              <w:rPr>
                <w:rFonts w:ascii="Arial" w:cs="Arial" w:eastAsia="Arial" w:hAnsi="Arial"/>
                <w:color w:val="1A1A2E"/>
                <w:sz w:val="20"/>
                <w:szCs w:val="20"/>
              </w:rPr>
              <w:t xml:space="preserve">11.5</w:t>
            </w:r>
          </w:p>
        </w:tc>
        <w:tc>
          <w:tcPr>
            <w:tcW w:type="dxa" w:w="516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left"/>
            </w:pPr>
            <w:r>
              <w:rPr>
                <w:rFonts w:ascii="Arial" w:cs="Arial" w:eastAsia="Arial" w:hAnsi="Arial"/>
                <w:color w:val="1A1A2E"/>
                <w:sz w:val="20"/>
                <w:szCs w:val="20"/>
              </w:rPr>
              <w:t xml:space="preserve">Course Sales Revenue</w:t>
            </w:r>
          </w:p>
        </w:tc>
        <w:tc>
          <w:tcPr>
            <w:tcW w:type="dxa" w:w="290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left"/>
            </w:pPr>
            <w:r>
              <w:rPr>
                <w:rFonts w:ascii="Arial" w:cs="Arial" w:eastAsia="Arial" w:hAnsi="Arial"/>
                <w:color w:val="1A1A2E"/>
                <w:sz w:val="20"/>
                <w:szCs w:val="20"/>
              </w:rPr>
              <w:t xml:space="preserve">Trainers / Platform</w:t>
            </w:r>
          </w:p>
        </w:tc>
      </w:tr>
      <w:tr>
        <w:tc>
          <w:tcPr>
            <w:tcW w:type="dxa" w:w="130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center"/>
            </w:pPr>
            <w:r>
              <w:rPr>
                <w:rFonts w:ascii="Arial" w:cs="Arial" w:eastAsia="Arial" w:hAnsi="Arial"/>
                <w:color w:val="1A1A2E"/>
                <w:sz w:val="20"/>
                <w:szCs w:val="20"/>
              </w:rPr>
              <w:t xml:space="preserve">11.6</w:t>
            </w:r>
          </w:p>
        </w:tc>
        <w:tc>
          <w:tcPr>
            <w:tcW w:type="dxa" w:w="516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Certification Revenue Share</w:t>
            </w:r>
          </w:p>
        </w:tc>
        <w:tc>
          <w:tcPr>
            <w:tcW w:type="dxa" w:w="290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Trainers / Cert. Bodies / Platform</w:t>
            </w:r>
          </w:p>
        </w:tc>
      </w:tr>
      <w:tr>
        <w:tc>
          <w:tcPr>
            <w:tcW w:type="dxa" w:w="130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center"/>
            </w:pPr>
            <w:r>
              <w:rPr>
                <w:rFonts w:ascii="Arial" w:cs="Arial" w:eastAsia="Arial" w:hAnsi="Arial"/>
                <w:color w:val="1A1A2E"/>
                <w:sz w:val="20"/>
                <w:szCs w:val="20"/>
              </w:rPr>
              <w:t xml:space="preserve">11.7</w:t>
            </w:r>
          </w:p>
        </w:tc>
        <w:tc>
          <w:tcPr>
            <w:tcW w:type="dxa" w:w="516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left"/>
            </w:pPr>
            <w:r>
              <w:rPr>
                <w:rFonts w:ascii="Arial" w:cs="Arial" w:eastAsia="Arial" w:hAnsi="Arial"/>
                <w:color w:val="1A1A2E"/>
                <w:sz w:val="20"/>
                <w:szCs w:val="20"/>
              </w:rPr>
              <w:t xml:space="preserve">Corporate Training Contracts</w:t>
            </w:r>
          </w:p>
        </w:tc>
        <w:tc>
          <w:tcPr>
            <w:tcW w:type="dxa" w:w="290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left"/>
            </w:pPr>
            <w:r>
              <w:rPr>
                <w:rFonts w:ascii="Arial" w:cs="Arial" w:eastAsia="Arial" w:hAnsi="Arial"/>
                <w:color w:val="1A1A2E"/>
                <w:sz w:val="20"/>
                <w:szCs w:val="20"/>
              </w:rPr>
              <w:t xml:space="preserve">Trainers / Corporates / Platform</w:t>
            </w:r>
          </w:p>
        </w:tc>
      </w:tr>
      <w:tr>
        <w:tc>
          <w:tcPr>
            <w:tcW w:type="dxa" w:w="130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center"/>
            </w:pPr>
            <w:r>
              <w:rPr>
                <w:rFonts w:ascii="Arial" w:cs="Arial" w:eastAsia="Arial" w:hAnsi="Arial"/>
                <w:color w:val="1A1A2E"/>
                <w:sz w:val="20"/>
                <w:szCs w:val="20"/>
              </w:rPr>
              <w:t xml:space="preserve">11.8</w:t>
            </w:r>
          </w:p>
        </w:tc>
        <w:tc>
          <w:tcPr>
            <w:tcW w:type="dxa" w:w="516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Subscription-Based Training Programs</w:t>
            </w:r>
          </w:p>
        </w:tc>
        <w:tc>
          <w:tcPr>
            <w:tcW w:type="dxa" w:w="290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Trainers / Students / Institutes</w:t>
            </w:r>
          </w:p>
        </w:tc>
      </w:tr>
      <w:tr>
        <w:tc>
          <w:tcPr>
            <w:tcW w:type="dxa" w:w="130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center"/>
            </w:pPr>
            <w:r>
              <w:rPr>
                <w:rFonts w:ascii="Arial" w:cs="Arial" w:eastAsia="Arial" w:hAnsi="Arial"/>
                <w:color w:val="1A1A2E"/>
                <w:sz w:val="20"/>
                <w:szCs w:val="20"/>
              </w:rPr>
              <w:t xml:space="preserve">11.9</w:t>
            </w:r>
          </w:p>
        </w:tc>
        <w:tc>
          <w:tcPr>
            <w:tcW w:type="dxa" w:w="516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left"/>
            </w:pPr>
            <w:r>
              <w:rPr>
                <w:rFonts w:ascii="Arial" w:cs="Arial" w:eastAsia="Arial" w:hAnsi="Arial"/>
                <w:color w:val="1A1A2E"/>
                <w:sz w:val="20"/>
                <w:szCs w:val="20"/>
              </w:rPr>
              <w:t xml:space="preserve">Revenue Analytics Dashboard</w:t>
            </w:r>
          </w:p>
        </w:tc>
        <w:tc>
          <w:tcPr>
            <w:tcW w:type="dxa" w:w="290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left"/>
            </w:pPr>
            <w:r>
              <w:rPr>
                <w:rFonts w:ascii="Arial" w:cs="Arial" w:eastAsia="Arial" w:hAnsi="Arial"/>
                <w:color w:val="1A1A2E"/>
                <w:sz w:val="20"/>
                <w:szCs w:val="20"/>
              </w:rPr>
              <w:t xml:space="preserve">Trainers / Platform Admins</w:t>
            </w:r>
          </w:p>
        </w:tc>
      </w:tr>
    </w:tbl>
    <w:p>
      <w:r>
        <w:br w:type="page"/>
      </w:r>
    </w:p>
    <w:p>
      <w:pPr>
        <w:pStyle w:val="Heading1"/>
        <w:spacing w:before="400" w:after="180"/>
      </w:pPr>
      <w:r>
        <w:rPr>
          <w:rFonts w:ascii="Arial" w:cs="Arial" w:eastAsia="Arial" w:hAnsi="Arial"/>
          <w:b/>
          <w:bCs/>
          <w:color w:val="0A6640"/>
          <w:sz w:val="38"/>
          <w:szCs w:val="38"/>
        </w:rPr>
        <w:t xml:space="preserve">Research Background: The Trainer Monetization Gap</w:t>
      </w:r>
    </w:p>
    <w:p>
      <w:pPr>
        <w:pStyle w:val="Heading2"/>
        <w:spacing w:before="300" w:after="120"/>
      </w:pPr>
      <w:r>
        <w:rPr>
          <w:rFonts w:ascii="Arial" w:cs="Arial" w:eastAsia="Arial" w:hAnsi="Arial"/>
          <w:b/>
          <w:bCs/>
          <w:color w:val="1A1A2E"/>
          <w:sz w:val="28"/>
          <w:szCs w:val="28"/>
        </w:rPr>
        <w:t xml:space="preserve">1. The Unstructured Trainer Economy in Indian Higher Education</w:t>
      </w:r>
    </w:p>
    <w:p>
      <w:pPr>
        <w:spacing w:before="80" w:after="80"/>
      </w:pPr>
      <w:r>
        <w:rPr>
          <w:rFonts w:ascii="Arial" w:cs="Arial" w:eastAsia="Arial" w:hAnsi="Arial"/>
          <w:color w:val="1A1A2E"/>
          <w:sz w:val="22"/>
          <w:szCs w:val="22"/>
        </w:rPr>
        <w:t xml:space="preserve">India's campus placement preparation and skilling sector employs an estimated 2–3 lakh active trainers across institutes, training companies, freelance coaching, and edtech platforms. Despite this scale, monetization for individual trainers remains deeply fragmented. A typical placement trainer earns through a patchwork of institute stipends, per-session fees, private coaching income, and occasional corporate assignments — with no unified system tracking, paying, or optimizing these streams.</w:t>
      </w:r>
    </w:p>
    <w:p>
      <w:pPr>
        <w:spacing w:before="80" w:after="80"/>
      </w:pPr>
      <w:r>
        <w:t xml:space="preserve"/>
      </w:r>
    </w:p>
    <w:p>
      <w:pPr>
        <w:spacing w:before="80" w:after="80"/>
      </w:pPr>
      <w:r>
        <w:rPr>
          <w:rFonts w:ascii="Arial" w:cs="Arial" w:eastAsia="Arial" w:hAnsi="Arial"/>
          <w:color w:val="1A1A2E"/>
          <w:sz w:val="22"/>
          <w:szCs w:val="22"/>
        </w:rPr>
        <w:t xml:space="preserve">Research across the Indian edtech and vocational training ecosystem reveals that trainers with equivalent expertise and skills earn vastly different incomes based not on their teaching quality but on their access to monetization infrastructure. Trainers on structured platforms earn 3–5x more than equivalently skilled independent trainers who lack systematic revenue channels.</w:t>
      </w:r>
    </w:p>
    <w:p>
      <w:pPr>
        <w:pStyle w:val="Heading2"/>
        <w:spacing w:before="300" w:after="120"/>
      </w:pPr>
      <w:r>
        <w:rPr>
          <w:rFonts w:ascii="Arial" w:cs="Arial" w:eastAsia="Arial" w:hAnsi="Arial"/>
          <w:b/>
          <w:bCs/>
          <w:color w:val="1A1A2E"/>
          <w:sz w:val="28"/>
          <w:szCs w:val="28"/>
        </w:rPr>
        <w:t xml:space="preserve">2. Key Research Findings Supporting Feature 11</w:t>
      </w:r>
    </w:p>
    <w:p>
      <w:pPr>
        <w:pStyle w:val="ListParagraph"/>
        <w:numPr>
          <w:ilvl w:val="0"/>
          <w:numId w:val="2"/>
        </w:numPr>
        <w:spacing w:before="60" w:after="60"/>
      </w:pPr>
      <w:r>
        <w:rPr>
          <w:rFonts w:ascii="Arial" w:cs="Arial" w:eastAsia="Arial" w:hAnsi="Arial"/>
          <w:b w:val="false"/>
          <w:bCs w:val="false"/>
          <w:color w:val="1A1A2E"/>
          <w:sz w:val="22"/>
          <w:szCs w:val="22"/>
        </w:rPr>
        <w:t xml:space="preserve">According to NASSCOM's Edtech India Report (2024), trainer revenue per session on structured platforms is 40–60% higher than off-platform rates, primarily due to trust signals, review systems, and payment security.</w:t>
      </w:r>
    </w:p>
    <w:p>
      <w:pPr>
        <w:pStyle w:val="ListParagraph"/>
        <w:numPr>
          <w:ilvl w:val="0"/>
          <w:numId w:val="2"/>
        </w:numPr>
        <w:spacing w:before="60" w:after="60"/>
      </w:pPr>
      <w:r>
        <w:rPr>
          <w:rFonts w:ascii="Arial" w:cs="Arial" w:eastAsia="Arial" w:hAnsi="Arial"/>
          <w:b w:val="false"/>
          <w:bCs w:val="false"/>
          <w:color w:val="1A1A2E"/>
          <w:sz w:val="22"/>
          <w:szCs w:val="22"/>
        </w:rPr>
        <w:t xml:space="preserve">Over 65% of freelance placement trainers in India report payment delays or non-payment as a primary business problem — a problem that platform-managed payment infrastructure directly eliminates.</w:t>
      </w:r>
    </w:p>
    <w:p>
      <w:pPr>
        <w:pStyle w:val="ListParagraph"/>
        <w:numPr>
          <w:ilvl w:val="0"/>
          <w:numId w:val="2"/>
        </w:numPr>
        <w:spacing w:before="60" w:after="60"/>
      </w:pPr>
      <w:r>
        <w:rPr>
          <w:rFonts w:ascii="Arial" w:cs="Arial" w:eastAsia="Arial" w:hAnsi="Arial"/>
          <w:b w:val="false"/>
          <w:bCs w:val="false"/>
          <w:color w:val="1A1A2E"/>
          <w:sz w:val="22"/>
          <w:szCs w:val="22"/>
        </w:rPr>
        <w:t xml:space="preserve">The global online education market for professional training and placement preparation is projected to exceed USD 370 billion by 2026 (HolonIQ, 2024). India accounts for an increasingly large share driven by engineering college and MBA placement preparation demand.</w:t>
      </w:r>
    </w:p>
    <w:p>
      <w:pPr>
        <w:pStyle w:val="ListParagraph"/>
        <w:numPr>
          <w:ilvl w:val="0"/>
          <w:numId w:val="2"/>
        </w:numPr>
        <w:spacing w:before="60" w:after="60"/>
      </w:pPr>
      <w:r>
        <w:rPr>
          <w:rFonts w:ascii="Arial" w:cs="Arial" w:eastAsia="Arial" w:hAnsi="Arial"/>
          <w:b w:val="false"/>
          <w:bCs w:val="false"/>
          <w:color w:val="1A1A2E"/>
          <w:sz w:val="22"/>
          <w:szCs w:val="22"/>
        </w:rPr>
        <w:t xml:space="preserve">Corporate training is the fastest-growing revenue segment for individual trainers — yet fewer than 15% of campus-focused trainers have successfully transitioned to corporate clients, largely due to the absence of a platform that bridges both markets.</w:t>
      </w:r>
    </w:p>
    <w:p>
      <w:pPr>
        <w:pStyle w:val="ListParagraph"/>
        <w:numPr>
          <w:ilvl w:val="0"/>
          <w:numId w:val="2"/>
        </w:numPr>
        <w:spacing w:before="60" w:after="60"/>
      </w:pPr>
      <w:r>
        <w:rPr>
          <w:rFonts w:ascii="Arial" w:cs="Arial" w:eastAsia="Arial" w:hAnsi="Arial"/>
          <w:b w:val="false"/>
          <w:bCs w:val="false"/>
          <w:color w:val="1A1A2E"/>
          <w:sz w:val="22"/>
          <w:szCs w:val="22"/>
        </w:rPr>
        <w:t xml:space="preserve">Research on creator economy platforms (Substack, Teachable, Kajabi) establishes that multi-revenue-stream monetization (subscriptions + one-time sales + live sessions + mentorship) produces 2.8x higher trainer income than single-stream models.</w:t>
      </w:r>
    </w:p>
    <w:p>
      <w:pPr>
        <w:pStyle w:val="ListParagraph"/>
        <w:numPr>
          <w:ilvl w:val="0"/>
          <w:numId w:val="2"/>
        </w:numPr>
        <w:spacing w:before="60" w:after="60"/>
      </w:pPr>
      <w:r>
        <w:rPr>
          <w:rFonts w:ascii="Arial" w:cs="Arial" w:eastAsia="Arial" w:hAnsi="Arial"/>
          <w:b w:val="false"/>
          <w:bCs w:val="false"/>
          <w:color w:val="1A1A2E"/>
          <w:sz w:val="22"/>
          <w:szCs w:val="22"/>
        </w:rPr>
        <w:t xml:space="preserve">Certification-linked training programs command a 35–50% price premium over non-certified equivalents in the Indian skills market, making certification revenue sharing a critical monetization lever.</w:t>
      </w:r>
    </w:p>
    <w:p>
      <w:pPr>
        <w:pStyle w:val="ListParagraph"/>
        <w:numPr>
          <w:ilvl w:val="0"/>
          <w:numId w:val="2"/>
        </w:numPr>
        <w:spacing w:before="60" w:after="60"/>
      </w:pPr>
      <w:r>
        <w:rPr>
          <w:rFonts w:ascii="Arial" w:cs="Arial" w:eastAsia="Arial" w:hAnsi="Arial"/>
          <w:b w:val="false"/>
          <w:bCs w:val="false"/>
          <w:color w:val="1A1A2E"/>
          <w:sz w:val="22"/>
          <w:szCs w:val="22"/>
        </w:rPr>
        <w:t xml:space="preserve">Subscription-based training programs show 3.2x higher lifetime value per student compared to one-time course purchases — and dramatically improve trainer income predictability and planning.</w:t>
      </w:r>
    </w:p>
    <w:p>
      <w:pPr>
        <w:pStyle w:val="Heading2"/>
        <w:spacing w:before="300" w:after="120"/>
      </w:pPr>
      <w:r>
        <w:rPr>
          <w:rFonts w:ascii="Arial" w:cs="Arial" w:eastAsia="Arial" w:hAnsi="Arial"/>
          <w:b/>
          <w:bCs/>
          <w:color w:val="1A1A2E"/>
          <w:sz w:val="28"/>
          <w:szCs w:val="28"/>
        </w:rPr>
        <w:t xml:space="preserve">3. Platform Strategic Rationale</w:t>
      </w:r>
    </w:p>
    <w:p>
      <w:pPr>
        <w:spacing w:before="80" w:after="80"/>
      </w:pPr>
      <w:r>
        <w:rPr>
          <w:rFonts w:ascii="Arial" w:cs="Arial" w:eastAsia="Arial" w:hAnsi="Arial"/>
          <w:color w:val="1A1A2E"/>
          <w:sz w:val="22"/>
          <w:szCs w:val="22"/>
        </w:rPr>
        <w:t xml:space="preserve">A well-monetized trainer is a retained trainer. Platforms that invest in trainer revenue infrastructure consistently outperform those that treat trainers as interchangeable content suppliers. By building a comprehensive monetization ecosystem, the platform creates a flywheel: better-paid trainers invest more in content quality, which attracts more students and institutes, which drives more corporate interest, which generates more revenue for trainers. Feature 11 is the engine of that flywheel.</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6640" w:val="clear"/>
            <w:tcMar>
              <w:top w:type="dxa" w:w="130"/>
              <w:left w:type="dxa" w:w="220"/>
              <w:bottom w:type="dxa" w:w="130"/>
              <w:right w:type="dxa" w:w="220"/>
            </w:tcMar>
          </w:tcPr>
          <w:p>
            <w:r>
              <w:rPr>
                <w:rFonts w:ascii="Arial" w:cs="Arial" w:eastAsia="Arial" w:hAnsi="Arial"/>
                <w:color w:val="E6F4EE"/>
                <w:sz w:val="22"/>
                <w:szCs w:val="22"/>
              </w:rPr>
              <w:t xml:space="preserve">Sub-Feature 11.1  |  </w:t>
            </w:r>
            <w:r>
              <w:rPr>
                <w:rFonts w:ascii="Arial" w:cs="Arial" w:eastAsia="Arial" w:hAnsi="Arial"/>
                <w:b/>
                <w:bCs/>
                <w:color w:val="FFFFFF"/>
                <w:sz w:val="28"/>
                <w:szCs w:val="28"/>
              </w:rPr>
              <w:t xml:space="preserve">Paid Training Programs</w:t>
            </w:r>
          </w:p>
        </w:tc>
      </w:tr>
    </w:tbl>
    <w:p>
      <w:pPr>
        <w:spacing w:before="80" w:after="80"/>
      </w:pPr>
      <w:r>
        <w:t xml:space="preserve"/>
      </w:r>
    </w:p>
    <w:p>
      <w:pPr>
        <w:pStyle w:val="Heading2"/>
        <w:spacing w:before="300" w:after="120"/>
      </w:pPr>
      <w:r>
        <w:rPr>
          <w:rFonts w:ascii="Arial" w:cs="Arial" w:eastAsia="Arial" w:hAnsi="Arial"/>
          <w:b/>
          <w:bCs/>
          <w:color w:val="1A1A2E"/>
          <w:sz w:val="28"/>
          <w:szCs w:val="28"/>
        </w:rPr>
        <w:t xml:space="preserve">Feature Overview</w:t>
      </w:r>
    </w:p>
    <w:p>
      <w:pPr>
        <w:spacing w:before="80" w:after="80"/>
      </w:pPr>
      <w:r>
        <w:rPr>
          <w:rFonts w:ascii="Arial" w:cs="Arial" w:eastAsia="Arial" w:hAnsi="Arial"/>
          <w:color w:val="1A1A2E"/>
          <w:sz w:val="22"/>
          <w:szCs w:val="22"/>
        </w:rPr>
        <w:t xml:space="preserve">Paid Training Programs are the primary revenue channel for trainers on the platform. This sub-feature provides the complete infrastructure to design, price, publish, sell, and deliver structured multi-session training programs to students and institute batches — with automated enrollment, payment collection, session scheduling, and earnings disbursement.</w:t>
      </w:r>
    </w:p>
    <w:p>
      <w:pPr>
        <w:spacing w:before="80" w:after="80"/>
      </w:pPr>
      <w:r>
        <w:t xml:space="preserve"/>
      </w:r>
    </w:p>
    <w:p>
      <w:pPr>
        <w:spacing w:before="200" w:after="80"/>
      </w:pPr>
      <w:r>
        <w:rPr>
          <w:rFonts w:ascii="Arial" w:cs="Arial" w:eastAsia="Arial" w:hAnsi="Arial"/>
          <w:b/>
          <w:bCs/>
          <w:color w:val="0A6640"/>
          <w:sz w:val="24"/>
          <w:szCs w:val="24"/>
        </w:rPr>
        <w:t xml:space="preserve">Core Capabilities</w:t>
      </w:r>
    </w:p>
    <w:p>
      <w:pPr>
        <w:pStyle w:val="ListParagraph"/>
        <w:numPr>
          <w:ilvl w:val="0"/>
          <w:numId w:val="2"/>
        </w:numPr>
        <w:spacing w:before="60" w:after="60"/>
      </w:pPr>
      <w:r>
        <w:rPr>
          <w:rFonts w:ascii="Arial" w:cs="Arial" w:eastAsia="Arial" w:hAnsi="Arial"/>
          <w:b w:val="false"/>
          <w:bCs w:val="false"/>
          <w:color w:val="1A1A2E"/>
          <w:sz w:val="22"/>
          <w:szCs w:val="22"/>
        </w:rPr>
        <w:t xml:space="preserve">Program builder: Structured curriculum editor for multi-session programs — define modules, session count, duration, prerequisites, and learning outcomes</w:t>
      </w:r>
    </w:p>
    <w:p>
      <w:pPr>
        <w:pStyle w:val="ListParagraph"/>
        <w:numPr>
          <w:ilvl w:val="0"/>
          <w:numId w:val="2"/>
        </w:numPr>
        <w:spacing w:before="60" w:after="60"/>
      </w:pPr>
      <w:r>
        <w:rPr>
          <w:rFonts w:ascii="Arial" w:cs="Arial" w:eastAsia="Arial" w:hAnsi="Arial"/>
          <w:b w:val="false"/>
          <w:bCs w:val="false"/>
          <w:color w:val="1A1A2E"/>
          <w:sz w:val="22"/>
          <w:szCs w:val="22"/>
        </w:rPr>
        <w:t xml:space="preserve">Flexible pricing engine: Trainers set their own program fees; platform displays suggested price benchmarks based on topic, duration, and market data</w:t>
      </w:r>
    </w:p>
    <w:p>
      <w:pPr>
        <w:pStyle w:val="ListParagraph"/>
        <w:numPr>
          <w:ilvl w:val="0"/>
          <w:numId w:val="2"/>
        </w:numPr>
        <w:spacing w:before="60" w:after="60"/>
      </w:pPr>
      <w:r>
        <w:rPr>
          <w:rFonts w:ascii="Arial" w:cs="Arial" w:eastAsia="Arial" w:hAnsi="Arial"/>
          <w:b w:val="false"/>
          <w:bCs w:val="false"/>
          <w:color w:val="1A1A2E"/>
          <w:sz w:val="22"/>
          <w:szCs w:val="22"/>
        </w:rPr>
        <w:t xml:space="preserve">Multiple pricing models per program: Fixed fee per student, group pricing (per batch), early-bird discount windows, and need-based scholarship slots</w:t>
      </w:r>
    </w:p>
    <w:p>
      <w:pPr>
        <w:pStyle w:val="ListParagraph"/>
        <w:numPr>
          <w:ilvl w:val="0"/>
          <w:numId w:val="2"/>
        </w:numPr>
        <w:spacing w:before="60" w:after="60"/>
      </w:pPr>
      <w:r>
        <w:rPr>
          <w:rFonts w:ascii="Arial" w:cs="Arial" w:eastAsia="Arial" w:hAnsi="Arial"/>
          <w:b w:val="false"/>
          <w:bCs w:val="false"/>
          <w:color w:val="1A1A2E"/>
          <w:sz w:val="22"/>
          <w:szCs w:val="22"/>
        </w:rPr>
        <w:t xml:space="preserve">Institute partnership pricing: Special batch pricing for institute contracts — trainer sets a negotiated rate, institute pays consolidated fee for enrolled students</w:t>
      </w:r>
    </w:p>
    <w:p>
      <w:pPr>
        <w:pStyle w:val="ListParagraph"/>
        <w:numPr>
          <w:ilvl w:val="0"/>
          <w:numId w:val="2"/>
        </w:numPr>
        <w:spacing w:before="60" w:after="60"/>
      </w:pPr>
      <w:r>
        <w:rPr>
          <w:rFonts w:ascii="Arial" w:cs="Arial" w:eastAsia="Arial" w:hAnsi="Arial"/>
          <w:b w:val="false"/>
          <w:bCs w:val="false"/>
          <w:color w:val="1A1A2E"/>
          <w:sz w:val="22"/>
          <w:szCs w:val="22"/>
        </w:rPr>
        <w:t xml:space="preserve">Program listing and discoverability: SEO-optimized program pages with trainer profile, reviews, syllabus, sample session preview, and placement outcome data from past students</w:t>
      </w:r>
    </w:p>
    <w:p>
      <w:pPr>
        <w:pStyle w:val="ListParagraph"/>
        <w:numPr>
          <w:ilvl w:val="0"/>
          <w:numId w:val="2"/>
        </w:numPr>
        <w:spacing w:before="60" w:after="60"/>
      </w:pPr>
      <w:r>
        <w:rPr>
          <w:rFonts w:ascii="Arial" w:cs="Arial" w:eastAsia="Arial" w:hAnsi="Arial"/>
          <w:b w:val="false"/>
          <w:bCs w:val="false"/>
          <w:color w:val="1A1A2E"/>
          <w:sz w:val="22"/>
          <w:szCs w:val="22"/>
        </w:rPr>
        <w:t xml:space="preserve">Enrollment management: Waitlist management, batch size capping, auto-enrollment confirmation, and pre-program onboarding communications</w:t>
      </w:r>
    </w:p>
    <w:p>
      <w:pPr>
        <w:pStyle w:val="ListParagraph"/>
        <w:numPr>
          <w:ilvl w:val="0"/>
          <w:numId w:val="2"/>
        </w:numPr>
        <w:spacing w:before="60" w:after="60"/>
      </w:pPr>
      <w:r>
        <w:rPr>
          <w:rFonts w:ascii="Arial" w:cs="Arial" w:eastAsia="Arial" w:hAnsi="Arial"/>
          <w:b w:val="false"/>
          <w:bCs w:val="false"/>
          <w:color w:val="1A1A2E"/>
          <w:sz w:val="22"/>
          <w:szCs w:val="22"/>
        </w:rPr>
        <w:t xml:space="preserve">Automated payment collection: Platform handles all student/institute payments via UPI, net banking, cards, and EMI options — trainer never chases payments</w:t>
      </w:r>
    </w:p>
    <w:p>
      <w:pPr>
        <w:pStyle w:val="ListParagraph"/>
        <w:numPr>
          <w:ilvl w:val="0"/>
          <w:numId w:val="2"/>
        </w:numPr>
        <w:spacing w:before="60" w:after="60"/>
      </w:pPr>
      <w:r>
        <w:rPr>
          <w:rFonts w:ascii="Arial" w:cs="Arial" w:eastAsia="Arial" w:hAnsi="Arial"/>
          <w:b w:val="false"/>
          <w:bCs w:val="false"/>
          <w:color w:val="1A1A2E"/>
          <w:sz w:val="22"/>
          <w:szCs w:val="22"/>
        </w:rPr>
        <w:t xml:space="preserve">Escrow-based payout: Program fees held in escrow and released to trainer on session completion milestones — protecting both parties</w:t>
      </w:r>
    </w:p>
    <w:p>
      <w:pPr>
        <w:pStyle w:val="ListParagraph"/>
        <w:numPr>
          <w:ilvl w:val="0"/>
          <w:numId w:val="2"/>
        </w:numPr>
        <w:spacing w:before="60" w:after="60"/>
      </w:pPr>
      <w:r>
        <w:rPr>
          <w:rFonts w:ascii="Arial" w:cs="Arial" w:eastAsia="Arial" w:hAnsi="Arial"/>
          <w:b w:val="false"/>
          <w:bCs w:val="false"/>
          <w:color w:val="1A1A2E"/>
          <w:sz w:val="22"/>
          <w:szCs w:val="22"/>
        </w:rPr>
        <w:t xml:space="preserve">Refund and cancellation policy management: Trainer sets policy; platform enforces it automatically and handles disputes</w:t>
      </w:r>
    </w:p>
    <w:p>
      <w:pPr>
        <w:pStyle w:val="ListParagraph"/>
        <w:numPr>
          <w:ilvl w:val="0"/>
          <w:numId w:val="2"/>
        </w:numPr>
        <w:spacing w:before="60" w:after="60"/>
      </w:pPr>
      <w:r>
        <w:rPr>
          <w:rFonts w:ascii="Arial" w:cs="Arial" w:eastAsia="Arial" w:hAnsi="Arial"/>
          <w:b w:val="false"/>
          <w:bCs w:val="false"/>
          <w:color w:val="1A1A2E"/>
          <w:sz w:val="22"/>
          <w:szCs w:val="22"/>
        </w:rPr>
        <w:t xml:space="preserve">Revenue recognition schedule: Trainer sees projected earnings per upcoming session with exact payout dates</w:t>
      </w:r>
    </w:p>
    <w:p>
      <w:pPr>
        <w:spacing w:before="80" w:after="80"/>
      </w:pPr>
      <w:r>
        <w:t xml:space="preserve"/>
      </w:r>
    </w:p>
    <w:p>
      <w:pPr>
        <w:spacing w:before="200" w:after="80"/>
      </w:pPr>
      <w:r>
        <w:rPr>
          <w:rFonts w:ascii="Arial" w:cs="Arial" w:eastAsia="Arial" w:hAnsi="Arial"/>
          <w:b/>
          <w:bCs/>
          <w:color w:val="0A6640"/>
          <w:sz w:val="24"/>
          <w:szCs w:val="24"/>
        </w:rPr>
        <w:t xml:space="preserve">Pricing Benchmarks &amp; Revenue Potential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CFBE" w:sz="1"/>
              <w:left w:val="single" w:color="B0CFBE" w:sz="1"/>
              <w:bottom w:val="single" w:color="B0CFBE" w:sz="1"/>
              <w:right w:val="single" w:color="B0CFBE" w:sz="1"/>
            </w:tcBorders>
            <w:shd w:fill="0A66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Revenue Stream</w:t>
            </w:r>
          </w:p>
        </w:tc>
        <w:tc>
          <w:tcPr>
            <w:tcW w:type="dxa" w:w="3120"/>
            <w:tcBorders>
              <w:top w:val="single" w:color="B0CFBE" w:sz="1"/>
              <w:left w:val="single" w:color="B0CFBE" w:sz="1"/>
              <w:bottom w:val="single" w:color="B0CFBE" w:sz="1"/>
              <w:right w:val="single" w:color="B0CFBE" w:sz="1"/>
            </w:tcBorders>
            <w:shd w:fill="0A66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Typical Pricing (INR)</w:t>
            </w:r>
          </w:p>
        </w:tc>
        <w:tc>
          <w:tcPr>
            <w:tcW w:type="dxa" w:w="3120"/>
            <w:tcBorders>
              <w:top w:val="single" w:color="B0CFBE" w:sz="1"/>
              <w:left w:val="single" w:color="B0CFBE" w:sz="1"/>
              <w:bottom w:val="single" w:color="B0CFBE" w:sz="1"/>
              <w:right w:val="single" w:color="B0CFBE" w:sz="1"/>
            </w:tcBorders>
            <w:shd w:fill="0A66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Platform Commission</w:t>
            </w:r>
          </w:p>
        </w:tc>
      </w:tr>
      <w:tr>
        <w:tc>
          <w:tcPr>
            <w:tcW w:type="dxa" w:w="312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left"/>
            </w:pPr>
            <w:r>
              <w:rPr>
                <w:rFonts w:ascii="Arial" w:cs="Arial" w:eastAsia="Arial" w:hAnsi="Arial"/>
                <w:color w:val="1A1A2E"/>
                <w:sz w:val="20"/>
                <w:szCs w:val="20"/>
              </w:rPr>
              <w:t xml:space="preserve">Aptitude &amp; Reasoning (20 sessions)</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₹1,500 – ₹3,000/student</w:t>
            </w:r>
          </w:p>
        </w:tc>
        <w:tc>
          <w:tcPr>
            <w:tcW w:type="dxa" w:w="312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center"/>
            </w:pPr>
            <w:r>
              <w:rPr>
                <w:rFonts w:ascii="Arial" w:cs="Arial" w:eastAsia="Arial" w:hAnsi="Arial"/>
                <w:color w:val="1A1A2E"/>
                <w:sz w:val="20"/>
                <w:szCs w:val="20"/>
              </w:rPr>
              <w:t xml:space="preserve">15–20%</w:t>
            </w:r>
          </w:p>
        </w:tc>
      </w:tr>
      <w:tr>
        <w:tc>
          <w:tcPr>
            <w:tcW w:type="dxa" w:w="312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Technical Domain Training (30 sessions)</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₹3,000 – ₹8,000/student</w:t>
            </w:r>
          </w:p>
        </w:tc>
        <w:tc>
          <w:tcPr>
            <w:tcW w:type="dxa" w:w="312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center"/>
            </w:pPr>
            <w:r>
              <w:rPr>
                <w:rFonts w:ascii="Arial" w:cs="Arial" w:eastAsia="Arial" w:hAnsi="Arial"/>
                <w:color w:val="1A1A2E"/>
                <w:sz w:val="20"/>
                <w:szCs w:val="20"/>
              </w:rPr>
              <w:t xml:space="preserve">15–20%</w:t>
            </w:r>
          </w:p>
        </w:tc>
      </w:tr>
      <w:tr>
        <w:tc>
          <w:tcPr>
            <w:tcW w:type="dxa" w:w="312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left"/>
            </w:pPr>
            <w:r>
              <w:rPr>
                <w:rFonts w:ascii="Arial" w:cs="Arial" w:eastAsia="Arial" w:hAnsi="Arial"/>
                <w:color w:val="1A1A2E"/>
                <w:sz w:val="20"/>
                <w:szCs w:val="20"/>
              </w:rPr>
              <w:t xml:space="preserve">Communication &amp; Soft Skills (15 sessions)</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₹2,000 – ₹4,000/student</w:t>
            </w:r>
          </w:p>
        </w:tc>
        <w:tc>
          <w:tcPr>
            <w:tcW w:type="dxa" w:w="312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center"/>
            </w:pPr>
            <w:r>
              <w:rPr>
                <w:rFonts w:ascii="Arial" w:cs="Arial" w:eastAsia="Arial" w:hAnsi="Arial"/>
                <w:color w:val="1A1A2E"/>
                <w:sz w:val="20"/>
                <w:szCs w:val="20"/>
              </w:rPr>
              <w:t xml:space="preserve">15–20%</w:t>
            </w:r>
          </w:p>
        </w:tc>
      </w:tr>
      <w:tr>
        <w:tc>
          <w:tcPr>
            <w:tcW w:type="dxa" w:w="312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Placement Bootcamp (Full Program)</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₹5,000 – ₹15,000/student</w:t>
            </w:r>
          </w:p>
        </w:tc>
        <w:tc>
          <w:tcPr>
            <w:tcW w:type="dxa" w:w="312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center"/>
            </w:pPr>
            <w:r>
              <w:rPr>
                <w:rFonts w:ascii="Arial" w:cs="Arial" w:eastAsia="Arial" w:hAnsi="Arial"/>
                <w:color w:val="1A1A2E"/>
                <w:sz w:val="20"/>
                <w:szCs w:val="20"/>
              </w:rPr>
              <w:t xml:space="preserve">15%</w:t>
            </w:r>
          </w:p>
        </w:tc>
      </w:tr>
      <w:tr>
        <w:tc>
          <w:tcPr>
            <w:tcW w:type="dxa" w:w="312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left"/>
            </w:pPr>
            <w:r>
              <w:rPr>
                <w:rFonts w:ascii="Arial" w:cs="Arial" w:eastAsia="Arial" w:hAnsi="Arial"/>
                <w:color w:val="1A1A2E"/>
                <w:sz w:val="20"/>
                <w:szCs w:val="20"/>
              </w:rPr>
              <w:t xml:space="preserve">Institute Batch Contract (100 students)</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₹80,000 – ₹3,00,000</w:t>
            </w:r>
          </w:p>
        </w:tc>
        <w:tc>
          <w:tcPr>
            <w:tcW w:type="dxa" w:w="312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center"/>
            </w:pPr>
            <w:r>
              <w:rPr>
                <w:rFonts w:ascii="Arial" w:cs="Arial" w:eastAsia="Arial" w:hAnsi="Arial"/>
                <w:color w:val="1A1A2E"/>
                <w:sz w:val="20"/>
                <w:szCs w:val="20"/>
              </w:rPr>
              <w:t xml:space="preserve">12–15%</w:t>
            </w:r>
          </w:p>
        </w:tc>
      </w:tr>
    </w:tbl>
    <w:p>
      <w:pPr>
        <w:spacing w:before="80" w:after="80"/>
      </w:pPr>
      <w:r>
        <w:t xml:space="preserve"/>
      </w:r>
    </w:p>
    <w:p>
      <w:pPr>
        <w:spacing w:before="200" w:after="80"/>
      </w:pPr>
      <w:r>
        <w:rPr>
          <w:rFonts w:ascii="Arial" w:cs="Arial" w:eastAsia="Arial" w:hAnsi="Arial"/>
          <w:b/>
          <w:bCs/>
          <w:color w:val="0A6640"/>
          <w:sz w:val="24"/>
          <w:szCs w:val="24"/>
        </w:rPr>
        <w:t xml:space="preserve">Research Insight</w:t>
      </w:r>
    </w:p>
    <w:p>
      <w:pPr>
        <w:spacing w:before="80" w:after="80"/>
      </w:pPr>
      <w:r>
        <w:rPr>
          <w:rFonts w:ascii="Arial" w:cs="Arial" w:eastAsia="Arial" w:hAnsi="Arial"/>
          <w:color w:val="1A1A2E"/>
          <w:sz w:val="22"/>
          <w:szCs w:val="22"/>
        </w:rPr>
        <w:t xml:space="preserve">The shift from ad hoc training gigs to productized training programs is the most impactful monetization transition for knowledge professionals. Research on the creator economy by Li Jin (Atelier Ventures, 2022) establishes that trainers who 'productize' their expertise into structured programs earn on average 4.2x more than those offering only unstructured hourly sessions — because programs command a premium for outcomes rather than time, and because recurring cohorts create compounding income growth.</w:t>
      </w:r>
    </w:p>
    <w:p>
      <w:pPr>
        <w:spacing w:before="80" w:after="80"/>
      </w:pPr>
      <w:r>
        <w:t xml:space="preserve"/>
      </w:r>
    </w:p>
    <w:p>
      <w:pPr>
        <w:pBdr>
          <w:bottom w:val="single" w:color="A8D5B5" w:sz="6" w:space="1"/>
        </w:pBdr>
        <w:spacing w:before="140" w:after="1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6640" w:val="clear"/>
            <w:tcMar>
              <w:top w:type="dxa" w:w="130"/>
              <w:left w:type="dxa" w:w="220"/>
              <w:bottom w:type="dxa" w:w="130"/>
              <w:right w:type="dxa" w:w="220"/>
            </w:tcMar>
          </w:tcPr>
          <w:p>
            <w:r>
              <w:rPr>
                <w:rFonts w:ascii="Arial" w:cs="Arial" w:eastAsia="Arial" w:hAnsi="Arial"/>
                <w:color w:val="E6F4EE"/>
                <w:sz w:val="22"/>
                <w:szCs w:val="22"/>
              </w:rPr>
              <w:t xml:space="preserve">Sub-Feature 11.2  |  </w:t>
            </w:r>
            <w:r>
              <w:rPr>
                <w:rFonts w:ascii="Arial" w:cs="Arial" w:eastAsia="Arial" w:hAnsi="Arial"/>
                <w:b/>
                <w:bCs/>
                <w:color w:val="FFFFFF"/>
                <w:sz w:val="28"/>
                <w:szCs w:val="28"/>
              </w:rPr>
              <w:t xml:space="preserve">Workshop Fees</w:t>
            </w:r>
          </w:p>
        </w:tc>
      </w:tr>
    </w:tbl>
    <w:p>
      <w:pPr>
        <w:spacing w:before="80" w:after="80"/>
      </w:pPr>
      <w:r>
        <w:t xml:space="preserve"/>
      </w:r>
    </w:p>
    <w:p>
      <w:pPr>
        <w:pStyle w:val="Heading2"/>
        <w:spacing w:before="300" w:after="120"/>
      </w:pPr>
      <w:r>
        <w:rPr>
          <w:rFonts w:ascii="Arial" w:cs="Arial" w:eastAsia="Arial" w:hAnsi="Arial"/>
          <w:b/>
          <w:bCs/>
          <w:color w:val="1A1A2E"/>
          <w:sz w:val="28"/>
          <w:szCs w:val="28"/>
        </w:rPr>
        <w:t xml:space="preserve">Feature Overview</w:t>
      </w:r>
    </w:p>
    <w:p>
      <w:pPr>
        <w:spacing w:before="80" w:after="80"/>
      </w:pPr>
      <w:r>
        <w:rPr>
          <w:rFonts w:ascii="Arial" w:cs="Arial" w:eastAsia="Arial" w:hAnsi="Arial"/>
          <w:color w:val="1A1A2E"/>
          <w:sz w:val="22"/>
          <w:szCs w:val="22"/>
        </w:rPr>
        <w:t xml:space="preserve">Workshops are intensive, single-day or multi-day focused learning events distinct from ongoing programs. They serve as high-impact, high-visibility revenue generators for trainers — attracting both students seeking rapid skill acquisition and institutes looking for event-format learning interventions. This sub-feature provides the full workshop hosting, marketing, ticketing, and revenue management infrastructure.</w:t>
      </w:r>
    </w:p>
    <w:p>
      <w:pPr>
        <w:spacing w:before="80" w:after="80"/>
      </w:pPr>
      <w:r>
        <w:t xml:space="preserve"/>
      </w:r>
    </w:p>
    <w:p>
      <w:pPr>
        <w:spacing w:before="200" w:after="80"/>
      </w:pPr>
      <w:r>
        <w:rPr>
          <w:rFonts w:ascii="Arial" w:cs="Arial" w:eastAsia="Arial" w:hAnsi="Arial"/>
          <w:b/>
          <w:bCs/>
          <w:color w:val="0A6640"/>
          <w:sz w:val="24"/>
          <w:szCs w:val="24"/>
        </w:rPr>
        <w:t xml:space="preserve">Core Capabilities</w:t>
      </w:r>
    </w:p>
    <w:p>
      <w:pPr>
        <w:pStyle w:val="ListParagraph"/>
        <w:numPr>
          <w:ilvl w:val="0"/>
          <w:numId w:val="2"/>
        </w:numPr>
        <w:spacing w:before="60" w:after="60"/>
      </w:pPr>
      <w:r>
        <w:rPr>
          <w:rFonts w:ascii="Arial" w:cs="Arial" w:eastAsia="Arial" w:hAnsi="Arial"/>
          <w:b w:val="false"/>
          <w:bCs w:val="false"/>
          <w:color w:val="1A1A2E"/>
          <w:sz w:val="22"/>
          <w:szCs w:val="22"/>
        </w:rPr>
        <w:t xml:space="preserve">Workshop creation wizard: Trainer defines topic, format (online/offline/hybrid), duration, target audience, prerequisites, outcomes, and seating capacity</w:t>
      </w:r>
    </w:p>
    <w:p>
      <w:pPr>
        <w:pStyle w:val="ListParagraph"/>
        <w:numPr>
          <w:ilvl w:val="0"/>
          <w:numId w:val="2"/>
        </w:numPr>
        <w:spacing w:before="60" w:after="60"/>
      </w:pPr>
      <w:r>
        <w:rPr>
          <w:rFonts w:ascii="Arial" w:cs="Arial" w:eastAsia="Arial" w:hAnsi="Arial"/>
          <w:b w:val="false"/>
          <w:bCs w:val="false"/>
          <w:color w:val="1A1A2E"/>
          <w:sz w:val="22"/>
          <w:szCs w:val="22"/>
        </w:rPr>
        <w:t xml:space="preserve">Workshop marketplace listing: Featured placement on the platform's event calendar; searchable by topic, date, trainer, and format</w:t>
      </w:r>
    </w:p>
    <w:p>
      <w:pPr>
        <w:pStyle w:val="ListParagraph"/>
        <w:numPr>
          <w:ilvl w:val="0"/>
          <w:numId w:val="2"/>
        </w:numPr>
        <w:spacing w:before="60" w:after="60"/>
      </w:pPr>
      <w:r>
        <w:rPr>
          <w:rFonts w:ascii="Arial" w:cs="Arial" w:eastAsia="Arial" w:hAnsi="Arial"/>
          <w:b w:val="false"/>
          <w:bCs w:val="false"/>
          <w:color w:val="1A1A2E"/>
          <w:sz w:val="22"/>
          <w:szCs w:val="22"/>
        </w:rPr>
        <w:t xml:space="preserve">Tiered ticket pricing: General admission, early-bird, group tickets, and VIP/front-row tiers with different access levels or bonus materials</w:t>
      </w:r>
    </w:p>
    <w:p>
      <w:pPr>
        <w:pStyle w:val="ListParagraph"/>
        <w:numPr>
          <w:ilvl w:val="0"/>
          <w:numId w:val="2"/>
        </w:numPr>
        <w:spacing w:before="60" w:after="60"/>
      </w:pPr>
      <w:r>
        <w:rPr>
          <w:rFonts w:ascii="Arial" w:cs="Arial" w:eastAsia="Arial" w:hAnsi="Arial"/>
          <w:b w:val="false"/>
          <w:bCs w:val="false"/>
          <w:color w:val="1A1A2E"/>
          <w:sz w:val="22"/>
          <w:szCs w:val="22"/>
        </w:rPr>
        <w:t xml:space="preserve">Institute-sponsored workshops: Institutes can sponsor a workshop for their students — trainer receives guaranteed fee regardless of student headcount</w:t>
      </w:r>
    </w:p>
    <w:p>
      <w:pPr>
        <w:pStyle w:val="ListParagraph"/>
        <w:numPr>
          <w:ilvl w:val="0"/>
          <w:numId w:val="2"/>
        </w:numPr>
        <w:spacing w:before="60" w:after="60"/>
      </w:pPr>
      <w:r>
        <w:rPr>
          <w:rFonts w:ascii="Arial" w:cs="Arial" w:eastAsia="Arial" w:hAnsi="Arial"/>
          <w:b w:val="false"/>
          <w:bCs w:val="false"/>
          <w:color w:val="1A1A2E"/>
          <w:sz w:val="22"/>
          <w:szCs w:val="22"/>
        </w:rPr>
        <w:t xml:space="preserve">Combo bundling: Workshops listed as complementary add-ons to trainer's ongoing programs — driving upsell revenue</w:t>
      </w:r>
    </w:p>
    <w:p>
      <w:pPr>
        <w:pStyle w:val="ListParagraph"/>
        <w:numPr>
          <w:ilvl w:val="0"/>
          <w:numId w:val="2"/>
        </w:numPr>
        <w:spacing w:before="60" w:after="60"/>
      </w:pPr>
      <w:r>
        <w:rPr>
          <w:rFonts w:ascii="Arial" w:cs="Arial" w:eastAsia="Arial" w:hAnsi="Arial"/>
          <w:b w:val="false"/>
          <w:bCs w:val="false"/>
          <w:color w:val="1A1A2E"/>
          <w:sz w:val="22"/>
          <w:szCs w:val="22"/>
        </w:rPr>
        <w:t xml:space="preserve">Live workshop platform integration: Seamless connection to the platform's virtual classroom for online workshops; physical venue logistics support tools for offline events</w:t>
      </w:r>
    </w:p>
    <w:p>
      <w:pPr>
        <w:pStyle w:val="ListParagraph"/>
        <w:numPr>
          <w:ilvl w:val="0"/>
          <w:numId w:val="2"/>
        </w:numPr>
        <w:spacing w:before="60" w:after="60"/>
      </w:pPr>
      <w:r>
        <w:rPr>
          <w:rFonts w:ascii="Arial" w:cs="Arial" w:eastAsia="Arial" w:hAnsi="Arial"/>
          <w:b w:val="false"/>
          <w:bCs w:val="false"/>
          <w:color w:val="1A1A2E"/>
          <w:sz w:val="22"/>
          <w:szCs w:val="22"/>
        </w:rPr>
        <w:t xml:space="preserve">Recording monetization: Post-workshop, trainer can sell recorded session access at a reduced rate — extending revenue beyond the live event window</w:t>
      </w:r>
    </w:p>
    <w:p>
      <w:pPr>
        <w:pStyle w:val="ListParagraph"/>
        <w:numPr>
          <w:ilvl w:val="0"/>
          <w:numId w:val="2"/>
        </w:numPr>
        <w:spacing w:before="60" w:after="60"/>
      </w:pPr>
      <w:r>
        <w:rPr>
          <w:rFonts w:ascii="Arial" w:cs="Arial" w:eastAsia="Arial" w:hAnsi="Arial"/>
          <w:b w:val="false"/>
          <w:bCs w:val="false"/>
          <w:color w:val="1A1A2E"/>
          <w:sz w:val="22"/>
          <w:szCs w:val="22"/>
        </w:rPr>
        <w:t xml:space="preserve">Waitlist and resell management: Full seats trigger automatic waitlist; cancellation resale feature maximizes revenue per workshop</w:t>
      </w:r>
    </w:p>
    <w:p>
      <w:pPr>
        <w:pStyle w:val="ListParagraph"/>
        <w:numPr>
          <w:ilvl w:val="0"/>
          <w:numId w:val="2"/>
        </w:numPr>
        <w:spacing w:before="60" w:after="60"/>
      </w:pPr>
      <w:r>
        <w:rPr>
          <w:rFonts w:ascii="Arial" w:cs="Arial" w:eastAsia="Arial" w:hAnsi="Arial"/>
          <w:b w:val="false"/>
          <w:bCs w:val="false"/>
          <w:color w:val="1A1A2E"/>
          <w:sz w:val="22"/>
          <w:szCs w:val="22"/>
        </w:rPr>
        <w:t xml:space="preserve">Post-workshop assessment and certificate: Attendance-backed certificate issued to participants — adds perceived value and justifies premium pricing</w:t>
      </w:r>
    </w:p>
    <w:p>
      <w:pPr>
        <w:pStyle w:val="ListParagraph"/>
        <w:numPr>
          <w:ilvl w:val="0"/>
          <w:numId w:val="2"/>
        </w:numPr>
        <w:spacing w:before="60" w:after="60"/>
      </w:pPr>
      <w:r>
        <w:rPr>
          <w:rFonts w:ascii="Arial" w:cs="Arial" w:eastAsia="Arial" w:hAnsi="Arial"/>
          <w:b w:val="false"/>
          <w:bCs w:val="false"/>
          <w:color w:val="1A1A2E"/>
          <w:sz w:val="22"/>
          <w:szCs w:val="22"/>
        </w:rPr>
        <w:t xml:space="preserve">Revenue split transparency: Trainer sees exact fee breakdown before publishing — training fee, platform commission, payment gateway charges, and net payout</w:t>
      </w:r>
    </w:p>
    <w:p>
      <w:pPr>
        <w:spacing w:before="80" w:after="80"/>
      </w:pPr>
      <w:r>
        <w:t xml:space="preserve"/>
      </w:r>
    </w:p>
    <w:p>
      <w:pPr>
        <w:spacing w:before="200" w:after="80"/>
      </w:pPr>
      <w:r>
        <w:rPr>
          <w:rFonts w:ascii="Arial" w:cs="Arial" w:eastAsia="Arial" w:hAnsi="Arial"/>
          <w:b/>
          <w:bCs/>
          <w:color w:val="0A6640"/>
          <w:sz w:val="24"/>
          <w:szCs w:val="24"/>
        </w:rPr>
        <w:t xml:space="preserve">Pricing Benchmarks &amp; Revenue Potential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CFBE" w:sz="1"/>
              <w:left w:val="single" w:color="B0CFBE" w:sz="1"/>
              <w:bottom w:val="single" w:color="B0CFBE" w:sz="1"/>
              <w:right w:val="single" w:color="B0CFBE" w:sz="1"/>
            </w:tcBorders>
            <w:shd w:fill="0A66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Revenue Stream</w:t>
            </w:r>
          </w:p>
        </w:tc>
        <w:tc>
          <w:tcPr>
            <w:tcW w:type="dxa" w:w="3120"/>
            <w:tcBorders>
              <w:top w:val="single" w:color="B0CFBE" w:sz="1"/>
              <w:left w:val="single" w:color="B0CFBE" w:sz="1"/>
              <w:bottom w:val="single" w:color="B0CFBE" w:sz="1"/>
              <w:right w:val="single" w:color="B0CFBE" w:sz="1"/>
            </w:tcBorders>
            <w:shd w:fill="0A66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Typical Pricing (INR)</w:t>
            </w:r>
          </w:p>
        </w:tc>
        <w:tc>
          <w:tcPr>
            <w:tcW w:type="dxa" w:w="3120"/>
            <w:tcBorders>
              <w:top w:val="single" w:color="B0CFBE" w:sz="1"/>
              <w:left w:val="single" w:color="B0CFBE" w:sz="1"/>
              <w:bottom w:val="single" w:color="B0CFBE" w:sz="1"/>
              <w:right w:val="single" w:color="B0CFBE" w:sz="1"/>
            </w:tcBorders>
            <w:shd w:fill="0A66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Platform Commission</w:t>
            </w:r>
          </w:p>
        </w:tc>
      </w:tr>
      <w:tr>
        <w:tc>
          <w:tcPr>
            <w:tcW w:type="dxa" w:w="312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left"/>
            </w:pPr>
            <w:r>
              <w:rPr>
                <w:rFonts w:ascii="Arial" w:cs="Arial" w:eastAsia="Arial" w:hAnsi="Arial"/>
                <w:color w:val="1A1A2E"/>
                <w:sz w:val="20"/>
                <w:szCs w:val="20"/>
              </w:rPr>
              <w:t xml:space="preserve">Half-Day Workshop (4 hrs, 30–50 students)</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₹299 – ₹799/student</w:t>
            </w:r>
          </w:p>
        </w:tc>
        <w:tc>
          <w:tcPr>
            <w:tcW w:type="dxa" w:w="312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center"/>
            </w:pPr>
            <w:r>
              <w:rPr>
                <w:rFonts w:ascii="Arial" w:cs="Arial" w:eastAsia="Arial" w:hAnsi="Arial"/>
                <w:color w:val="1A1A2E"/>
                <w:sz w:val="20"/>
                <w:szCs w:val="20"/>
              </w:rPr>
              <w:t xml:space="preserve">18–20%</w:t>
            </w:r>
          </w:p>
        </w:tc>
      </w:tr>
      <w:tr>
        <w:tc>
          <w:tcPr>
            <w:tcW w:type="dxa" w:w="312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Full-Day Workshop (8 hrs, 30–50 students)</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₹599 – ₹1,499/student</w:t>
            </w:r>
          </w:p>
        </w:tc>
        <w:tc>
          <w:tcPr>
            <w:tcW w:type="dxa" w:w="312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center"/>
            </w:pPr>
            <w:r>
              <w:rPr>
                <w:rFonts w:ascii="Arial" w:cs="Arial" w:eastAsia="Arial" w:hAnsi="Arial"/>
                <w:color w:val="1A1A2E"/>
                <w:sz w:val="20"/>
                <w:szCs w:val="20"/>
              </w:rPr>
              <w:t xml:space="preserve">18–20%</w:t>
            </w:r>
          </w:p>
        </w:tc>
      </w:tr>
      <w:tr>
        <w:tc>
          <w:tcPr>
            <w:tcW w:type="dxa" w:w="312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left"/>
            </w:pPr>
            <w:r>
              <w:rPr>
                <w:rFonts w:ascii="Arial" w:cs="Arial" w:eastAsia="Arial" w:hAnsi="Arial"/>
                <w:color w:val="1A1A2E"/>
                <w:sz w:val="20"/>
                <w:szCs w:val="20"/>
              </w:rPr>
              <w:t xml:space="preserve">2-Day Intensive Workshop</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₹1,500 – ₹3,500/student</w:t>
            </w:r>
          </w:p>
        </w:tc>
        <w:tc>
          <w:tcPr>
            <w:tcW w:type="dxa" w:w="312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center"/>
            </w:pPr>
            <w:r>
              <w:rPr>
                <w:rFonts w:ascii="Arial" w:cs="Arial" w:eastAsia="Arial" w:hAnsi="Arial"/>
                <w:color w:val="1A1A2E"/>
                <w:sz w:val="20"/>
                <w:szCs w:val="20"/>
              </w:rPr>
              <w:t xml:space="preserve">18%</w:t>
            </w:r>
          </w:p>
        </w:tc>
      </w:tr>
      <w:tr>
        <w:tc>
          <w:tcPr>
            <w:tcW w:type="dxa" w:w="312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Institute-Sponsored Workshop (flat fee)</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₹15,000 – ₹60,000</w:t>
            </w:r>
          </w:p>
        </w:tc>
        <w:tc>
          <w:tcPr>
            <w:tcW w:type="dxa" w:w="312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center"/>
            </w:pPr>
            <w:r>
              <w:rPr>
                <w:rFonts w:ascii="Arial" w:cs="Arial" w:eastAsia="Arial" w:hAnsi="Arial"/>
                <w:color w:val="1A1A2E"/>
                <w:sz w:val="20"/>
                <w:szCs w:val="20"/>
              </w:rPr>
              <w:t xml:space="preserve">12–15%</w:t>
            </w:r>
          </w:p>
        </w:tc>
      </w:tr>
      <w:tr>
        <w:tc>
          <w:tcPr>
            <w:tcW w:type="dxa" w:w="312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left"/>
            </w:pPr>
            <w:r>
              <w:rPr>
                <w:rFonts w:ascii="Arial" w:cs="Arial" w:eastAsia="Arial" w:hAnsi="Arial"/>
                <w:color w:val="1A1A2E"/>
                <w:sz w:val="20"/>
                <w:szCs w:val="20"/>
              </w:rPr>
              <w:t xml:space="preserve">Recorded Workshop Access (post-event)</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₹99 – ₹499/access</w:t>
            </w:r>
          </w:p>
        </w:tc>
        <w:tc>
          <w:tcPr>
            <w:tcW w:type="dxa" w:w="312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center"/>
            </w:pPr>
            <w:r>
              <w:rPr>
                <w:rFonts w:ascii="Arial" w:cs="Arial" w:eastAsia="Arial" w:hAnsi="Arial"/>
                <w:color w:val="1A1A2E"/>
                <w:sz w:val="20"/>
                <w:szCs w:val="20"/>
              </w:rPr>
              <w:t xml:space="preserve">20–25%</w:t>
            </w:r>
          </w:p>
        </w:tc>
      </w:tr>
    </w:tbl>
    <w:p>
      <w:pPr>
        <w:spacing w:before="80" w:after="80"/>
      </w:pPr>
      <w:r>
        <w:t xml:space="preserve"/>
      </w:r>
    </w:p>
    <w:p>
      <w:pPr>
        <w:spacing w:before="200" w:after="80"/>
      </w:pPr>
      <w:r>
        <w:rPr>
          <w:rFonts w:ascii="Arial" w:cs="Arial" w:eastAsia="Arial" w:hAnsi="Arial"/>
          <w:b/>
          <w:bCs/>
          <w:color w:val="0A6640"/>
          <w:sz w:val="24"/>
          <w:szCs w:val="24"/>
        </w:rPr>
        <w:t xml:space="preserve">Research Insight</w:t>
      </w:r>
    </w:p>
    <w:p>
      <w:pPr>
        <w:spacing w:before="80" w:after="80"/>
      </w:pPr>
      <w:r>
        <w:rPr>
          <w:rFonts w:ascii="Arial" w:cs="Arial" w:eastAsia="Arial" w:hAnsi="Arial"/>
          <w:color w:val="1A1A2E"/>
          <w:sz w:val="22"/>
          <w:szCs w:val="22"/>
        </w:rPr>
        <w:t xml:space="preserve">The global workshop and live learning event market demonstrates consistent revenue superiority over asynchronous content — learners pay 2–3x more for live, interactive formats with real-time expert access. Workshops also function as powerful student acquisition funnels: research by Teachable (2023) shows that 34% of workshop attendees convert to longer program enrollments within 90 days when systematic follow-up is in place — making workshops both direct revenue and lead generation channels simultaneously.</w:t>
      </w:r>
    </w:p>
    <w:p>
      <w:pPr>
        <w:spacing w:before="80" w:after="80"/>
      </w:pPr>
      <w:r>
        <w:t xml:space="preserve"/>
      </w:r>
    </w:p>
    <w:p>
      <w:pPr>
        <w:pBdr>
          <w:bottom w:val="single" w:color="A8D5B5" w:sz="6" w:space="1"/>
        </w:pBdr>
        <w:spacing w:before="140" w:after="14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6640" w:val="clear"/>
            <w:tcMar>
              <w:top w:type="dxa" w:w="130"/>
              <w:left w:type="dxa" w:w="220"/>
              <w:bottom w:type="dxa" w:w="130"/>
              <w:right w:type="dxa" w:w="220"/>
            </w:tcMar>
          </w:tcPr>
          <w:p>
            <w:r>
              <w:rPr>
                <w:rFonts w:ascii="Arial" w:cs="Arial" w:eastAsia="Arial" w:hAnsi="Arial"/>
                <w:color w:val="E6F4EE"/>
                <w:sz w:val="22"/>
                <w:szCs w:val="22"/>
              </w:rPr>
              <w:t xml:space="preserve">Sub-Feature 11.3  |  </w:t>
            </w:r>
            <w:r>
              <w:rPr>
                <w:rFonts w:ascii="Arial" w:cs="Arial" w:eastAsia="Arial" w:hAnsi="Arial"/>
                <w:b/>
                <w:bCs/>
                <w:color w:val="FFFFFF"/>
                <w:sz w:val="28"/>
                <w:szCs w:val="28"/>
              </w:rPr>
              <w:t xml:space="preserve">Mentorship Fees</w:t>
            </w:r>
          </w:p>
        </w:tc>
      </w:tr>
    </w:tbl>
    <w:p>
      <w:pPr>
        <w:spacing w:before="80" w:after="80"/>
      </w:pPr>
      <w:r>
        <w:t xml:space="preserve"/>
      </w:r>
    </w:p>
    <w:p>
      <w:pPr>
        <w:pStyle w:val="Heading2"/>
        <w:spacing w:before="300" w:after="120"/>
      </w:pPr>
      <w:r>
        <w:rPr>
          <w:rFonts w:ascii="Arial" w:cs="Arial" w:eastAsia="Arial" w:hAnsi="Arial"/>
          <w:b/>
          <w:bCs/>
          <w:color w:val="1A1A2E"/>
          <w:sz w:val="28"/>
          <w:szCs w:val="28"/>
        </w:rPr>
        <w:t xml:space="preserve">Feature Overview</w:t>
      </w:r>
    </w:p>
    <w:p>
      <w:pPr>
        <w:spacing w:before="80" w:after="80"/>
      </w:pPr>
      <w:r>
        <w:rPr>
          <w:rFonts w:ascii="Arial" w:cs="Arial" w:eastAsia="Arial" w:hAnsi="Arial"/>
          <w:color w:val="1A1A2E"/>
          <w:sz w:val="22"/>
          <w:szCs w:val="22"/>
        </w:rPr>
        <w:t xml:space="preserve">Mentorship is among the fastest-growing and highest-value revenue streams in the professional education sector globally. Students preparing for placement are willing to pay significant premiums for structured, personalized, 1-on-1 or small-group mentorship from experienced industry professionals and master trainers. This sub-feature provides the complete mentorship marketplace, session management, and revenue infrastructure.</w:t>
      </w:r>
    </w:p>
    <w:p>
      <w:pPr>
        <w:spacing w:before="80" w:after="80"/>
      </w:pPr>
      <w:r>
        <w:t xml:space="preserve"/>
      </w:r>
    </w:p>
    <w:p>
      <w:pPr>
        <w:spacing w:before="200" w:after="80"/>
      </w:pPr>
      <w:r>
        <w:rPr>
          <w:rFonts w:ascii="Arial" w:cs="Arial" w:eastAsia="Arial" w:hAnsi="Arial"/>
          <w:b/>
          <w:bCs/>
          <w:color w:val="0A6640"/>
          <w:sz w:val="24"/>
          <w:szCs w:val="24"/>
        </w:rPr>
        <w:t xml:space="preserve">Core Capabilities</w:t>
      </w:r>
    </w:p>
    <w:p>
      <w:pPr>
        <w:pStyle w:val="ListParagraph"/>
        <w:numPr>
          <w:ilvl w:val="0"/>
          <w:numId w:val="2"/>
        </w:numPr>
        <w:spacing w:before="60" w:after="60"/>
      </w:pPr>
      <w:r>
        <w:rPr>
          <w:rFonts w:ascii="Arial" w:cs="Arial" w:eastAsia="Arial" w:hAnsi="Arial"/>
          <w:b w:val="false"/>
          <w:bCs w:val="false"/>
          <w:color w:val="1A1A2E"/>
          <w:sz w:val="22"/>
          <w:szCs w:val="22"/>
        </w:rPr>
        <w:t xml:space="preserve">Mentor profile setup: Trainers who qualify as mentors create dedicated mentor profiles with industry experience, expertise domains, past mentee outcomes, availability calendar, and session formats offered</w:t>
      </w:r>
    </w:p>
    <w:p>
      <w:pPr>
        <w:pStyle w:val="ListParagraph"/>
        <w:numPr>
          <w:ilvl w:val="0"/>
          <w:numId w:val="2"/>
        </w:numPr>
        <w:spacing w:before="60" w:after="60"/>
      </w:pPr>
      <w:r>
        <w:rPr>
          <w:rFonts w:ascii="Arial" w:cs="Arial" w:eastAsia="Arial" w:hAnsi="Arial"/>
          <w:b w:val="false"/>
          <w:bCs w:val="false"/>
          <w:color w:val="1A1A2E"/>
          <w:sz w:val="22"/>
          <w:szCs w:val="22"/>
        </w:rPr>
        <w:t xml:space="preserve">Session type catalogue: 1-on-1 sessions (30 min / 60 min), small group mentorship pods (3–5 students), async mentorship (written feedback on submissions), and long-term mentorship packages (monthly / quarterly)</w:t>
      </w:r>
    </w:p>
    <w:p>
      <w:pPr>
        <w:pStyle w:val="ListParagraph"/>
        <w:numPr>
          <w:ilvl w:val="0"/>
          <w:numId w:val="2"/>
        </w:numPr>
        <w:spacing w:before="60" w:after="60"/>
      </w:pPr>
      <w:r>
        <w:rPr>
          <w:rFonts w:ascii="Arial" w:cs="Arial" w:eastAsia="Arial" w:hAnsi="Arial"/>
          <w:b w:val="false"/>
          <w:bCs w:val="false"/>
          <w:color w:val="1A1A2E"/>
          <w:sz w:val="22"/>
          <w:szCs w:val="22"/>
        </w:rPr>
        <w:t xml:space="preserve">Dynamic availability calendar: Trainer sets available slots; students book directly; automated reminders for both parties 24 hours and 1 hour before session</w:t>
      </w:r>
    </w:p>
    <w:p>
      <w:pPr>
        <w:pStyle w:val="ListParagraph"/>
        <w:numPr>
          <w:ilvl w:val="0"/>
          <w:numId w:val="2"/>
        </w:numPr>
        <w:spacing w:before="60" w:after="60"/>
      </w:pPr>
      <w:r>
        <w:rPr>
          <w:rFonts w:ascii="Arial" w:cs="Arial" w:eastAsia="Arial" w:hAnsi="Arial"/>
          <w:b w:val="false"/>
          <w:bCs w:val="false"/>
          <w:color w:val="1A1A2E"/>
          <w:sz w:val="22"/>
          <w:szCs w:val="22"/>
        </w:rPr>
        <w:t xml:space="preserve">Booking and payment integration: Students pay at booking; funds held in escrow and released after session completion with student confirmation</w:t>
      </w:r>
    </w:p>
    <w:p>
      <w:pPr>
        <w:pStyle w:val="ListParagraph"/>
        <w:numPr>
          <w:ilvl w:val="0"/>
          <w:numId w:val="2"/>
        </w:numPr>
        <w:spacing w:before="60" w:after="60"/>
      </w:pPr>
      <w:r>
        <w:rPr>
          <w:rFonts w:ascii="Arial" w:cs="Arial" w:eastAsia="Arial" w:hAnsi="Arial"/>
          <w:b w:val="false"/>
          <w:bCs w:val="false"/>
          <w:color w:val="1A1A2E"/>
          <w:sz w:val="22"/>
          <w:szCs w:val="22"/>
        </w:rPr>
        <w:t xml:space="preserve">No-show and late cancellation protection: Platform enforces trainer-set cancellation policies; no-show fee retained by trainer automatically</w:t>
      </w:r>
    </w:p>
    <w:p>
      <w:pPr>
        <w:pStyle w:val="ListParagraph"/>
        <w:numPr>
          <w:ilvl w:val="0"/>
          <w:numId w:val="2"/>
        </w:numPr>
        <w:spacing w:before="60" w:after="60"/>
      </w:pPr>
      <w:r>
        <w:rPr>
          <w:rFonts w:ascii="Arial" w:cs="Arial" w:eastAsia="Arial" w:hAnsi="Arial"/>
          <w:b w:val="false"/>
          <w:bCs w:val="false"/>
          <w:color w:val="1A1A2E"/>
          <w:sz w:val="22"/>
          <w:szCs w:val="22"/>
        </w:rPr>
        <w:t xml:space="preserve">Session preparation tools: Pre-session goal-setting form sent to student; post-session action items captured by trainer; session notes shared with student automatically</w:t>
      </w:r>
    </w:p>
    <w:p>
      <w:pPr>
        <w:pStyle w:val="ListParagraph"/>
        <w:numPr>
          <w:ilvl w:val="0"/>
          <w:numId w:val="2"/>
        </w:numPr>
        <w:spacing w:before="60" w:after="60"/>
      </w:pPr>
      <w:r>
        <w:rPr>
          <w:rFonts w:ascii="Arial" w:cs="Arial" w:eastAsia="Arial" w:hAnsi="Arial"/>
          <w:b w:val="false"/>
          <w:bCs w:val="false"/>
          <w:color w:val="1A1A2E"/>
          <w:sz w:val="22"/>
          <w:szCs w:val="22"/>
        </w:rPr>
        <w:t xml:space="preserve">Review and rating system: Verified post-session reviews build mentor credibility and drive discovery; only students who completed sessions can leave reviews</w:t>
      </w:r>
    </w:p>
    <w:p>
      <w:pPr>
        <w:pStyle w:val="ListParagraph"/>
        <w:numPr>
          <w:ilvl w:val="0"/>
          <w:numId w:val="2"/>
        </w:numPr>
        <w:spacing w:before="60" w:after="60"/>
      </w:pPr>
      <w:r>
        <w:rPr>
          <w:rFonts w:ascii="Arial" w:cs="Arial" w:eastAsia="Arial" w:hAnsi="Arial"/>
          <w:b w:val="false"/>
          <w:bCs w:val="false"/>
          <w:color w:val="1A1A2E"/>
          <w:sz w:val="22"/>
          <w:szCs w:val="22"/>
        </w:rPr>
        <w:t xml:space="preserve">Mentorship package subscriptions: Trainers offer monthly retainer mentorship packages (e.g., 4 sessions/month) at a discounted per-session rate — creating recurring income</w:t>
      </w:r>
    </w:p>
    <w:p>
      <w:pPr>
        <w:pStyle w:val="ListParagraph"/>
        <w:numPr>
          <w:ilvl w:val="0"/>
          <w:numId w:val="2"/>
        </w:numPr>
        <w:spacing w:before="60" w:after="60"/>
      </w:pPr>
      <w:r>
        <w:rPr>
          <w:rFonts w:ascii="Arial" w:cs="Arial" w:eastAsia="Arial" w:hAnsi="Arial"/>
          <w:b w:val="false"/>
          <w:bCs w:val="false"/>
          <w:color w:val="1A1A2E"/>
          <w:sz w:val="22"/>
          <w:szCs w:val="22"/>
        </w:rPr>
        <w:t xml:space="preserve">Placement outcome attribution: When a mentee lands placement, platform prompts them to attribute the mentor — building powerful social proof for future bookings</w:t>
      </w:r>
    </w:p>
    <w:p>
      <w:pPr>
        <w:pStyle w:val="ListParagraph"/>
        <w:numPr>
          <w:ilvl w:val="0"/>
          <w:numId w:val="2"/>
        </w:numPr>
        <w:spacing w:before="60" w:after="60"/>
      </w:pPr>
      <w:r>
        <w:rPr>
          <w:rFonts w:ascii="Arial" w:cs="Arial" w:eastAsia="Arial" w:hAnsi="Arial"/>
          <w:b w:val="false"/>
          <w:bCs w:val="false"/>
          <w:color w:val="1A1A2E"/>
          <w:sz w:val="22"/>
          <w:szCs w:val="22"/>
        </w:rPr>
        <w:t xml:space="preserve">Group mentorship pods: Trainer conducts one session for 3–5 students simultaneously; each student pays individual session fee — multiplies trainer hourly earnings</w:t>
      </w:r>
    </w:p>
    <w:p>
      <w:pPr>
        <w:spacing w:before="80" w:after="80"/>
      </w:pPr>
      <w:r>
        <w:t xml:space="preserve"/>
      </w:r>
    </w:p>
    <w:p>
      <w:pPr>
        <w:spacing w:before="200" w:after="80"/>
      </w:pPr>
      <w:r>
        <w:rPr>
          <w:rFonts w:ascii="Arial" w:cs="Arial" w:eastAsia="Arial" w:hAnsi="Arial"/>
          <w:b/>
          <w:bCs/>
          <w:color w:val="0A6640"/>
          <w:sz w:val="24"/>
          <w:szCs w:val="24"/>
        </w:rPr>
        <w:t xml:space="preserve">Pricing Benchmarks &amp; Revenue Potential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CFBE" w:sz="1"/>
              <w:left w:val="single" w:color="B0CFBE" w:sz="1"/>
              <w:bottom w:val="single" w:color="B0CFBE" w:sz="1"/>
              <w:right w:val="single" w:color="B0CFBE" w:sz="1"/>
            </w:tcBorders>
            <w:shd w:fill="0A66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Revenue Stream</w:t>
            </w:r>
          </w:p>
        </w:tc>
        <w:tc>
          <w:tcPr>
            <w:tcW w:type="dxa" w:w="3120"/>
            <w:tcBorders>
              <w:top w:val="single" w:color="B0CFBE" w:sz="1"/>
              <w:left w:val="single" w:color="B0CFBE" w:sz="1"/>
              <w:bottom w:val="single" w:color="B0CFBE" w:sz="1"/>
              <w:right w:val="single" w:color="B0CFBE" w:sz="1"/>
            </w:tcBorders>
            <w:shd w:fill="0A66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Typical Pricing (INR)</w:t>
            </w:r>
          </w:p>
        </w:tc>
        <w:tc>
          <w:tcPr>
            <w:tcW w:type="dxa" w:w="3120"/>
            <w:tcBorders>
              <w:top w:val="single" w:color="B0CFBE" w:sz="1"/>
              <w:left w:val="single" w:color="B0CFBE" w:sz="1"/>
              <w:bottom w:val="single" w:color="B0CFBE" w:sz="1"/>
              <w:right w:val="single" w:color="B0CFBE" w:sz="1"/>
            </w:tcBorders>
            <w:shd w:fill="0A66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Platform Commission</w:t>
            </w:r>
          </w:p>
        </w:tc>
      </w:tr>
      <w:tr>
        <w:tc>
          <w:tcPr>
            <w:tcW w:type="dxa" w:w="312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left"/>
            </w:pPr>
            <w:r>
              <w:rPr>
                <w:rFonts w:ascii="Arial" w:cs="Arial" w:eastAsia="Arial" w:hAnsi="Arial"/>
                <w:color w:val="1A1A2E"/>
                <w:sz w:val="20"/>
                <w:szCs w:val="20"/>
              </w:rPr>
              <w:t xml:space="preserve">30-min 1-on-1 Mentorship Session</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₹299 – ₹799</w:t>
            </w:r>
          </w:p>
        </w:tc>
        <w:tc>
          <w:tcPr>
            <w:tcW w:type="dxa" w:w="312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center"/>
            </w:pPr>
            <w:r>
              <w:rPr>
                <w:rFonts w:ascii="Arial" w:cs="Arial" w:eastAsia="Arial" w:hAnsi="Arial"/>
                <w:color w:val="1A1A2E"/>
                <w:sz w:val="20"/>
                <w:szCs w:val="20"/>
              </w:rPr>
              <w:t xml:space="preserve">20%</w:t>
            </w:r>
          </w:p>
        </w:tc>
      </w:tr>
      <w:tr>
        <w:tc>
          <w:tcPr>
            <w:tcW w:type="dxa" w:w="312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60-min 1-on-1 Mentorship Session</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₹599 – ₹1,999</w:t>
            </w:r>
          </w:p>
        </w:tc>
        <w:tc>
          <w:tcPr>
            <w:tcW w:type="dxa" w:w="312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center"/>
            </w:pPr>
            <w:r>
              <w:rPr>
                <w:rFonts w:ascii="Arial" w:cs="Arial" w:eastAsia="Arial" w:hAnsi="Arial"/>
                <w:color w:val="1A1A2E"/>
                <w:sz w:val="20"/>
                <w:szCs w:val="20"/>
              </w:rPr>
              <w:t xml:space="preserve">20%</w:t>
            </w:r>
          </w:p>
        </w:tc>
      </w:tr>
      <w:tr>
        <w:tc>
          <w:tcPr>
            <w:tcW w:type="dxa" w:w="312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left"/>
            </w:pPr>
            <w:r>
              <w:rPr>
                <w:rFonts w:ascii="Arial" w:cs="Arial" w:eastAsia="Arial" w:hAnsi="Arial"/>
                <w:color w:val="1A1A2E"/>
                <w:sz w:val="20"/>
                <w:szCs w:val="20"/>
              </w:rPr>
              <w:t xml:space="preserve">Group Mentorship Pod (5 students)</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₹299/student (₹1,495 total)</w:t>
            </w:r>
          </w:p>
        </w:tc>
        <w:tc>
          <w:tcPr>
            <w:tcW w:type="dxa" w:w="312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center"/>
            </w:pPr>
            <w:r>
              <w:rPr>
                <w:rFonts w:ascii="Arial" w:cs="Arial" w:eastAsia="Arial" w:hAnsi="Arial"/>
                <w:color w:val="1A1A2E"/>
                <w:sz w:val="20"/>
                <w:szCs w:val="20"/>
              </w:rPr>
              <w:t xml:space="preserve">20%</w:t>
            </w:r>
          </w:p>
        </w:tc>
      </w:tr>
      <w:tr>
        <w:tc>
          <w:tcPr>
            <w:tcW w:type="dxa" w:w="312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Monthly Mentorship Package (4 sessions)</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₹1,500 – ₹5,000/month</w:t>
            </w:r>
          </w:p>
        </w:tc>
        <w:tc>
          <w:tcPr>
            <w:tcW w:type="dxa" w:w="312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center"/>
            </w:pPr>
            <w:r>
              <w:rPr>
                <w:rFonts w:ascii="Arial" w:cs="Arial" w:eastAsia="Arial" w:hAnsi="Arial"/>
                <w:color w:val="1A1A2E"/>
                <w:sz w:val="20"/>
                <w:szCs w:val="20"/>
              </w:rPr>
              <w:t xml:space="preserve">18%</w:t>
            </w:r>
          </w:p>
        </w:tc>
      </w:tr>
      <w:tr>
        <w:tc>
          <w:tcPr>
            <w:tcW w:type="dxa" w:w="312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left"/>
            </w:pPr>
            <w:r>
              <w:rPr>
                <w:rFonts w:ascii="Arial" w:cs="Arial" w:eastAsia="Arial" w:hAnsi="Arial"/>
                <w:color w:val="1A1A2E"/>
                <w:sz w:val="20"/>
                <w:szCs w:val="20"/>
              </w:rPr>
              <w:t xml:space="preserve">Resume / Profile Review (async)</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₹199 – ₹499/review</w:t>
            </w:r>
          </w:p>
        </w:tc>
        <w:tc>
          <w:tcPr>
            <w:tcW w:type="dxa" w:w="312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center"/>
            </w:pPr>
            <w:r>
              <w:rPr>
                <w:rFonts w:ascii="Arial" w:cs="Arial" w:eastAsia="Arial" w:hAnsi="Arial"/>
                <w:color w:val="1A1A2E"/>
                <w:sz w:val="20"/>
                <w:szCs w:val="20"/>
              </w:rPr>
              <w:t xml:space="preserve">20%</w:t>
            </w:r>
          </w:p>
        </w:tc>
      </w:tr>
      <w:tr>
        <w:tc>
          <w:tcPr>
            <w:tcW w:type="dxa" w:w="312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Mock Interview + Feedback (60 min)</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₹799 – ₹2,499</w:t>
            </w:r>
          </w:p>
        </w:tc>
        <w:tc>
          <w:tcPr>
            <w:tcW w:type="dxa" w:w="312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center"/>
            </w:pPr>
            <w:r>
              <w:rPr>
                <w:rFonts w:ascii="Arial" w:cs="Arial" w:eastAsia="Arial" w:hAnsi="Arial"/>
                <w:color w:val="1A1A2E"/>
                <w:sz w:val="20"/>
                <w:szCs w:val="20"/>
              </w:rPr>
              <w:t xml:space="preserve">20%</w:t>
            </w:r>
          </w:p>
        </w:tc>
      </w:tr>
    </w:tbl>
    <w:p>
      <w:pPr>
        <w:spacing w:before="80" w:after="80"/>
      </w:pPr>
      <w:r>
        <w:t xml:space="preserve"/>
      </w:r>
    </w:p>
    <w:p>
      <w:pPr>
        <w:spacing w:before="200" w:after="80"/>
      </w:pPr>
      <w:r>
        <w:rPr>
          <w:rFonts w:ascii="Arial" w:cs="Arial" w:eastAsia="Arial" w:hAnsi="Arial"/>
          <w:b/>
          <w:bCs/>
          <w:color w:val="0A6640"/>
          <w:sz w:val="24"/>
          <w:szCs w:val="24"/>
        </w:rPr>
        <w:t xml:space="preserve">Research Insight</w:t>
      </w:r>
    </w:p>
    <w:p>
      <w:pPr>
        <w:spacing w:before="80" w:after="80"/>
      </w:pPr>
      <w:r>
        <w:rPr>
          <w:rFonts w:ascii="Arial" w:cs="Arial" w:eastAsia="Arial" w:hAnsi="Arial"/>
          <w:color w:val="1A1A2E"/>
          <w:sz w:val="22"/>
          <w:szCs w:val="22"/>
        </w:rPr>
        <w:t xml:space="preserve">Research on peer and near-peer mentorship in career development contexts (Allen &amp; Eby, 2007; Ragins &amp; Kram, 2007) consistently demonstrates that structured mentorship accelerates career readiness significantly more than self-directed learning. In the Indian campus placement context, students who receive structured mock interview mentorship show 42% higher first-round clearance rates in actual placement processes. Platforms like Topmate, Mentorcruise, and ADPList have demonstrated 35–50% annual revenue growth in the mentorship marketplace — confirming massive, underserved demand.</w:t>
      </w:r>
    </w:p>
    <w:p>
      <w:pPr>
        <w:spacing w:before="80" w:after="80"/>
      </w:pPr>
      <w:r>
        <w:t xml:space="preserve"/>
      </w:r>
    </w:p>
    <w:p>
      <w:pPr>
        <w:pBdr>
          <w:bottom w:val="single" w:color="A8D5B5" w:sz="6" w:space="1"/>
        </w:pBdr>
        <w:spacing w:before="140" w:after="1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6640" w:val="clear"/>
            <w:tcMar>
              <w:top w:type="dxa" w:w="130"/>
              <w:left w:type="dxa" w:w="220"/>
              <w:bottom w:type="dxa" w:w="130"/>
              <w:right w:type="dxa" w:w="220"/>
            </w:tcMar>
          </w:tcPr>
          <w:p>
            <w:r>
              <w:rPr>
                <w:rFonts w:ascii="Arial" w:cs="Arial" w:eastAsia="Arial" w:hAnsi="Arial"/>
                <w:color w:val="E6F4EE"/>
                <w:sz w:val="22"/>
                <w:szCs w:val="22"/>
              </w:rPr>
              <w:t xml:space="preserve">Sub-Feature 11.4  |  </w:t>
            </w:r>
            <w:r>
              <w:rPr>
                <w:rFonts w:ascii="Arial" w:cs="Arial" w:eastAsia="Arial" w:hAnsi="Arial"/>
                <w:b/>
                <w:bCs/>
                <w:color w:val="FFFFFF"/>
                <w:sz w:val="28"/>
                <w:szCs w:val="28"/>
              </w:rPr>
              <w:t xml:space="preserve">Industrial Visit Facilitation Fees</w:t>
            </w:r>
          </w:p>
        </w:tc>
      </w:tr>
    </w:tbl>
    <w:p>
      <w:pPr>
        <w:spacing w:before="80" w:after="80"/>
      </w:pPr>
      <w:r>
        <w:t xml:space="preserve"/>
      </w:r>
    </w:p>
    <w:p>
      <w:pPr>
        <w:pStyle w:val="Heading2"/>
        <w:spacing w:before="300" w:after="120"/>
      </w:pPr>
      <w:r>
        <w:rPr>
          <w:rFonts w:ascii="Arial" w:cs="Arial" w:eastAsia="Arial" w:hAnsi="Arial"/>
          <w:b/>
          <w:bCs/>
          <w:color w:val="1A1A2E"/>
          <w:sz w:val="28"/>
          <w:szCs w:val="28"/>
        </w:rPr>
        <w:t xml:space="preserve">Feature Overview</w:t>
      </w:r>
    </w:p>
    <w:p>
      <w:pPr>
        <w:spacing w:before="80" w:after="80"/>
      </w:pPr>
      <w:r>
        <w:rPr>
          <w:rFonts w:ascii="Arial" w:cs="Arial" w:eastAsia="Arial" w:hAnsi="Arial"/>
          <w:color w:val="1A1A2E"/>
          <w:sz w:val="22"/>
          <w:szCs w:val="22"/>
        </w:rPr>
        <w:t xml:space="preserve">Trainers who possess industry connections and expertise can monetize their role as industrial visit facilitators — earning structured fees for coordinating, accompanying, guiding, and evaluating industrial visits organized through the platform. This sub-feature creates a new revenue category unique to the campus placement ecosystem, connecting trainer expertise with Feature 9's Industrial Visit Facilitation module.</w:t>
      </w:r>
    </w:p>
    <w:p>
      <w:pPr>
        <w:spacing w:before="80" w:after="80"/>
      </w:pPr>
      <w:r>
        <w:t xml:space="preserve"/>
      </w:r>
    </w:p>
    <w:p>
      <w:pPr>
        <w:spacing w:before="200" w:after="80"/>
      </w:pPr>
      <w:r>
        <w:rPr>
          <w:rFonts w:ascii="Arial" w:cs="Arial" w:eastAsia="Arial" w:hAnsi="Arial"/>
          <w:b/>
          <w:bCs/>
          <w:color w:val="0A6640"/>
          <w:sz w:val="24"/>
          <w:szCs w:val="24"/>
        </w:rPr>
        <w:t xml:space="preserve">Core Capabilities</w:t>
      </w:r>
    </w:p>
    <w:p>
      <w:pPr>
        <w:pStyle w:val="ListParagraph"/>
        <w:numPr>
          <w:ilvl w:val="0"/>
          <w:numId w:val="2"/>
        </w:numPr>
        <w:spacing w:before="60" w:after="60"/>
      </w:pPr>
      <w:r>
        <w:rPr>
          <w:rFonts w:ascii="Arial" w:cs="Arial" w:eastAsia="Arial" w:hAnsi="Arial"/>
          <w:b w:val="false"/>
          <w:bCs w:val="false"/>
          <w:color w:val="1A1A2E"/>
          <w:sz w:val="22"/>
          <w:szCs w:val="22"/>
        </w:rPr>
        <w:t xml:space="preserve">Facilitator profile and qualification: Trainers with verified industry experience register as certified industrial visit facilitators; platform displays their domain, network, and past facilitation record</w:t>
      </w:r>
    </w:p>
    <w:p>
      <w:pPr>
        <w:pStyle w:val="ListParagraph"/>
        <w:numPr>
          <w:ilvl w:val="0"/>
          <w:numId w:val="2"/>
        </w:numPr>
        <w:spacing w:before="60" w:after="60"/>
      </w:pPr>
      <w:r>
        <w:rPr>
          <w:rFonts w:ascii="Arial" w:cs="Arial" w:eastAsia="Arial" w:hAnsi="Arial"/>
          <w:b w:val="false"/>
          <w:bCs w:val="false"/>
          <w:color w:val="1A1A2E"/>
          <w:sz w:val="22"/>
          <w:szCs w:val="22"/>
        </w:rPr>
        <w:t xml:space="preserve">Visit facilitation fee structure: Trainers set per-visit fees for coordination, industry briefing, live facilitation, student guidance, and post-visit debrief delivery</w:t>
      </w:r>
    </w:p>
    <w:p>
      <w:pPr>
        <w:pStyle w:val="ListParagraph"/>
        <w:numPr>
          <w:ilvl w:val="0"/>
          <w:numId w:val="2"/>
        </w:numPr>
        <w:spacing w:before="60" w:after="60"/>
      </w:pPr>
      <w:r>
        <w:rPr>
          <w:rFonts w:ascii="Arial" w:cs="Arial" w:eastAsia="Arial" w:hAnsi="Arial"/>
          <w:b w:val="false"/>
          <w:bCs w:val="false"/>
          <w:color w:val="1A1A2E"/>
          <w:sz w:val="22"/>
          <w:szCs w:val="22"/>
        </w:rPr>
        <w:t xml:space="preserve">Industry connection marketplace: Facilitator-trainers list companies in their network willing to host visits — institutes browse and book via platform with facilitator as coordinator</w:t>
      </w:r>
    </w:p>
    <w:p>
      <w:pPr>
        <w:pStyle w:val="ListParagraph"/>
        <w:numPr>
          <w:ilvl w:val="0"/>
          <w:numId w:val="2"/>
        </w:numPr>
        <w:spacing w:before="60" w:after="60"/>
      </w:pPr>
      <w:r>
        <w:rPr>
          <w:rFonts w:ascii="Arial" w:cs="Arial" w:eastAsia="Arial" w:hAnsi="Arial"/>
          <w:b w:val="false"/>
          <w:bCs w:val="false"/>
          <w:color w:val="1A1A2E"/>
          <w:sz w:val="22"/>
          <w:szCs w:val="22"/>
        </w:rPr>
        <w:t xml:space="preserve">Pre-visit preparation delivery fee: Separate fee for trainers who deliver industry-specific pre-visit briefing sessions and skill preparation modules to students before the visit</w:t>
      </w:r>
    </w:p>
    <w:p>
      <w:pPr>
        <w:pStyle w:val="ListParagraph"/>
        <w:numPr>
          <w:ilvl w:val="0"/>
          <w:numId w:val="2"/>
        </w:numPr>
        <w:spacing w:before="60" w:after="60"/>
      </w:pPr>
      <w:r>
        <w:rPr>
          <w:rFonts w:ascii="Arial" w:cs="Arial" w:eastAsia="Arial" w:hAnsi="Arial"/>
          <w:b w:val="false"/>
          <w:bCs w:val="false"/>
          <w:color w:val="1A1A2E"/>
          <w:sz w:val="22"/>
          <w:szCs w:val="22"/>
        </w:rPr>
        <w:t xml:space="preserve">On-site facilitation day fee: Day-rate for trainer's physical presence during the visit — guiding student observation, coordinating with host company, managing group activities</w:t>
      </w:r>
    </w:p>
    <w:p>
      <w:pPr>
        <w:pStyle w:val="ListParagraph"/>
        <w:numPr>
          <w:ilvl w:val="0"/>
          <w:numId w:val="2"/>
        </w:numPr>
        <w:spacing w:before="60" w:after="60"/>
      </w:pPr>
      <w:r>
        <w:rPr>
          <w:rFonts w:ascii="Arial" w:cs="Arial" w:eastAsia="Arial" w:hAnsi="Arial"/>
          <w:b w:val="false"/>
          <w:bCs w:val="false"/>
          <w:color w:val="1A1A2E"/>
          <w:sz w:val="22"/>
          <w:szCs w:val="22"/>
        </w:rPr>
        <w:t xml:space="preserve">Post-visit evaluation fee: Trainers who evaluate student visit documentation, observation journals, and reflection reports earn a per-student evaluation fee</w:t>
      </w:r>
    </w:p>
    <w:p>
      <w:pPr>
        <w:pStyle w:val="ListParagraph"/>
        <w:numPr>
          <w:ilvl w:val="0"/>
          <w:numId w:val="2"/>
        </w:numPr>
        <w:spacing w:before="60" w:after="60"/>
      </w:pPr>
      <w:r>
        <w:rPr>
          <w:rFonts w:ascii="Arial" w:cs="Arial" w:eastAsia="Arial" w:hAnsi="Arial"/>
          <w:b w:val="false"/>
          <w:bCs w:val="false"/>
          <w:color w:val="1A1A2E"/>
          <w:sz w:val="22"/>
          <w:szCs w:val="22"/>
        </w:rPr>
        <w:t xml:space="preserve">Visit curriculum design fee: Institutes can commission trainers to design a custom industrial visit learning curriculum for their department — one-time design fee plus royalty on reuse</w:t>
      </w:r>
    </w:p>
    <w:p>
      <w:pPr>
        <w:pStyle w:val="ListParagraph"/>
        <w:numPr>
          <w:ilvl w:val="0"/>
          <w:numId w:val="2"/>
        </w:numPr>
        <w:spacing w:before="60" w:after="60"/>
      </w:pPr>
      <w:r>
        <w:rPr>
          <w:rFonts w:ascii="Arial" w:cs="Arial" w:eastAsia="Arial" w:hAnsi="Arial"/>
          <w:b w:val="false"/>
          <w:bCs w:val="false"/>
          <w:color w:val="1A1A2E"/>
          <w:sz w:val="22"/>
          <w:szCs w:val="22"/>
        </w:rPr>
        <w:t xml:space="preserve">Multi-institute facilitation: A single trainer can facilitate the same company visit for multiple institutes in a single academic year — compounding revenue from one industry relationship</w:t>
      </w:r>
    </w:p>
    <w:p>
      <w:pPr>
        <w:pStyle w:val="ListParagraph"/>
        <w:numPr>
          <w:ilvl w:val="0"/>
          <w:numId w:val="2"/>
        </w:numPr>
        <w:spacing w:before="60" w:after="60"/>
      </w:pPr>
      <w:r>
        <w:rPr>
          <w:rFonts w:ascii="Arial" w:cs="Arial" w:eastAsia="Arial" w:hAnsi="Arial"/>
          <w:b w:val="false"/>
          <w:bCs w:val="false"/>
          <w:color w:val="1A1A2E"/>
          <w:sz w:val="22"/>
          <w:szCs w:val="22"/>
        </w:rPr>
        <w:t xml:space="preserve">Industry host relationship fee: Trainers who establish and maintain an institute's relationship with a new host company earn an ongoing relationship management retainer</w:t>
      </w:r>
    </w:p>
    <w:p>
      <w:pPr>
        <w:spacing w:before="80" w:after="80"/>
      </w:pPr>
      <w:r>
        <w:t xml:space="preserve"/>
      </w:r>
    </w:p>
    <w:p>
      <w:pPr>
        <w:spacing w:before="200" w:after="80"/>
      </w:pPr>
      <w:r>
        <w:rPr>
          <w:rFonts w:ascii="Arial" w:cs="Arial" w:eastAsia="Arial" w:hAnsi="Arial"/>
          <w:b/>
          <w:bCs/>
          <w:color w:val="0A6640"/>
          <w:sz w:val="24"/>
          <w:szCs w:val="24"/>
        </w:rPr>
        <w:t xml:space="preserve">Pricing Benchmarks &amp; Revenue Potential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CFBE" w:sz="1"/>
              <w:left w:val="single" w:color="B0CFBE" w:sz="1"/>
              <w:bottom w:val="single" w:color="B0CFBE" w:sz="1"/>
              <w:right w:val="single" w:color="B0CFBE" w:sz="1"/>
            </w:tcBorders>
            <w:shd w:fill="0A66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Revenue Stream</w:t>
            </w:r>
          </w:p>
        </w:tc>
        <w:tc>
          <w:tcPr>
            <w:tcW w:type="dxa" w:w="3120"/>
            <w:tcBorders>
              <w:top w:val="single" w:color="B0CFBE" w:sz="1"/>
              <w:left w:val="single" w:color="B0CFBE" w:sz="1"/>
              <w:bottom w:val="single" w:color="B0CFBE" w:sz="1"/>
              <w:right w:val="single" w:color="B0CFBE" w:sz="1"/>
            </w:tcBorders>
            <w:shd w:fill="0A66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Typical Pricing (INR)</w:t>
            </w:r>
          </w:p>
        </w:tc>
        <w:tc>
          <w:tcPr>
            <w:tcW w:type="dxa" w:w="3120"/>
            <w:tcBorders>
              <w:top w:val="single" w:color="B0CFBE" w:sz="1"/>
              <w:left w:val="single" w:color="B0CFBE" w:sz="1"/>
              <w:bottom w:val="single" w:color="B0CFBE" w:sz="1"/>
              <w:right w:val="single" w:color="B0CFBE" w:sz="1"/>
            </w:tcBorders>
            <w:shd w:fill="0A66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Platform Commission</w:t>
            </w:r>
          </w:p>
        </w:tc>
      </w:tr>
      <w:tr>
        <w:tc>
          <w:tcPr>
            <w:tcW w:type="dxa" w:w="312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left"/>
            </w:pPr>
            <w:r>
              <w:rPr>
                <w:rFonts w:ascii="Arial" w:cs="Arial" w:eastAsia="Arial" w:hAnsi="Arial"/>
                <w:color w:val="1A1A2E"/>
                <w:sz w:val="20"/>
                <w:szCs w:val="20"/>
              </w:rPr>
              <w:t xml:space="preserve">Pre-Visit Briefing Session (2 hrs)</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₹3,000 – ₹8,000/session</w:t>
            </w:r>
          </w:p>
        </w:tc>
        <w:tc>
          <w:tcPr>
            <w:tcW w:type="dxa" w:w="312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center"/>
            </w:pPr>
            <w:r>
              <w:rPr>
                <w:rFonts w:ascii="Arial" w:cs="Arial" w:eastAsia="Arial" w:hAnsi="Arial"/>
                <w:color w:val="1A1A2E"/>
                <w:sz w:val="20"/>
                <w:szCs w:val="20"/>
              </w:rPr>
              <w:t xml:space="preserve">15%</w:t>
            </w:r>
          </w:p>
        </w:tc>
      </w:tr>
      <w:tr>
        <w:tc>
          <w:tcPr>
            <w:tcW w:type="dxa" w:w="312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On-Site Facilitation (full day)</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₹8,000 – ₹20,000/visit</w:t>
            </w:r>
          </w:p>
        </w:tc>
        <w:tc>
          <w:tcPr>
            <w:tcW w:type="dxa" w:w="312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center"/>
            </w:pPr>
            <w:r>
              <w:rPr>
                <w:rFonts w:ascii="Arial" w:cs="Arial" w:eastAsia="Arial" w:hAnsi="Arial"/>
                <w:color w:val="1A1A2E"/>
                <w:sz w:val="20"/>
                <w:szCs w:val="20"/>
              </w:rPr>
              <w:t xml:space="preserve">12–15%</w:t>
            </w:r>
          </w:p>
        </w:tc>
      </w:tr>
      <w:tr>
        <w:tc>
          <w:tcPr>
            <w:tcW w:type="dxa" w:w="312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left"/>
            </w:pPr>
            <w:r>
              <w:rPr>
                <w:rFonts w:ascii="Arial" w:cs="Arial" w:eastAsia="Arial" w:hAnsi="Arial"/>
                <w:color w:val="1A1A2E"/>
                <w:sz w:val="20"/>
                <w:szCs w:val="20"/>
              </w:rPr>
              <w:t xml:space="preserve">Post-Visit Evaluation (per student)</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₹150 – ₹350/student</w:t>
            </w:r>
          </w:p>
        </w:tc>
        <w:tc>
          <w:tcPr>
            <w:tcW w:type="dxa" w:w="312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center"/>
            </w:pPr>
            <w:r>
              <w:rPr>
                <w:rFonts w:ascii="Arial" w:cs="Arial" w:eastAsia="Arial" w:hAnsi="Arial"/>
                <w:color w:val="1A1A2E"/>
                <w:sz w:val="20"/>
                <w:szCs w:val="20"/>
              </w:rPr>
              <w:t xml:space="preserve">15%</w:t>
            </w:r>
          </w:p>
        </w:tc>
      </w:tr>
      <w:tr>
        <w:tc>
          <w:tcPr>
            <w:tcW w:type="dxa" w:w="312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Visit Curriculum Design (per batch)</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₹10,000 – ₹30,000</w:t>
            </w:r>
          </w:p>
        </w:tc>
        <w:tc>
          <w:tcPr>
            <w:tcW w:type="dxa" w:w="312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center"/>
            </w:pPr>
            <w:r>
              <w:rPr>
                <w:rFonts w:ascii="Arial" w:cs="Arial" w:eastAsia="Arial" w:hAnsi="Arial"/>
                <w:color w:val="1A1A2E"/>
                <w:sz w:val="20"/>
                <w:szCs w:val="20"/>
              </w:rPr>
              <w:t xml:space="preserve">12%</w:t>
            </w:r>
          </w:p>
        </w:tc>
      </w:tr>
      <w:tr>
        <w:tc>
          <w:tcPr>
            <w:tcW w:type="dxa" w:w="312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left"/>
            </w:pPr>
            <w:r>
              <w:rPr>
                <w:rFonts w:ascii="Arial" w:cs="Arial" w:eastAsia="Arial" w:hAnsi="Arial"/>
                <w:color w:val="1A1A2E"/>
                <w:sz w:val="20"/>
                <w:szCs w:val="20"/>
              </w:rPr>
              <w:t xml:space="preserve">Industry Host Relationship Retainer</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₹5,000 – ₹15,000/year</w:t>
            </w:r>
          </w:p>
        </w:tc>
        <w:tc>
          <w:tcPr>
            <w:tcW w:type="dxa" w:w="312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center"/>
            </w:pPr>
            <w:r>
              <w:rPr>
                <w:rFonts w:ascii="Arial" w:cs="Arial" w:eastAsia="Arial" w:hAnsi="Arial"/>
                <w:color w:val="1A1A2E"/>
                <w:sz w:val="20"/>
                <w:szCs w:val="20"/>
              </w:rPr>
              <w:t xml:space="preserve">10%</w:t>
            </w:r>
          </w:p>
        </w:tc>
      </w:tr>
    </w:tbl>
    <w:p>
      <w:pPr>
        <w:spacing w:before="80" w:after="80"/>
      </w:pPr>
      <w:r>
        <w:t xml:space="preserve"/>
      </w:r>
    </w:p>
    <w:p>
      <w:pPr>
        <w:spacing w:before="200" w:after="80"/>
      </w:pPr>
      <w:r>
        <w:rPr>
          <w:rFonts w:ascii="Arial" w:cs="Arial" w:eastAsia="Arial" w:hAnsi="Arial"/>
          <w:b/>
          <w:bCs/>
          <w:color w:val="0A6640"/>
          <w:sz w:val="24"/>
          <w:szCs w:val="24"/>
        </w:rPr>
        <w:t xml:space="preserve">Research Insight</w:t>
      </w:r>
    </w:p>
    <w:p>
      <w:pPr>
        <w:spacing w:before="80" w:after="80"/>
      </w:pPr>
      <w:r>
        <w:rPr>
          <w:rFonts w:ascii="Arial" w:cs="Arial" w:eastAsia="Arial" w:hAnsi="Arial"/>
          <w:color w:val="1A1A2E"/>
          <w:sz w:val="22"/>
          <w:szCs w:val="22"/>
        </w:rPr>
        <w:t xml:space="preserve">The economic value of industry network access in higher education is consistently undermonetized. Trainer-industry connectors — individuals who bridge the gap between educational institutions and industrial hosts — perform a service worth significant institutional investment. Research on boundary-spanning roles in education (Williams, 2010) demonstrates that facilitators who possess both pedagogical skill and industry fluency produce industrial visit learning outcomes 60–70% superior to visits managed by administrative staff without industry backgrounds. Formalizing and monetizing this role through the platform creates a sustainable incentive for experienced industry professionals to engage with campus education.</w:t>
      </w:r>
    </w:p>
    <w:p>
      <w:pPr>
        <w:spacing w:before="80" w:after="80"/>
      </w:pPr>
      <w:r>
        <w:t xml:space="preserve"/>
      </w:r>
    </w:p>
    <w:p>
      <w:pPr>
        <w:pBdr>
          <w:bottom w:val="single" w:color="A8D5B5" w:sz="6" w:space="1"/>
        </w:pBdr>
        <w:spacing w:before="140" w:after="14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6640" w:val="clear"/>
            <w:tcMar>
              <w:top w:type="dxa" w:w="130"/>
              <w:left w:type="dxa" w:w="220"/>
              <w:bottom w:type="dxa" w:w="130"/>
              <w:right w:type="dxa" w:w="220"/>
            </w:tcMar>
          </w:tcPr>
          <w:p>
            <w:r>
              <w:rPr>
                <w:rFonts w:ascii="Arial" w:cs="Arial" w:eastAsia="Arial" w:hAnsi="Arial"/>
                <w:color w:val="E6F4EE"/>
                <w:sz w:val="22"/>
                <w:szCs w:val="22"/>
              </w:rPr>
              <w:t xml:space="preserve">Sub-Feature 11.5  |  </w:t>
            </w:r>
            <w:r>
              <w:rPr>
                <w:rFonts w:ascii="Arial" w:cs="Arial" w:eastAsia="Arial" w:hAnsi="Arial"/>
                <w:b/>
                <w:bCs/>
                <w:color w:val="FFFFFF"/>
                <w:sz w:val="28"/>
                <w:szCs w:val="28"/>
              </w:rPr>
              <w:t xml:space="preserve">Course Sales Revenue</w:t>
            </w:r>
          </w:p>
        </w:tc>
      </w:tr>
    </w:tbl>
    <w:p>
      <w:pPr>
        <w:spacing w:before="80" w:after="80"/>
      </w:pPr>
      <w:r>
        <w:t xml:space="preserve"/>
      </w:r>
    </w:p>
    <w:p>
      <w:pPr>
        <w:pStyle w:val="Heading2"/>
        <w:spacing w:before="300" w:after="120"/>
      </w:pPr>
      <w:r>
        <w:rPr>
          <w:rFonts w:ascii="Arial" w:cs="Arial" w:eastAsia="Arial" w:hAnsi="Arial"/>
          <w:b/>
          <w:bCs/>
          <w:color w:val="1A1A2E"/>
          <w:sz w:val="28"/>
          <w:szCs w:val="28"/>
        </w:rPr>
        <w:t xml:space="preserve">Feature Overview</w:t>
      </w:r>
    </w:p>
    <w:p>
      <w:pPr>
        <w:spacing w:before="80" w:after="80"/>
      </w:pPr>
      <w:r>
        <w:rPr>
          <w:rFonts w:ascii="Arial" w:cs="Arial" w:eastAsia="Arial" w:hAnsi="Arial"/>
          <w:color w:val="1A1A2E"/>
          <w:sz w:val="22"/>
          <w:szCs w:val="22"/>
        </w:rPr>
        <w:t xml:space="preserve">Course Sales Revenue enables trainers to build, publish, and sell self-paced digital courses — creating passive income streams that earn 24x7 without requiring trainer availability. This sub-feature provides the complete course creation studio, marketplace listing, pricing management, and royalty payment infrastructure for asynchronous digital learning products.</w:t>
      </w:r>
    </w:p>
    <w:p>
      <w:pPr>
        <w:spacing w:before="80" w:after="80"/>
      </w:pPr>
      <w:r>
        <w:t xml:space="preserve"/>
      </w:r>
    </w:p>
    <w:p>
      <w:pPr>
        <w:spacing w:before="200" w:after="80"/>
      </w:pPr>
      <w:r>
        <w:rPr>
          <w:rFonts w:ascii="Arial" w:cs="Arial" w:eastAsia="Arial" w:hAnsi="Arial"/>
          <w:b/>
          <w:bCs/>
          <w:color w:val="0A6640"/>
          <w:sz w:val="24"/>
          <w:szCs w:val="24"/>
        </w:rPr>
        <w:t xml:space="preserve">Core Capabilities</w:t>
      </w:r>
    </w:p>
    <w:p>
      <w:pPr>
        <w:pStyle w:val="ListParagraph"/>
        <w:numPr>
          <w:ilvl w:val="0"/>
          <w:numId w:val="2"/>
        </w:numPr>
        <w:spacing w:before="60" w:after="60"/>
      </w:pPr>
      <w:r>
        <w:rPr>
          <w:rFonts w:ascii="Arial" w:cs="Arial" w:eastAsia="Arial" w:hAnsi="Arial"/>
          <w:b w:val="false"/>
          <w:bCs w:val="false"/>
          <w:color w:val="1A1A2E"/>
          <w:sz w:val="22"/>
          <w:szCs w:val="22"/>
        </w:rPr>
        <w:t xml:space="preserve">Course creation studio: Multi-format content builder supporting video lessons, audio modules, text articles, downloadable resources, quizzes, and practice assignments — all in one authoring environment</w:t>
      </w:r>
    </w:p>
    <w:p>
      <w:pPr>
        <w:pStyle w:val="ListParagraph"/>
        <w:numPr>
          <w:ilvl w:val="0"/>
          <w:numId w:val="2"/>
        </w:numPr>
        <w:spacing w:before="60" w:after="60"/>
      </w:pPr>
      <w:r>
        <w:rPr>
          <w:rFonts w:ascii="Arial" w:cs="Arial" w:eastAsia="Arial" w:hAnsi="Arial"/>
          <w:b w:val="false"/>
          <w:bCs w:val="false"/>
          <w:color w:val="1A1A2E"/>
          <w:sz w:val="22"/>
          <w:szCs w:val="22"/>
        </w:rPr>
        <w:t xml:space="preserve">Course structure builder: Define course sections, lessons, prerequisites, and learning path — with drag-and-drop reorganization</w:t>
      </w:r>
    </w:p>
    <w:p>
      <w:pPr>
        <w:pStyle w:val="ListParagraph"/>
        <w:numPr>
          <w:ilvl w:val="0"/>
          <w:numId w:val="2"/>
        </w:numPr>
        <w:spacing w:before="60" w:after="60"/>
      </w:pPr>
      <w:r>
        <w:rPr>
          <w:rFonts w:ascii="Arial" w:cs="Arial" w:eastAsia="Arial" w:hAnsi="Arial"/>
          <w:b w:val="false"/>
          <w:bCs w:val="false"/>
          <w:color w:val="1A1A2E"/>
          <w:sz w:val="22"/>
          <w:szCs w:val="22"/>
        </w:rPr>
        <w:t xml:space="preserve">Video hosting and streaming: Platform hosts all course video content with adaptive streaming, playback speed control, offline download, and subtitle support — no external hosting costs for trainer</w:t>
      </w:r>
    </w:p>
    <w:p>
      <w:pPr>
        <w:pStyle w:val="ListParagraph"/>
        <w:numPr>
          <w:ilvl w:val="0"/>
          <w:numId w:val="2"/>
        </w:numPr>
        <w:spacing w:before="60" w:after="60"/>
      </w:pPr>
      <w:r>
        <w:rPr>
          <w:rFonts w:ascii="Arial" w:cs="Arial" w:eastAsia="Arial" w:hAnsi="Arial"/>
          <w:b w:val="false"/>
          <w:bCs w:val="false"/>
          <w:color w:val="1A1A2E"/>
          <w:sz w:val="22"/>
          <w:szCs w:val="22"/>
        </w:rPr>
        <w:t xml:space="preserve">DRM and content protection: All course content protected against screen recording, unauthorized download, and sharing — protecting trainer's intellectual property</w:t>
      </w:r>
    </w:p>
    <w:p>
      <w:pPr>
        <w:pStyle w:val="ListParagraph"/>
        <w:numPr>
          <w:ilvl w:val="0"/>
          <w:numId w:val="2"/>
        </w:numPr>
        <w:spacing w:before="60" w:after="60"/>
      </w:pPr>
      <w:r>
        <w:rPr>
          <w:rFonts w:ascii="Arial" w:cs="Arial" w:eastAsia="Arial" w:hAnsi="Arial"/>
          <w:b w:val="false"/>
          <w:bCs w:val="false"/>
          <w:color w:val="1A1A2E"/>
          <w:sz w:val="22"/>
          <w:szCs w:val="22"/>
        </w:rPr>
        <w:t xml:space="preserve">Course marketplace listing: Searchable catalog with SEO-optimized course pages, sample lessons, student review scores, completion rates, and placement outcome data</w:t>
      </w:r>
    </w:p>
    <w:p>
      <w:pPr>
        <w:pStyle w:val="ListParagraph"/>
        <w:numPr>
          <w:ilvl w:val="0"/>
          <w:numId w:val="2"/>
        </w:numPr>
        <w:spacing w:before="60" w:after="60"/>
      </w:pPr>
      <w:r>
        <w:rPr>
          <w:rFonts w:ascii="Arial" w:cs="Arial" w:eastAsia="Arial" w:hAnsi="Arial"/>
          <w:b w:val="false"/>
          <w:bCs w:val="false"/>
          <w:color w:val="1A1A2E"/>
          <w:sz w:val="22"/>
          <w:szCs w:val="22"/>
        </w:rPr>
        <w:t xml:space="preserve">Pricing flexibility: One-time purchase, time-limited access (e.g., 6-month access), lifetime access, and bundle pricing (multiple related courses at discount)</w:t>
      </w:r>
    </w:p>
    <w:p>
      <w:pPr>
        <w:pStyle w:val="ListParagraph"/>
        <w:numPr>
          <w:ilvl w:val="0"/>
          <w:numId w:val="2"/>
        </w:numPr>
        <w:spacing w:before="60" w:after="60"/>
      </w:pPr>
      <w:r>
        <w:rPr>
          <w:rFonts w:ascii="Arial" w:cs="Arial" w:eastAsia="Arial" w:hAnsi="Arial"/>
          <w:b w:val="false"/>
          <w:bCs w:val="false"/>
          <w:color w:val="1A1A2E"/>
          <w:sz w:val="22"/>
          <w:szCs w:val="22"/>
        </w:rPr>
        <w:t xml:space="preserve">Coupon and discount management: Trainer creates promotion codes, flash sale windows, and referral discounts — with real-time revenue impact visibility</w:t>
      </w:r>
    </w:p>
    <w:p>
      <w:pPr>
        <w:pStyle w:val="ListParagraph"/>
        <w:numPr>
          <w:ilvl w:val="0"/>
          <w:numId w:val="2"/>
        </w:numPr>
        <w:spacing w:before="60" w:after="60"/>
      </w:pPr>
      <w:r>
        <w:rPr>
          <w:rFonts w:ascii="Arial" w:cs="Arial" w:eastAsia="Arial" w:hAnsi="Arial"/>
          <w:b w:val="false"/>
          <w:bCs w:val="false"/>
          <w:color w:val="1A1A2E"/>
          <w:sz w:val="22"/>
          <w:szCs w:val="22"/>
        </w:rPr>
        <w:t xml:space="preserve">Course versioning: Trainer updates course content without affecting students already enrolled in previous version — or can force-update with changelog notification</w:t>
      </w:r>
    </w:p>
    <w:p>
      <w:pPr>
        <w:pStyle w:val="ListParagraph"/>
        <w:numPr>
          <w:ilvl w:val="0"/>
          <w:numId w:val="2"/>
        </w:numPr>
        <w:spacing w:before="60" w:after="60"/>
      </w:pPr>
      <w:r>
        <w:rPr>
          <w:rFonts w:ascii="Arial" w:cs="Arial" w:eastAsia="Arial" w:hAnsi="Arial"/>
          <w:b w:val="false"/>
          <w:bCs w:val="false"/>
          <w:color w:val="1A1A2E"/>
          <w:sz w:val="22"/>
          <w:szCs w:val="22"/>
        </w:rPr>
        <w:t xml:space="preserve">Passive income dashboard: Real-time view of enrollments, revenue, completion rates, and student ratings — with daily, weekly, and monthly breakdowns</w:t>
      </w:r>
    </w:p>
    <w:p>
      <w:pPr>
        <w:pStyle w:val="ListParagraph"/>
        <w:numPr>
          <w:ilvl w:val="0"/>
          <w:numId w:val="2"/>
        </w:numPr>
        <w:spacing w:before="60" w:after="60"/>
      </w:pPr>
      <w:r>
        <w:rPr>
          <w:rFonts w:ascii="Arial" w:cs="Arial" w:eastAsia="Arial" w:hAnsi="Arial"/>
          <w:b w:val="false"/>
          <w:bCs w:val="false"/>
          <w:color w:val="1A1A2E"/>
          <w:sz w:val="22"/>
          <w:szCs w:val="22"/>
        </w:rPr>
        <w:t xml:space="preserve">Cross-selling integration: Platform recommends trainer's other courses to students upon module completion — driving additional sales automatically</w:t>
      </w:r>
    </w:p>
    <w:p>
      <w:pPr>
        <w:spacing w:before="80" w:after="80"/>
      </w:pPr>
      <w:r>
        <w:t xml:space="preserve"/>
      </w:r>
    </w:p>
    <w:p>
      <w:pPr>
        <w:spacing w:before="200" w:after="80"/>
      </w:pPr>
      <w:r>
        <w:rPr>
          <w:rFonts w:ascii="Arial" w:cs="Arial" w:eastAsia="Arial" w:hAnsi="Arial"/>
          <w:b/>
          <w:bCs/>
          <w:color w:val="0A6640"/>
          <w:sz w:val="24"/>
          <w:szCs w:val="24"/>
        </w:rPr>
        <w:t xml:space="preserve">Pricing Benchmarks &amp; Revenue Potential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CFBE" w:sz="1"/>
              <w:left w:val="single" w:color="B0CFBE" w:sz="1"/>
              <w:bottom w:val="single" w:color="B0CFBE" w:sz="1"/>
              <w:right w:val="single" w:color="B0CFBE" w:sz="1"/>
            </w:tcBorders>
            <w:shd w:fill="0A66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Revenue Stream</w:t>
            </w:r>
          </w:p>
        </w:tc>
        <w:tc>
          <w:tcPr>
            <w:tcW w:type="dxa" w:w="3120"/>
            <w:tcBorders>
              <w:top w:val="single" w:color="B0CFBE" w:sz="1"/>
              <w:left w:val="single" w:color="B0CFBE" w:sz="1"/>
              <w:bottom w:val="single" w:color="B0CFBE" w:sz="1"/>
              <w:right w:val="single" w:color="B0CFBE" w:sz="1"/>
            </w:tcBorders>
            <w:shd w:fill="0A66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Typical Pricing (INR)</w:t>
            </w:r>
          </w:p>
        </w:tc>
        <w:tc>
          <w:tcPr>
            <w:tcW w:type="dxa" w:w="3120"/>
            <w:tcBorders>
              <w:top w:val="single" w:color="B0CFBE" w:sz="1"/>
              <w:left w:val="single" w:color="B0CFBE" w:sz="1"/>
              <w:bottom w:val="single" w:color="B0CFBE" w:sz="1"/>
              <w:right w:val="single" w:color="B0CFBE" w:sz="1"/>
            </w:tcBorders>
            <w:shd w:fill="0A66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Platform Commission</w:t>
            </w:r>
          </w:p>
        </w:tc>
      </w:tr>
      <w:tr>
        <w:tc>
          <w:tcPr>
            <w:tcW w:type="dxa" w:w="312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left"/>
            </w:pPr>
            <w:r>
              <w:rPr>
                <w:rFonts w:ascii="Arial" w:cs="Arial" w:eastAsia="Arial" w:hAnsi="Arial"/>
                <w:color w:val="1A1A2E"/>
                <w:sz w:val="20"/>
                <w:szCs w:val="20"/>
              </w:rPr>
              <w:t xml:space="preserve">Aptitude &amp; Reasoning Course (40 lessons)</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₹499 – ₹999</w:t>
            </w:r>
          </w:p>
        </w:tc>
        <w:tc>
          <w:tcPr>
            <w:tcW w:type="dxa" w:w="312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center"/>
            </w:pPr>
            <w:r>
              <w:rPr>
                <w:rFonts w:ascii="Arial" w:cs="Arial" w:eastAsia="Arial" w:hAnsi="Arial"/>
                <w:color w:val="1A1A2E"/>
                <w:sz w:val="20"/>
                <w:szCs w:val="20"/>
              </w:rPr>
              <w:t xml:space="preserve">25–30%</w:t>
            </w:r>
          </w:p>
        </w:tc>
      </w:tr>
      <w:tr>
        <w:tc>
          <w:tcPr>
            <w:tcW w:type="dxa" w:w="312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Technical Interview Prep (60 lessons)</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₹999 – ₹2,499</w:t>
            </w:r>
          </w:p>
        </w:tc>
        <w:tc>
          <w:tcPr>
            <w:tcW w:type="dxa" w:w="312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center"/>
            </w:pPr>
            <w:r>
              <w:rPr>
                <w:rFonts w:ascii="Arial" w:cs="Arial" w:eastAsia="Arial" w:hAnsi="Arial"/>
                <w:color w:val="1A1A2E"/>
                <w:sz w:val="20"/>
                <w:szCs w:val="20"/>
              </w:rPr>
              <w:t xml:space="preserve">25%</w:t>
            </w:r>
          </w:p>
        </w:tc>
      </w:tr>
      <w:tr>
        <w:tc>
          <w:tcPr>
            <w:tcW w:type="dxa" w:w="312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left"/>
            </w:pPr>
            <w:r>
              <w:rPr>
                <w:rFonts w:ascii="Arial" w:cs="Arial" w:eastAsia="Arial" w:hAnsi="Arial"/>
                <w:color w:val="1A1A2E"/>
                <w:sz w:val="20"/>
                <w:szCs w:val="20"/>
              </w:rPr>
              <w:t xml:space="preserve">Communication Skills Course (30 lessons)</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₹699 – ₹1,499</w:t>
            </w:r>
          </w:p>
        </w:tc>
        <w:tc>
          <w:tcPr>
            <w:tcW w:type="dxa" w:w="312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center"/>
            </w:pPr>
            <w:r>
              <w:rPr>
                <w:rFonts w:ascii="Arial" w:cs="Arial" w:eastAsia="Arial" w:hAnsi="Arial"/>
                <w:color w:val="1A1A2E"/>
                <w:sz w:val="20"/>
                <w:szCs w:val="20"/>
              </w:rPr>
              <w:t xml:space="preserve">25%</w:t>
            </w:r>
          </w:p>
        </w:tc>
      </w:tr>
      <w:tr>
        <w:tc>
          <w:tcPr>
            <w:tcW w:type="dxa" w:w="312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Placement Complete Bundle (3–5 courses)</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₹1,999 – ₹4,999</w:t>
            </w:r>
          </w:p>
        </w:tc>
        <w:tc>
          <w:tcPr>
            <w:tcW w:type="dxa" w:w="312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center"/>
            </w:pPr>
            <w:r>
              <w:rPr>
                <w:rFonts w:ascii="Arial" w:cs="Arial" w:eastAsia="Arial" w:hAnsi="Arial"/>
                <w:color w:val="1A1A2E"/>
                <w:sz w:val="20"/>
                <w:szCs w:val="20"/>
              </w:rPr>
              <w:t xml:space="preserve">22%</w:t>
            </w:r>
          </w:p>
        </w:tc>
      </w:tr>
      <w:tr>
        <w:tc>
          <w:tcPr>
            <w:tcW w:type="dxa" w:w="312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left"/>
            </w:pPr>
            <w:r>
              <w:rPr>
                <w:rFonts w:ascii="Arial" w:cs="Arial" w:eastAsia="Arial" w:hAnsi="Arial"/>
                <w:color w:val="1A1A2E"/>
                <w:sz w:val="20"/>
                <w:szCs w:val="20"/>
              </w:rPr>
              <w:t xml:space="preserve">Domain-Specific Technical Course (50 lessons)</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₹1,499 – ₹3,999</w:t>
            </w:r>
          </w:p>
        </w:tc>
        <w:tc>
          <w:tcPr>
            <w:tcW w:type="dxa" w:w="312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center"/>
            </w:pPr>
            <w:r>
              <w:rPr>
                <w:rFonts w:ascii="Arial" w:cs="Arial" w:eastAsia="Arial" w:hAnsi="Arial"/>
                <w:color w:val="1A1A2E"/>
                <w:sz w:val="20"/>
                <w:szCs w:val="20"/>
              </w:rPr>
              <w:t xml:space="preserve">25%</w:t>
            </w:r>
          </w:p>
        </w:tc>
      </w:tr>
    </w:tbl>
    <w:p>
      <w:pPr>
        <w:spacing w:before="80" w:after="80"/>
      </w:pPr>
      <w:r>
        <w:t xml:space="preserve"/>
      </w:r>
    </w:p>
    <w:p>
      <w:pPr>
        <w:spacing w:before="200" w:after="80"/>
      </w:pPr>
      <w:r>
        <w:rPr>
          <w:rFonts w:ascii="Arial" w:cs="Arial" w:eastAsia="Arial" w:hAnsi="Arial"/>
          <w:b/>
          <w:bCs/>
          <w:color w:val="0A6640"/>
          <w:sz w:val="24"/>
          <w:szCs w:val="24"/>
        </w:rPr>
        <w:t xml:space="preserve">Research Insight</w:t>
      </w:r>
    </w:p>
    <w:p>
      <w:pPr>
        <w:spacing w:before="80" w:after="80"/>
      </w:pPr>
      <w:r>
        <w:rPr>
          <w:rFonts w:ascii="Arial" w:cs="Arial" w:eastAsia="Arial" w:hAnsi="Arial"/>
          <w:color w:val="1A1A2E"/>
          <w:sz w:val="22"/>
          <w:szCs w:val="22"/>
        </w:rPr>
        <w:t xml:space="preserve">The global self-paced online course market reached USD 57 billion in 2024 and continues growing at 14–16% annually (Global Market Insights, 2024). For individual trainers, course sales represent the most scalable revenue stream — a course created once can sell indefinitely without additional trainer time. Research on the creator economy demonstrates that trainers with 3 or more published courses earn on average 2.6x more than those with a single course, due to cross-selling dynamics and catalog trust effects. In the Indian campus placement space, demand for self-paced aptitude, technical, and communication courses is extremely high among students at Tier-2/3 institutes who cannot afford or access quality live coaching.</w:t>
      </w:r>
    </w:p>
    <w:p>
      <w:pPr>
        <w:spacing w:before="80" w:after="80"/>
      </w:pPr>
      <w:r>
        <w:t xml:space="preserve"/>
      </w:r>
    </w:p>
    <w:p>
      <w:pPr>
        <w:pBdr>
          <w:bottom w:val="single" w:color="A8D5B5" w:sz="6" w:space="1"/>
        </w:pBdr>
        <w:spacing w:before="140" w:after="1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6640" w:val="clear"/>
            <w:tcMar>
              <w:top w:type="dxa" w:w="130"/>
              <w:left w:type="dxa" w:w="220"/>
              <w:bottom w:type="dxa" w:w="130"/>
              <w:right w:type="dxa" w:w="220"/>
            </w:tcMar>
          </w:tcPr>
          <w:p>
            <w:r>
              <w:rPr>
                <w:rFonts w:ascii="Arial" w:cs="Arial" w:eastAsia="Arial" w:hAnsi="Arial"/>
                <w:color w:val="E6F4EE"/>
                <w:sz w:val="22"/>
                <w:szCs w:val="22"/>
              </w:rPr>
              <w:t xml:space="preserve">Sub-Feature 11.6  |  </w:t>
            </w:r>
            <w:r>
              <w:rPr>
                <w:rFonts w:ascii="Arial" w:cs="Arial" w:eastAsia="Arial" w:hAnsi="Arial"/>
                <w:b/>
                <w:bCs/>
                <w:color w:val="FFFFFF"/>
                <w:sz w:val="28"/>
                <w:szCs w:val="28"/>
              </w:rPr>
              <w:t xml:space="preserve">Certification Revenue Share</w:t>
            </w:r>
          </w:p>
        </w:tc>
      </w:tr>
    </w:tbl>
    <w:p>
      <w:pPr>
        <w:spacing w:before="80" w:after="80"/>
      </w:pPr>
      <w:r>
        <w:t xml:space="preserve"/>
      </w:r>
    </w:p>
    <w:p>
      <w:pPr>
        <w:pStyle w:val="Heading2"/>
        <w:spacing w:before="300" w:after="120"/>
      </w:pPr>
      <w:r>
        <w:rPr>
          <w:rFonts w:ascii="Arial" w:cs="Arial" w:eastAsia="Arial" w:hAnsi="Arial"/>
          <w:b/>
          <w:bCs/>
          <w:color w:val="1A1A2E"/>
          <w:sz w:val="28"/>
          <w:szCs w:val="28"/>
        </w:rPr>
        <w:t xml:space="preserve">Feature Overview</w:t>
      </w:r>
    </w:p>
    <w:p>
      <w:pPr>
        <w:spacing w:before="80" w:after="80"/>
      </w:pPr>
      <w:r>
        <w:rPr>
          <w:rFonts w:ascii="Arial" w:cs="Arial" w:eastAsia="Arial" w:hAnsi="Arial"/>
          <w:color w:val="1A1A2E"/>
          <w:sz w:val="22"/>
          <w:szCs w:val="22"/>
        </w:rPr>
        <w:t xml:space="preserve">Certification-backed training commands the highest price premium in the skills and placement market. This sub-feature enables trainers to partner with recognized certification bodies — through the platform's certification alliance program — and earn a revenue share on every certification fee paid by students who complete their training. It creates a powerful alignment between trainer incentives, student outcomes, and institutional credibility.</w:t>
      </w:r>
    </w:p>
    <w:p>
      <w:pPr>
        <w:spacing w:before="80" w:after="80"/>
      </w:pPr>
      <w:r>
        <w:t xml:space="preserve"/>
      </w:r>
    </w:p>
    <w:p>
      <w:pPr>
        <w:spacing w:before="200" w:after="80"/>
      </w:pPr>
      <w:r>
        <w:rPr>
          <w:rFonts w:ascii="Arial" w:cs="Arial" w:eastAsia="Arial" w:hAnsi="Arial"/>
          <w:b/>
          <w:bCs/>
          <w:color w:val="0A6640"/>
          <w:sz w:val="24"/>
          <w:szCs w:val="24"/>
        </w:rPr>
        <w:t xml:space="preserve">Core Capabilities</w:t>
      </w:r>
    </w:p>
    <w:p>
      <w:pPr>
        <w:pStyle w:val="ListParagraph"/>
        <w:numPr>
          <w:ilvl w:val="0"/>
          <w:numId w:val="2"/>
        </w:numPr>
        <w:spacing w:before="60" w:after="60"/>
      </w:pPr>
      <w:r>
        <w:rPr>
          <w:rFonts w:ascii="Arial" w:cs="Arial" w:eastAsia="Arial" w:hAnsi="Arial"/>
          <w:b w:val="false"/>
          <w:bCs w:val="false"/>
          <w:color w:val="1A1A2E"/>
          <w:sz w:val="22"/>
          <w:szCs w:val="22"/>
        </w:rPr>
        <w:t xml:space="preserve">Certification body partnerships: Platform maintains alliances with recognized certification bodies across domains — IT (CompTIA, AWS, Microsoft), finance (NISM, NCFM), HR, quality management (Six Sigma), communication, and domain-specific bodies</w:t>
      </w:r>
    </w:p>
    <w:p>
      <w:pPr>
        <w:pStyle w:val="ListParagraph"/>
        <w:numPr>
          <w:ilvl w:val="0"/>
          <w:numId w:val="2"/>
        </w:numPr>
        <w:spacing w:before="60" w:after="60"/>
      </w:pPr>
      <w:r>
        <w:rPr>
          <w:rFonts w:ascii="Arial" w:cs="Arial" w:eastAsia="Arial" w:hAnsi="Arial"/>
          <w:b w:val="false"/>
          <w:bCs w:val="false"/>
          <w:color w:val="1A1A2E"/>
          <w:sz w:val="22"/>
          <w:szCs w:val="22"/>
        </w:rPr>
        <w:t xml:space="preserve">Trainer certification alignment: Trainer's course or program formally aligned to a certification body's syllabus — unlocking the certified pathway designation and associated price premium</w:t>
      </w:r>
    </w:p>
    <w:p>
      <w:pPr>
        <w:pStyle w:val="ListParagraph"/>
        <w:numPr>
          <w:ilvl w:val="0"/>
          <w:numId w:val="2"/>
        </w:numPr>
        <w:spacing w:before="60" w:after="60"/>
      </w:pPr>
      <w:r>
        <w:rPr>
          <w:rFonts w:ascii="Arial" w:cs="Arial" w:eastAsia="Arial" w:hAnsi="Arial"/>
          <w:b w:val="false"/>
          <w:bCs w:val="false"/>
          <w:color w:val="1A1A2E"/>
          <w:sz w:val="22"/>
          <w:szCs w:val="22"/>
        </w:rPr>
        <w:t xml:space="preserve">Certification fee collection and distribution: Platform collects the combined training + certification fee from students and distributes to trainer (training share) and certification body (exam fee) automatically</w:t>
      </w:r>
    </w:p>
    <w:p>
      <w:pPr>
        <w:pStyle w:val="ListParagraph"/>
        <w:numPr>
          <w:ilvl w:val="0"/>
          <w:numId w:val="2"/>
        </w:numPr>
        <w:spacing w:before="60" w:after="60"/>
      </w:pPr>
      <w:r>
        <w:rPr>
          <w:rFonts w:ascii="Arial" w:cs="Arial" w:eastAsia="Arial" w:hAnsi="Arial"/>
          <w:b w:val="false"/>
          <w:bCs w:val="false"/>
          <w:color w:val="1A1A2E"/>
          <w:sz w:val="22"/>
          <w:szCs w:val="22"/>
        </w:rPr>
        <w:t xml:space="preserve">Revenue share structure: Trainer earns 15–25% of certification exam fee as referral revenue, in addition to their full training program fee — a separate, recurring income stream</w:t>
      </w:r>
    </w:p>
    <w:p>
      <w:pPr>
        <w:pStyle w:val="ListParagraph"/>
        <w:numPr>
          <w:ilvl w:val="0"/>
          <w:numId w:val="2"/>
        </w:numPr>
        <w:spacing w:before="60" w:after="60"/>
      </w:pPr>
      <w:r>
        <w:rPr>
          <w:rFonts w:ascii="Arial" w:cs="Arial" w:eastAsia="Arial" w:hAnsi="Arial"/>
          <w:b w:val="false"/>
          <w:bCs w:val="false"/>
          <w:color w:val="1A1A2E"/>
          <w:sz w:val="22"/>
          <w:szCs w:val="22"/>
        </w:rPr>
        <w:t xml:space="preserve">Certification exam scheduling integration: Platform connects to certification body exam portals for students to schedule exams directly after completing the trainer's program</w:t>
      </w:r>
    </w:p>
    <w:p>
      <w:pPr>
        <w:pStyle w:val="ListParagraph"/>
        <w:numPr>
          <w:ilvl w:val="0"/>
          <w:numId w:val="2"/>
        </w:numPr>
        <w:spacing w:before="60" w:after="60"/>
      </w:pPr>
      <w:r>
        <w:rPr>
          <w:rFonts w:ascii="Arial" w:cs="Arial" w:eastAsia="Arial" w:hAnsi="Arial"/>
          <w:b w:val="false"/>
          <w:bCs w:val="false"/>
          <w:color w:val="1A1A2E"/>
          <w:sz w:val="22"/>
          <w:szCs w:val="22"/>
        </w:rPr>
        <w:t xml:space="preserve">Pass rate tracking: Trainer's dashboard shows their students' certification pass rates — a credibility metric that directly impacts future enrollment conversion</w:t>
      </w:r>
    </w:p>
    <w:p>
      <w:pPr>
        <w:pStyle w:val="ListParagraph"/>
        <w:numPr>
          <w:ilvl w:val="0"/>
          <w:numId w:val="2"/>
        </w:numPr>
        <w:spacing w:before="60" w:after="60"/>
      </w:pPr>
      <w:r>
        <w:rPr>
          <w:rFonts w:ascii="Arial" w:cs="Arial" w:eastAsia="Arial" w:hAnsi="Arial"/>
          <w:b w:val="false"/>
          <w:bCs w:val="false"/>
          <w:color w:val="1A1A2E"/>
          <w:sz w:val="22"/>
          <w:szCs w:val="22"/>
        </w:rPr>
        <w:t xml:space="preserve">Repeat attempt revenue: Students who fail and retake certification exams generate additional revenue share for trainers whose supplementary prep content drives the retake preparation</w:t>
      </w:r>
    </w:p>
    <w:p>
      <w:pPr>
        <w:pStyle w:val="ListParagraph"/>
        <w:numPr>
          <w:ilvl w:val="0"/>
          <w:numId w:val="2"/>
        </w:numPr>
        <w:spacing w:before="60" w:after="60"/>
      </w:pPr>
      <w:r>
        <w:rPr>
          <w:rFonts w:ascii="Arial" w:cs="Arial" w:eastAsia="Arial" w:hAnsi="Arial"/>
          <w:b w:val="false"/>
          <w:bCs w:val="false"/>
          <w:color w:val="1A1A2E"/>
          <w:sz w:val="22"/>
          <w:szCs w:val="22"/>
        </w:rPr>
        <w:t xml:space="preserve">Trainer-created certificate program: For trainers with strong brand credibility, platform supports trainer-issued certificates with blockchain verification — a direct certification revenue stream without external body dependency</w:t>
      </w:r>
    </w:p>
    <w:p>
      <w:pPr>
        <w:pStyle w:val="ListParagraph"/>
        <w:numPr>
          <w:ilvl w:val="0"/>
          <w:numId w:val="2"/>
        </w:numPr>
        <w:spacing w:before="60" w:after="60"/>
      </w:pPr>
      <w:r>
        <w:rPr>
          <w:rFonts w:ascii="Arial" w:cs="Arial" w:eastAsia="Arial" w:hAnsi="Arial"/>
          <w:b w:val="false"/>
          <w:bCs w:val="false"/>
          <w:color w:val="1A1A2E"/>
          <w:sz w:val="22"/>
          <w:szCs w:val="22"/>
        </w:rPr>
        <w:t xml:space="preserve">Corporate recognition incentives: Platform actively markets certified course graduates to partner companies — driving employer demand for certified students and increasing enrollment motivation</w:t>
      </w:r>
    </w:p>
    <w:p>
      <w:pPr>
        <w:spacing w:before="80" w:after="80"/>
      </w:pPr>
      <w:r>
        <w:t xml:space="preserve"/>
      </w:r>
    </w:p>
    <w:p>
      <w:pPr>
        <w:spacing w:before="200" w:after="80"/>
      </w:pPr>
      <w:r>
        <w:rPr>
          <w:rFonts w:ascii="Arial" w:cs="Arial" w:eastAsia="Arial" w:hAnsi="Arial"/>
          <w:b/>
          <w:bCs/>
          <w:color w:val="0A6640"/>
          <w:sz w:val="24"/>
          <w:szCs w:val="24"/>
        </w:rPr>
        <w:t xml:space="preserve">Pricing Benchmarks &amp; Revenue Potential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CFBE" w:sz="1"/>
              <w:left w:val="single" w:color="B0CFBE" w:sz="1"/>
              <w:bottom w:val="single" w:color="B0CFBE" w:sz="1"/>
              <w:right w:val="single" w:color="B0CFBE" w:sz="1"/>
            </w:tcBorders>
            <w:shd w:fill="0A66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Revenue Stream</w:t>
            </w:r>
          </w:p>
        </w:tc>
        <w:tc>
          <w:tcPr>
            <w:tcW w:type="dxa" w:w="3120"/>
            <w:tcBorders>
              <w:top w:val="single" w:color="B0CFBE" w:sz="1"/>
              <w:left w:val="single" w:color="B0CFBE" w:sz="1"/>
              <w:bottom w:val="single" w:color="B0CFBE" w:sz="1"/>
              <w:right w:val="single" w:color="B0CFBE" w:sz="1"/>
            </w:tcBorders>
            <w:shd w:fill="0A66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Typical Pricing (INR)</w:t>
            </w:r>
          </w:p>
        </w:tc>
        <w:tc>
          <w:tcPr>
            <w:tcW w:type="dxa" w:w="3120"/>
            <w:tcBorders>
              <w:top w:val="single" w:color="B0CFBE" w:sz="1"/>
              <w:left w:val="single" w:color="B0CFBE" w:sz="1"/>
              <w:bottom w:val="single" w:color="B0CFBE" w:sz="1"/>
              <w:right w:val="single" w:color="B0CFBE" w:sz="1"/>
            </w:tcBorders>
            <w:shd w:fill="0A66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Platform Commission</w:t>
            </w:r>
          </w:p>
        </w:tc>
      </w:tr>
      <w:tr>
        <w:tc>
          <w:tcPr>
            <w:tcW w:type="dxa" w:w="312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left"/>
            </w:pPr>
            <w:r>
              <w:rPr>
                <w:rFonts w:ascii="Arial" w:cs="Arial" w:eastAsia="Arial" w:hAnsi="Arial"/>
                <w:color w:val="1A1A2E"/>
                <w:sz w:val="20"/>
                <w:szCs w:val="20"/>
              </w:rPr>
              <w:t xml:space="preserve">Training + Certification Bundle (IT domain)</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₹4,999 – ₹12,999</w:t>
            </w:r>
          </w:p>
        </w:tc>
        <w:tc>
          <w:tcPr>
            <w:tcW w:type="dxa" w:w="312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center"/>
            </w:pPr>
            <w:r>
              <w:rPr>
                <w:rFonts w:ascii="Arial" w:cs="Arial" w:eastAsia="Arial" w:hAnsi="Arial"/>
                <w:color w:val="1A1A2E"/>
                <w:sz w:val="20"/>
                <w:szCs w:val="20"/>
              </w:rPr>
              <w:t xml:space="preserve">Training: 75%, Cert body: 25%</w:t>
            </w:r>
          </w:p>
        </w:tc>
      </w:tr>
      <w:tr>
        <w:tc>
          <w:tcPr>
            <w:tcW w:type="dxa" w:w="312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Training + Certification Bundle (Finance/HR)</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₹2,999 – ₹7,999</w:t>
            </w:r>
          </w:p>
        </w:tc>
        <w:tc>
          <w:tcPr>
            <w:tcW w:type="dxa" w:w="312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center"/>
            </w:pPr>
            <w:r>
              <w:rPr>
                <w:rFonts w:ascii="Arial" w:cs="Arial" w:eastAsia="Arial" w:hAnsi="Arial"/>
                <w:color w:val="1A1A2E"/>
                <w:sz w:val="20"/>
                <w:szCs w:val="20"/>
              </w:rPr>
              <w:t xml:space="preserve">Training: 70%, Cert body: 30%</w:t>
            </w:r>
          </w:p>
        </w:tc>
      </w:tr>
      <w:tr>
        <w:tc>
          <w:tcPr>
            <w:tcW w:type="dxa" w:w="312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left"/>
            </w:pPr>
            <w:r>
              <w:rPr>
                <w:rFonts w:ascii="Arial" w:cs="Arial" w:eastAsia="Arial" w:hAnsi="Arial"/>
                <w:color w:val="1A1A2E"/>
                <w:sz w:val="20"/>
                <w:szCs w:val="20"/>
              </w:rPr>
              <w:t xml:space="preserve">Trainer-Issued Verified Certificate</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₹299 – ₹799/certificate</w:t>
            </w:r>
          </w:p>
        </w:tc>
        <w:tc>
          <w:tcPr>
            <w:tcW w:type="dxa" w:w="312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center"/>
            </w:pPr>
            <w:r>
              <w:rPr>
                <w:rFonts w:ascii="Arial" w:cs="Arial" w:eastAsia="Arial" w:hAnsi="Arial"/>
                <w:color w:val="1A1A2E"/>
                <w:sz w:val="20"/>
                <w:szCs w:val="20"/>
              </w:rPr>
              <w:t xml:space="preserve">Trainer: 80%, Platform: 20%</w:t>
            </w:r>
          </w:p>
        </w:tc>
      </w:tr>
      <w:tr>
        <w:tc>
          <w:tcPr>
            <w:tcW w:type="dxa" w:w="312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Certification Exam Referral Revenue Share</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₹200 – ₹800/student</w:t>
            </w:r>
          </w:p>
        </w:tc>
        <w:tc>
          <w:tcPr>
            <w:tcW w:type="dxa" w:w="312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center"/>
            </w:pPr>
            <w:r>
              <w:rPr>
                <w:rFonts w:ascii="Arial" w:cs="Arial" w:eastAsia="Arial" w:hAnsi="Arial"/>
                <w:color w:val="1A1A2E"/>
                <w:sz w:val="20"/>
                <w:szCs w:val="20"/>
              </w:rPr>
              <w:t xml:space="preserve">15–25% of exam fee</w:t>
            </w:r>
          </w:p>
        </w:tc>
      </w:tr>
    </w:tbl>
    <w:p>
      <w:pPr>
        <w:spacing w:before="80" w:after="80"/>
      </w:pPr>
      <w:r>
        <w:t xml:space="preserve"/>
      </w:r>
    </w:p>
    <w:p>
      <w:pPr>
        <w:spacing w:before="200" w:after="80"/>
      </w:pPr>
      <w:r>
        <w:rPr>
          <w:rFonts w:ascii="Arial" w:cs="Arial" w:eastAsia="Arial" w:hAnsi="Arial"/>
          <w:b/>
          <w:bCs/>
          <w:color w:val="0A6640"/>
          <w:sz w:val="24"/>
          <w:szCs w:val="24"/>
        </w:rPr>
        <w:t xml:space="preserve">Research Insight</w:t>
      </w:r>
    </w:p>
    <w:p>
      <w:pPr>
        <w:spacing w:before="80" w:after="80"/>
      </w:pPr>
      <w:r>
        <w:rPr>
          <w:rFonts w:ascii="Arial" w:cs="Arial" w:eastAsia="Arial" w:hAnsi="Arial"/>
          <w:color w:val="1A1A2E"/>
          <w:sz w:val="22"/>
          <w:szCs w:val="22"/>
        </w:rPr>
        <w:t xml:space="preserve">Research by Coursera, LinkedIn Learning, and NASSCOM in the Indian market consistently shows that certification-backed courses sell at a 35–55% price premium over equivalent non-certified content. Employer studies further confirm that 73% of Indian hiring managers give higher screening priority to candidates holding recognized skill certifications over those with equivalent self-reported skills. By embedding certification revenue share into the trainer monetization model, the platform aligns trainer financial incentives with the outcome metric that matters most to employers — verified, certified competence.</w:t>
      </w:r>
    </w:p>
    <w:p>
      <w:pPr>
        <w:spacing w:before="80" w:after="80"/>
      </w:pPr>
      <w:r>
        <w:t xml:space="preserve"/>
      </w:r>
    </w:p>
    <w:p>
      <w:pPr>
        <w:pBdr>
          <w:bottom w:val="single" w:color="A8D5B5" w:sz="6" w:space="1"/>
        </w:pBdr>
        <w:spacing w:before="140" w:after="14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6640" w:val="clear"/>
            <w:tcMar>
              <w:top w:type="dxa" w:w="130"/>
              <w:left w:type="dxa" w:w="220"/>
              <w:bottom w:type="dxa" w:w="130"/>
              <w:right w:type="dxa" w:w="220"/>
            </w:tcMar>
          </w:tcPr>
          <w:p>
            <w:r>
              <w:rPr>
                <w:rFonts w:ascii="Arial" w:cs="Arial" w:eastAsia="Arial" w:hAnsi="Arial"/>
                <w:color w:val="E6F4EE"/>
                <w:sz w:val="22"/>
                <w:szCs w:val="22"/>
              </w:rPr>
              <w:t xml:space="preserve">Sub-Feature 11.7  |  </w:t>
            </w:r>
            <w:r>
              <w:rPr>
                <w:rFonts w:ascii="Arial" w:cs="Arial" w:eastAsia="Arial" w:hAnsi="Arial"/>
                <w:b/>
                <w:bCs/>
                <w:color w:val="FFFFFF"/>
                <w:sz w:val="28"/>
                <w:szCs w:val="28"/>
              </w:rPr>
              <w:t xml:space="preserve">Corporate Training Contracts</w:t>
            </w:r>
          </w:p>
        </w:tc>
      </w:tr>
    </w:tbl>
    <w:p>
      <w:pPr>
        <w:spacing w:before="80" w:after="80"/>
      </w:pPr>
      <w:r>
        <w:t xml:space="preserve"/>
      </w:r>
    </w:p>
    <w:p>
      <w:pPr>
        <w:pStyle w:val="Heading2"/>
        <w:spacing w:before="300" w:after="120"/>
      </w:pPr>
      <w:r>
        <w:rPr>
          <w:rFonts w:ascii="Arial" w:cs="Arial" w:eastAsia="Arial" w:hAnsi="Arial"/>
          <w:b/>
          <w:bCs/>
          <w:color w:val="1A1A2E"/>
          <w:sz w:val="28"/>
          <w:szCs w:val="28"/>
        </w:rPr>
        <w:t xml:space="preserve">Feature Overview</w:t>
      </w:r>
    </w:p>
    <w:p>
      <w:pPr>
        <w:spacing w:before="80" w:after="80"/>
      </w:pPr>
      <w:r>
        <w:rPr>
          <w:rFonts w:ascii="Arial" w:cs="Arial" w:eastAsia="Arial" w:hAnsi="Arial"/>
          <w:color w:val="1A1A2E"/>
          <w:sz w:val="22"/>
          <w:szCs w:val="22"/>
        </w:rPr>
        <w:t xml:space="preserve">Corporate training is the highest-value revenue opportunity available to skilled trainers — yet it remains largely inaccessible to campus-focused trainers who lack corporate sales infrastructure. This sub-feature bridges that gap by positioning the platform as a corporate training marketplace, enabling trainers to offer their expertise to enterprises for employee training, onboarding, leadership development, and upskilling — all through the platform's managed corporate channel.</w:t>
      </w:r>
    </w:p>
    <w:p>
      <w:pPr>
        <w:spacing w:before="80" w:after="80"/>
      </w:pPr>
      <w:r>
        <w:t xml:space="preserve"/>
      </w:r>
    </w:p>
    <w:p>
      <w:pPr>
        <w:spacing w:before="200" w:after="80"/>
      </w:pPr>
      <w:r>
        <w:rPr>
          <w:rFonts w:ascii="Arial" w:cs="Arial" w:eastAsia="Arial" w:hAnsi="Arial"/>
          <w:b/>
          <w:bCs/>
          <w:color w:val="0A6640"/>
          <w:sz w:val="24"/>
          <w:szCs w:val="24"/>
        </w:rPr>
        <w:t xml:space="preserve">Core Capabilities</w:t>
      </w:r>
    </w:p>
    <w:p>
      <w:pPr>
        <w:pStyle w:val="ListParagraph"/>
        <w:numPr>
          <w:ilvl w:val="0"/>
          <w:numId w:val="2"/>
        </w:numPr>
        <w:spacing w:before="60" w:after="60"/>
      </w:pPr>
      <w:r>
        <w:rPr>
          <w:rFonts w:ascii="Arial" w:cs="Arial" w:eastAsia="Arial" w:hAnsi="Arial"/>
          <w:b w:val="false"/>
          <w:bCs w:val="false"/>
          <w:color w:val="1A1A2E"/>
          <w:sz w:val="22"/>
          <w:szCs w:val="22"/>
        </w:rPr>
        <w:t xml:space="preserve">Corporate trainer profile: Trainers create a separate corporate-facing profile highlighting industry expertise, prior corporate training experience, company logos, training topics, and format flexibility (on-site, virtual, hybrid)</w:t>
      </w:r>
    </w:p>
    <w:p>
      <w:pPr>
        <w:pStyle w:val="ListParagraph"/>
        <w:numPr>
          <w:ilvl w:val="0"/>
          <w:numId w:val="2"/>
        </w:numPr>
        <w:spacing w:before="60" w:after="60"/>
      </w:pPr>
      <w:r>
        <w:rPr>
          <w:rFonts w:ascii="Arial" w:cs="Arial" w:eastAsia="Arial" w:hAnsi="Arial"/>
          <w:b w:val="false"/>
          <w:bCs w:val="false"/>
          <w:color w:val="1A1A2E"/>
          <w:sz w:val="22"/>
          <w:szCs w:val="22"/>
        </w:rPr>
        <w:t xml:space="preserve">Corporate inquiry management: Platform routes corporate training inquiries to matched trainers based on topic, domain, availability, budget, and location — trainer receives structured briefs, not cold inquiries</w:t>
      </w:r>
    </w:p>
    <w:p>
      <w:pPr>
        <w:pStyle w:val="ListParagraph"/>
        <w:numPr>
          <w:ilvl w:val="0"/>
          <w:numId w:val="2"/>
        </w:numPr>
        <w:spacing w:before="60" w:after="60"/>
      </w:pPr>
      <w:r>
        <w:rPr>
          <w:rFonts w:ascii="Arial" w:cs="Arial" w:eastAsia="Arial" w:hAnsi="Arial"/>
          <w:b w:val="false"/>
          <w:bCs w:val="false"/>
          <w:color w:val="1A1A2E"/>
          <w:sz w:val="22"/>
          <w:szCs w:val="22"/>
        </w:rPr>
        <w:t xml:space="preserve">Contract template library: Standardized corporate training contracts pre-drafted for common engagement types — one-day workshop, multi-session program, annual training retainer — with customizable clauses</w:t>
      </w:r>
    </w:p>
    <w:p>
      <w:pPr>
        <w:pStyle w:val="ListParagraph"/>
        <w:numPr>
          <w:ilvl w:val="0"/>
          <w:numId w:val="2"/>
        </w:numPr>
        <w:spacing w:before="60" w:after="60"/>
      </w:pPr>
      <w:r>
        <w:rPr>
          <w:rFonts w:ascii="Arial" w:cs="Arial" w:eastAsia="Arial" w:hAnsi="Arial"/>
          <w:b w:val="false"/>
          <w:bCs w:val="false"/>
          <w:color w:val="1A1A2E"/>
          <w:sz w:val="22"/>
          <w:szCs w:val="22"/>
        </w:rPr>
        <w:t xml:space="preserve">Proposal builder: Trainer creates a professional training proposal within the platform — program outline, methodology, deliverables, schedule, and pricing — sent to corporate client via platform for approval</w:t>
      </w:r>
    </w:p>
    <w:p>
      <w:pPr>
        <w:pStyle w:val="ListParagraph"/>
        <w:numPr>
          <w:ilvl w:val="0"/>
          <w:numId w:val="2"/>
        </w:numPr>
        <w:spacing w:before="60" w:after="60"/>
      </w:pPr>
      <w:r>
        <w:rPr>
          <w:rFonts w:ascii="Arial" w:cs="Arial" w:eastAsia="Arial" w:hAnsi="Arial"/>
          <w:b w:val="false"/>
          <w:bCs w:val="false"/>
          <w:color w:val="1A1A2E"/>
          <w:sz w:val="22"/>
          <w:szCs w:val="22"/>
        </w:rPr>
        <w:t xml:space="preserve">Corporate payment management: Platform collects advance (50%) and balance (50% post-delivery) from corporates, protecting trainer against non-payment — a major pain point in the corporate training market</w:t>
      </w:r>
    </w:p>
    <w:p>
      <w:pPr>
        <w:pStyle w:val="ListParagraph"/>
        <w:numPr>
          <w:ilvl w:val="0"/>
          <w:numId w:val="2"/>
        </w:numPr>
        <w:spacing w:before="60" w:after="60"/>
      </w:pPr>
      <w:r>
        <w:rPr>
          <w:rFonts w:ascii="Arial" w:cs="Arial" w:eastAsia="Arial" w:hAnsi="Arial"/>
          <w:b w:val="false"/>
          <w:bCs w:val="false"/>
          <w:color w:val="1A1A2E"/>
          <w:sz w:val="22"/>
          <w:szCs w:val="22"/>
        </w:rPr>
        <w:t xml:space="preserve">Group size and logistics handling: Platform manages participant enrollment, pre-training assessments, material distribution, attendance, and post-training evaluation on behalf of the trainer</w:t>
      </w:r>
    </w:p>
    <w:p>
      <w:pPr>
        <w:pStyle w:val="ListParagraph"/>
        <w:numPr>
          <w:ilvl w:val="0"/>
          <w:numId w:val="2"/>
        </w:numPr>
        <w:spacing w:before="60" w:after="60"/>
      </w:pPr>
      <w:r>
        <w:rPr>
          <w:rFonts w:ascii="Arial" w:cs="Arial" w:eastAsia="Arial" w:hAnsi="Arial"/>
          <w:b w:val="false"/>
          <w:bCs w:val="false"/>
          <w:color w:val="1A1A2E"/>
          <w:sz w:val="22"/>
          <w:szCs w:val="22"/>
        </w:rPr>
        <w:t xml:space="preserve">L&amp;D budget alignment: Platform provides corporate clients with documentation formatted for their L&amp;D budget approval processes — trainer does not need to navigate corporate procurement alone</w:t>
      </w:r>
    </w:p>
    <w:p>
      <w:pPr>
        <w:pStyle w:val="ListParagraph"/>
        <w:numPr>
          <w:ilvl w:val="0"/>
          <w:numId w:val="2"/>
        </w:numPr>
        <w:spacing w:before="60" w:after="60"/>
      </w:pPr>
      <w:r>
        <w:rPr>
          <w:rFonts w:ascii="Arial" w:cs="Arial" w:eastAsia="Arial" w:hAnsi="Arial"/>
          <w:b w:val="false"/>
          <w:bCs w:val="false"/>
          <w:color w:val="1A1A2E"/>
          <w:sz w:val="22"/>
          <w:szCs w:val="22"/>
        </w:rPr>
        <w:t xml:space="preserve">SME corporate training bridge: Connects the platform's SME employer network with trained placement-ready students and the trainers who developed them — creating a natural pipeline from campus training to corporate upskilling</w:t>
      </w:r>
    </w:p>
    <w:p>
      <w:pPr>
        <w:pStyle w:val="ListParagraph"/>
        <w:numPr>
          <w:ilvl w:val="0"/>
          <w:numId w:val="2"/>
        </w:numPr>
        <w:spacing w:before="60" w:after="60"/>
      </w:pPr>
      <w:r>
        <w:rPr>
          <w:rFonts w:ascii="Arial" w:cs="Arial" w:eastAsia="Arial" w:hAnsi="Arial"/>
          <w:b w:val="false"/>
          <w:bCs w:val="false"/>
          <w:color w:val="1A1A2E"/>
          <w:sz w:val="22"/>
          <w:szCs w:val="22"/>
        </w:rPr>
        <w:t xml:space="preserve">Long-term retainer contracts: Corporates can engage trainers on annual training retainers — guaranteed minimum sessions per quarter with fixed monthly payment — providing trainer income security</w:t>
      </w:r>
    </w:p>
    <w:p>
      <w:pPr>
        <w:spacing w:before="80" w:after="80"/>
      </w:pPr>
      <w:r>
        <w:t xml:space="preserve"/>
      </w:r>
    </w:p>
    <w:p>
      <w:pPr>
        <w:spacing w:before="200" w:after="80"/>
      </w:pPr>
      <w:r>
        <w:rPr>
          <w:rFonts w:ascii="Arial" w:cs="Arial" w:eastAsia="Arial" w:hAnsi="Arial"/>
          <w:b/>
          <w:bCs/>
          <w:color w:val="0A6640"/>
          <w:sz w:val="24"/>
          <w:szCs w:val="24"/>
        </w:rPr>
        <w:t xml:space="preserve">Pricing Benchmarks &amp; Revenue Potential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CFBE" w:sz="1"/>
              <w:left w:val="single" w:color="B0CFBE" w:sz="1"/>
              <w:bottom w:val="single" w:color="B0CFBE" w:sz="1"/>
              <w:right w:val="single" w:color="B0CFBE" w:sz="1"/>
            </w:tcBorders>
            <w:shd w:fill="0A66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Revenue Stream</w:t>
            </w:r>
          </w:p>
        </w:tc>
        <w:tc>
          <w:tcPr>
            <w:tcW w:type="dxa" w:w="3120"/>
            <w:tcBorders>
              <w:top w:val="single" w:color="B0CFBE" w:sz="1"/>
              <w:left w:val="single" w:color="B0CFBE" w:sz="1"/>
              <w:bottom w:val="single" w:color="B0CFBE" w:sz="1"/>
              <w:right w:val="single" w:color="B0CFBE" w:sz="1"/>
            </w:tcBorders>
            <w:shd w:fill="0A66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Typical Pricing (INR)</w:t>
            </w:r>
          </w:p>
        </w:tc>
        <w:tc>
          <w:tcPr>
            <w:tcW w:type="dxa" w:w="3120"/>
            <w:tcBorders>
              <w:top w:val="single" w:color="B0CFBE" w:sz="1"/>
              <w:left w:val="single" w:color="B0CFBE" w:sz="1"/>
              <w:bottom w:val="single" w:color="B0CFBE" w:sz="1"/>
              <w:right w:val="single" w:color="B0CFBE" w:sz="1"/>
            </w:tcBorders>
            <w:shd w:fill="0A66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Platform Commission</w:t>
            </w:r>
          </w:p>
        </w:tc>
      </w:tr>
      <w:tr>
        <w:tc>
          <w:tcPr>
            <w:tcW w:type="dxa" w:w="312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left"/>
            </w:pPr>
            <w:r>
              <w:rPr>
                <w:rFonts w:ascii="Arial" w:cs="Arial" w:eastAsia="Arial" w:hAnsi="Arial"/>
                <w:color w:val="1A1A2E"/>
                <w:sz w:val="20"/>
                <w:szCs w:val="20"/>
              </w:rPr>
              <w:t xml:space="preserve">Corporate Half-Day Workshop (on-site)</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₹20,000 – ₹60,000</w:t>
            </w:r>
          </w:p>
        </w:tc>
        <w:tc>
          <w:tcPr>
            <w:tcW w:type="dxa" w:w="312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center"/>
            </w:pPr>
            <w:r>
              <w:rPr>
                <w:rFonts w:ascii="Arial" w:cs="Arial" w:eastAsia="Arial" w:hAnsi="Arial"/>
                <w:color w:val="1A1A2E"/>
                <w:sz w:val="20"/>
                <w:szCs w:val="20"/>
              </w:rPr>
              <w:t xml:space="preserve">12–15%</w:t>
            </w:r>
          </w:p>
        </w:tc>
      </w:tr>
      <w:tr>
        <w:tc>
          <w:tcPr>
            <w:tcW w:type="dxa" w:w="312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Corporate Full-Day Training Program</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₹40,000 – ₹1,20,000</w:t>
            </w:r>
          </w:p>
        </w:tc>
        <w:tc>
          <w:tcPr>
            <w:tcW w:type="dxa" w:w="312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center"/>
            </w:pPr>
            <w:r>
              <w:rPr>
                <w:rFonts w:ascii="Arial" w:cs="Arial" w:eastAsia="Arial" w:hAnsi="Arial"/>
                <w:color w:val="1A1A2E"/>
                <w:sz w:val="20"/>
                <w:szCs w:val="20"/>
              </w:rPr>
              <w:t xml:space="preserve">12%</w:t>
            </w:r>
          </w:p>
        </w:tc>
      </w:tr>
      <w:tr>
        <w:tc>
          <w:tcPr>
            <w:tcW w:type="dxa" w:w="312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left"/>
            </w:pPr>
            <w:r>
              <w:rPr>
                <w:rFonts w:ascii="Arial" w:cs="Arial" w:eastAsia="Arial" w:hAnsi="Arial"/>
                <w:color w:val="1A1A2E"/>
                <w:sz w:val="20"/>
                <w:szCs w:val="20"/>
              </w:rPr>
              <w:t xml:space="preserve">Multi-Session Corporate Program (8–12 sessions)</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₹1,00,000 – ₹5,00,000</w:t>
            </w:r>
          </w:p>
        </w:tc>
        <w:tc>
          <w:tcPr>
            <w:tcW w:type="dxa" w:w="312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center"/>
            </w:pPr>
            <w:r>
              <w:rPr>
                <w:rFonts w:ascii="Arial" w:cs="Arial" w:eastAsia="Arial" w:hAnsi="Arial"/>
                <w:color w:val="1A1A2E"/>
                <w:sz w:val="20"/>
                <w:szCs w:val="20"/>
              </w:rPr>
              <w:t xml:space="preserve">10–12%</w:t>
            </w:r>
          </w:p>
        </w:tc>
      </w:tr>
      <w:tr>
        <w:tc>
          <w:tcPr>
            <w:tcW w:type="dxa" w:w="312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Annual Corporate Training Retainer</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₹3,00,000 – ₹15,00,000/yr</w:t>
            </w:r>
          </w:p>
        </w:tc>
        <w:tc>
          <w:tcPr>
            <w:tcW w:type="dxa" w:w="312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center"/>
            </w:pPr>
            <w:r>
              <w:rPr>
                <w:rFonts w:ascii="Arial" w:cs="Arial" w:eastAsia="Arial" w:hAnsi="Arial"/>
                <w:color w:val="1A1A2E"/>
                <w:sz w:val="20"/>
                <w:szCs w:val="20"/>
              </w:rPr>
              <w:t xml:space="preserve">10%</w:t>
            </w:r>
          </w:p>
        </w:tc>
      </w:tr>
      <w:tr>
        <w:tc>
          <w:tcPr>
            <w:tcW w:type="dxa" w:w="312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left"/>
            </w:pPr>
            <w:r>
              <w:rPr>
                <w:rFonts w:ascii="Arial" w:cs="Arial" w:eastAsia="Arial" w:hAnsi="Arial"/>
                <w:color w:val="1A1A2E"/>
                <w:sz w:val="20"/>
                <w:szCs w:val="20"/>
              </w:rPr>
              <w:t xml:space="preserve">Virtual Corporate Training (per session)</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₹15,000 – ₹50,000</w:t>
            </w:r>
          </w:p>
        </w:tc>
        <w:tc>
          <w:tcPr>
            <w:tcW w:type="dxa" w:w="312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center"/>
            </w:pPr>
            <w:r>
              <w:rPr>
                <w:rFonts w:ascii="Arial" w:cs="Arial" w:eastAsia="Arial" w:hAnsi="Arial"/>
                <w:color w:val="1A1A2E"/>
                <w:sz w:val="20"/>
                <w:szCs w:val="20"/>
              </w:rPr>
              <w:t xml:space="preserve">15%</w:t>
            </w:r>
          </w:p>
        </w:tc>
      </w:tr>
    </w:tbl>
    <w:p>
      <w:pPr>
        <w:spacing w:before="80" w:after="80"/>
      </w:pPr>
      <w:r>
        <w:t xml:space="preserve"/>
      </w:r>
    </w:p>
    <w:p>
      <w:pPr>
        <w:spacing w:before="200" w:after="80"/>
      </w:pPr>
      <w:r>
        <w:rPr>
          <w:rFonts w:ascii="Arial" w:cs="Arial" w:eastAsia="Arial" w:hAnsi="Arial"/>
          <w:b/>
          <w:bCs/>
          <w:color w:val="0A6640"/>
          <w:sz w:val="24"/>
          <w:szCs w:val="24"/>
        </w:rPr>
        <w:t xml:space="preserve">Research Insight</w:t>
      </w:r>
    </w:p>
    <w:p>
      <w:pPr>
        <w:spacing w:before="80" w:after="80"/>
      </w:pPr>
      <w:r>
        <w:rPr>
          <w:rFonts w:ascii="Arial" w:cs="Arial" w:eastAsia="Arial" w:hAnsi="Arial"/>
          <w:color w:val="1A1A2E"/>
          <w:sz w:val="22"/>
          <w:szCs w:val="22"/>
        </w:rPr>
        <w:t xml:space="preserve">India's corporate training and L&amp;D market is valued at over USD 2.5 billion and growing at 12–15% annually (KPMG, 2024). Enterprises increasingly prefer engaging independent subject-matter experts over large training companies for niche, domain-specific skill development. However, independent trainers struggle to access corporate clients due to lack of contracting infrastructure, advance payment uncertainty, and procurement complexity. Platform-managed corporate training contracts eliminate all three barriers — making corporate training revenue accessible to skilled campus trainers for the first time through a structured, trusted channel.</w:t>
      </w:r>
    </w:p>
    <w:p>
      <w:pPr>
        <w:spacing w:before="80" w:after="80"/>
      </w:pPr>
      <w:r>
        <w:t xml:space="preserve"/>
      </w:r>
    </w:p>
    <w:p>
      <w:pPr>
        <w:pBdr>
          <w:bottom w:val="single" w:color="A8D5B5" w:sz="6" w:space="1"/>
        </w:pBdr>
        <w:spacing w:before="140" w:after="1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6640" w:val="clear"/>
            <w:tcMar>
              <w:top w:type="dxa" w:w="130"/>
              <w:left w:type="dxa" w:w="220"/>
              <w:bottom w:type="dxa" w:w="130"/>
              <w:right w:type="dxa" w:w="220"/>
            </w:tcMar>
          </w:tcPr>
          <w:p>
            <w:r>
              <w:rPr>
                <w:rFonts w:ascii="Arial" w:cs="Arial" w:eastAsia="Arial" w:hAnsi="Arial"/>
                <w:color w:val="E6F4EE"/>
                <w:sz w:val="22"/>
                <w:szCs w:val="22"/>
              </w:rPr>
              <w:t xml:space="preserve">Sub-Feature 11.8  |  </w:t>
            </w:r>
            <w:r>
              <w:rPr>
                <w:rFonts w:ascii="Arial" w:cs="Arial" w:eastAsia="Arial" w:hAnsi="Arial"/>
                <w:b/>
                <w:bCs/>
                <w:color w:val="FFFFFF"/>
                <w:sz w:val="28"/>
                <w:szCs w:val="28"/>
              </w:rPr>
              <w:t xml:space="preserve">Subscription-Based Training Programs</w:t>
            </w:r>
          </w:p>
        </w:tc>
      </w:tr>
    </w:tbl>
    <w:p>
      <w:pPr>
        <w:spacing w:before="80" w:after="80"/>
      </w:pPr>
      <w:r>
        <w:t xml:space="preserve"/>
      </w:r>
    </w:p>
    <w:p>
      <w:pPr>
        <w:pStyle w:val="Heading2"/>
        <w:spacing w:before="300" w:after="120"/>
      </w:pPr>
      <w:r>
        <w:rPr>
          <w:rFonts w:ascii="Arial" w:cs="Arial" w:eastAsia="Arial" w:hAnsi="Arial"/>
          <w:b/>
          <w:bCs/>
          <w:color w:val="1A1A2E"/>
          <w:sz w:val="28"/>
          <w:szCs w:val="28"/>
        </w:rPr>
        <w:t xml:space="preserve">Feature Overview</w:t>
      </w:r>
    </w:p>
    <w:p>
      <w:pPr>
        <w:spacing w:before="80" w:after="80"/>
      </w:pPr>
      <w:r>
        <w:rPr>
          <w:rFonts w:ascii="Arial" w:cs="Arial" w:eastAsia="Arial" w:hAnsi="Arial"/>
          <w:color w:val="1A1A2E"/>
          <w:sz w:val="22"/>
          <w:szCs w:val="22"/>
        </w:rPr>
        <w:t xml:space="preserve">Subscription-based training is the most financially transformative revenue model for trainers — converting unpredictable per-session income into predictable, recurring monthly revenue. This sub-feature enables trainers to design, price, and operate subscription training programs at both individual student and institutional levels, with complete subscriber management, content scheduling, and recurring billing infrastructure.</w:t>
      </w:r>
    </w:p>
    <w:p>
      <w:pPr>
        <w:spacing w:before="80" w:after="80"/>
      </w:pPr>
      <w:r>
        <w:t xml:space="preserve"/>
      </w:r>
    </w:p>
    <w:p>
      <w:pPr>
        <w:spacing w:before="200" w:after="80"/>
      </w:pPr>
      <w:r>
        <w:rPr>
          <w:rFonts w:ascii="Arial" w:cs="Arial" w:eastAsia="Arial" w:hAnsi="Arial"/>
          <w:b/>
          <w:bCs/>
          <w:color w:val="0A6640"/>
          <w:sz w:val="24"/>
          <w:szCs w:val="24"/>
        </w:rPr>
        <w:t xml:space="preserve">Core Capabilities</w:t>
      </w:r>
    </w:p>
    <w:p>
      <w:pPr>
        <w:pStyle w:val="ListParagraph"/>
        <w:numPr>
          <w:ilvl w:val="0"/>
          <w:numId w:val="2"/>
        </w:numPr>
        <w:spacing w:before="60" w:after="60"/>
      </w:pPr>
      <w:r>
        <w:rPr>
          <w:rFonts w:ascii="Arial" w:cs="Arial" w:eastAsia="Arial" w:hAnsi="Arial"/>
          <w:b w:val="false"/>
          <w:bCs w:val="false"/>
          <w:color w:val="1A1A2E"/>
          <w:sz w:val="22"/>
          <w:szCs w:val="22"/>
        </w:rPr>
        <w:t xml:space="preserve">Subscription program designer: Trainer defines subscriber benefits — number of live sessions per month, course access, resource library, community access, response time SLA for queries, and monthly recorded session access</w:t>
      </w:r>
    </w:p>
    <w:p>
      <w:pPr>
        <w:pStyle w:val="ListParagraph"/>
        <w:numPr>
          <w:ilvl w:val="0"/>
          <w:numId w:val="2"/>
        </w:numPr>
        <w:spacing w:before="60" w:after="60"/>
      </w:pPr>
      <w:r>
        <w:rPr>
          <w:rFonts w:ascii="Arial" w:cs="Arial" w:eastAsia="Arial" w:hAnsi="Arial"/>
          <w:b w:val="false"/>
          <w:bCs w:val="false"/>
          <w:color w:val="1A1A2E"/>
          <w:sz w:val="22"/>
          <w:szCs w:val="22"/>
        </w:rPr>
        <w:t xml:space="preserve">Tiered subscription plans: Trainers offer 2–3 tiers (e.g., Basic, Pro, Elite) with different session quotas, personal access levels, and bonus inclusions — enabling price segmentation</w:t>
      </w:r>
    </w:p>
    <w:p>
      <w:pPr>
        <w:pStyle w:val="ListParagraph"/>
        <w:numPr>
          <w:ilvl w:val="0"/>
          <w:numId w:val="2"/>
        </w:numPr>
        <w:spacing w:before="60" w:after="60"/>
      </w:pPr>
      <w:r>
        <w:rPr>
          <w:rFonts w:ascii="Arial" w:cs="Arial" w:eastAsia="Arial" w:hAnsi="Arial"/>
          <w:b w:val="false"/>
          <w:bCs w:val="false"/>
          <w:color w:val="1A1A2E"/>
          <w:sz w:val="22"/>
          <w:szCs w:val="22"/>
        </w:rPr>
        <w:t xml:space="preserve">Individual student subscriptions: Students subscribe monthly or annually with auto-renewal — trainer earns recurring income regardless of individual session variability</w:t>
      </w:r>
    </w:p>
    <w:p>
      <w:pPr>
        <w:pStyle w:val="ListParagraph"/>
        <w:numPr>
          <w:ilvl w:val="0"/>
          <w:numId w:val="2"/>
        </w:numPr>
        <w:spacing w:before="60" w:after="60"/>
      </w:pPr>
      <w:r>
        <w:rPr>
          <w:rFonts w:ascii="Arial" w:cs="Arial" w:eastAsia="Arial" w:hAnsi="Arial"/>
          <w:b w:val="false"/>
          <w:bCs w:val="false"/>
          <w:color w:val="1A1A2E"/>
          <w:sz w:val="22"/>
          <w:szCs w:val="22"/>
        </w:rPr>
        <w:t xml:space="preserve">Institute batch subscription: Institutes subscribe on behalf of an entire batch — fixed monthly fee for defined access; trainer's most stable income stream</w:t>
      </w:r>
    </w:p>
    <w:p>
      <w:pPr>
        <w:pStyle w:val="ListParagraph"/>
        <w:numPr>
          <w:ilvl w:val="0"/>
          <w:numId w:val="2"/>
        </w:numPr>
        <w:spacing w:before="60" w:after="60"/>
      </w:pPr>
      <w:r>
        <w:rPr>
          <w:rFonts w:ascii="Arial" w:cs="Arial" w:eastAsia="Arial" w:hAnsi="Arial"/>
          <w:b w:val="false"/>
          <w:bCs w:val="false"/>
          <w:color w:val="1A1A2E"/>
          <w:sz w:val="22"/>
          <w:szCs w:val="22"/>
        </w:rPr>
        <w:t xml:space="preserve">Subscriber dashboard: Trainer sees active subscribers, churn rate, renewal dates, lifetime value per subscriber, and net monthly recurring revenue (MRR) in real time</w:t>
      </w:r>
    </w:p>
    <w:p>
      <w:pPr>
        <w:pStyle w:val="ListParagraph"/>
        <w:numPr>
          <w:ilvl w:val="0"/>
          <w:numId w:val="2"/>
        </w:numPr>
        <w:spacing w:before="60" w:after="60"/>
      </w:pPr>
      <w:r>
        <w:rPr>
          <w:rFonts w:ascii="Arial" w:cs="Arial" w:eastAsia="Arial" w:hAnsi="Arial"/>
          <w:b w:val="false"/>
          <w:bCs w:val="false"/>
          <w:color w:val="1A1A2E"/>
          <w:sz w:val="22"/>
          <w:szCs w:val="22"/>
        </w:rPr>
        <w:t xml:space="preserve">Content scheduling calendar: Trainer plans monthly content calendar — live sessions, new course modules, webinars, and Q&amp;A calls — visible to subscribers as a benefit calendar</w:t>
      </w:r>
    </w:p>
    <w:p>
      <w:pPr>
        <w:pStyle w:val="ListParagraph"/>
        <w:numPr>
          <w:ilvl w:val="0"/>
          <w:numId w:val="2"/>
        </w:numPr>
        <w:spacing w:before="60" w:after="60"/>
      </w:pPr>
      <w:r>
        <w:rPr>
          <w:rFonts w:ascii="Arial" w:cs="Arial" w:eastAsia="Arial" w:hAnsi="Arial"/>
          <w:b w:val="false"/>
          <w:bCs w:val="false"/>
          <w:color w:val="1A1A2E"/>
          <w:sz w:val="22"/>
          <w:szCs w:val="22"/>
        </w:rPr>
        <w:t xml:space="preserve">Subscriber community: Private subscriber-only community space for discussion, peer support, and trainer Q&amp;A — increases perceived value and reduces churn</w:t>
      </w:r>
    </w:p>
    <w:p>
      <w:pPr>
        <w:pStyle w:val="ListParagraph"/>
        <w:numPr>
          <w:ilvl w:val="0"/>
          <w:numId w:val="2"/>
        </w:numPr>
        <w:spacing w:before="60" w:after="60"/>
      </w:pPr>
      <w:r>
        <w:rPr>
          <w:rFonts w:ascii="Arial" w:cs="Arial" w:eastAsia="Arial" w:hAnsi="Arial"/>
          <w:b w:val="false"/>
          <w:bCs w:val="false"/>
          <w:color w:val="1A1A2E"/>
          <w:sz w:val="22"/>
          <w:szCs w:val="22"/>
        </w:rPr>
        <w:t xml:space="preserve">Churn prediction alerts: Platform flags subscribers who have reduced engagement below a threshold — prompting trainer to reach out and improve retention before cancellation</w:t>
      </w:r>
    </w:p>
    <w:p>
      <w:pPr>
        <w:pStyle w:val="ListParagraph"/>
        <w:numPr>
          <w:ilvl w:val="0"/>
          <w:numId w:val="2"/>
        </w:numPr>
        <w:spacing w:before="60" w:after="60"/>
      </w:pPr>
      <w:r>
        <w:rPr>
          <w:rFonts w:ascii="Arial" w:cs="Arial" w:eastAsia="Arial" w:hAnsi="Arial"/>
          <w:b w:val="false"/>
          <w:bCs w:val="false"/>
          <w:color w:val="1A1A2E"/>
          <w:sz w:val="22"/>
          <w:szCs w:val="22"/>
        </w:rPr>
        <w:t xml:space="preserve">Annual plan incentives: Trainers can offer annual subscribers a bonus (extra session, course access, priority scheduling) — driving conversion from monthly to higher-value annual plans</w:t>
      </w:r>
    </w:p>
    <w:p>
      <w:pPr>
        <w:pStyle w:val="ListParagraph"/>
        <w:numPr>
          <w:ilvl w:val="0"/>
          <w:numId w:val="2"/>
        </w:numPr>
        <w:spacing w:before="60" w:after="60"/>
      </w:pPr>
      <w:r>
        <w:rPr>
          <w:rFonts w:ascii="Arial" w:cs="Arial" w:eastAsia="Arial" w:hAnsi="Arial"/>
          <w:b w:val="false"/>
          <w:bCs w:val="false"/>
          <w:color w:val="1A1A2E"/>
          <w:sz w:val="22"/>
          <w:szCs w:val="22"/>
        </w:rPr>
        <w:t xml:space="preserve">Multi-trainer subscription bundles: Platform-level bundles where students subscribe to access a curated group of trainers — trainers earn a prorated share of bundle revenue based on usage</w:t>
      </w:r>
    </w:p>
    <w:p>
      <w:pPr>
        <w:spacing w:before="80" w:after="80"/>
      </w:pPr>
      <w:r>
        <w:t xml:space="preserve"/>
      </w:r>
    </w:p>
    <w:p>
      <w:pPr>
        <w:spacing w:before="200" w:after="80"/>
      </w:pPr>
      <w:r>
        <w:rPr>
          <w:rFonts w:ascii="Arial" w:cs="Arial" w:eastAsia="Arial" w:hAnsi="Arial"/>
          <w:b/>
          <w:bCs/>
          <w:color w:val="0A6640"/>
          <w:sz w:val="24"/>
          <w:szCs w:val="24"/>
        </w:rPr>
        <w:t xml:space="preserve">Pricing Benchmarks &amp; Revenue Potential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CFBE" w:sz="1"/>
              <w:left w:val="single" w:color="B0CFBE" w:sz="1"/>
              <w:bottom w:val="single" w:color="B0CFBE" w:sz="1"/>
              <w:right w:val="single" w:color="B0CFBE" w:sz="1"/>
            </w:tcBorders>
            <w:shd w:fill="0A66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Revenue Stream</w:t>
            </w:r>
          </w:p>
        </w:tc>
        <w:tc>
          <w:tcPr>
            <w:tcW w:type="dxa" w:w="3120"/>
            <w:tcBorders>
              <w:top w:val="single" w:color="B0CFBE" w:sz="1"/>
              <w:left w:val="single" w:color="B0CFBE" w:sz="1"/>
              <w:bottom w:val="single" w:color="B0CFBE" w:sz="1"/>
              <w:right w:val="single" w:color="B0CFBE" w:sz="1"/>
            </w:tcBorders>
            <w:shd w:fill="0A66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Typical Pricing (INR)</w:t>
            </w:r>
          </w:p>
        </w:tc>
        <w:tc>
          <w:tcPr>
            <w:tcW w:type="dxa" w:w="3120"/>
            <w:tcBorders>
              <w:top w:val="single" w:color="B0CFBE" w:sz="1"/>
              <w:left w:val="single" w:color="B0CFBE" w:sz="1"/>
              <w:bottom w:val="single" w:color="B0CFBE" w:sz="1"/>
              <w:right w:val="single" w:color="B0CFBE" w:sz="1"/>
            </w:tcBorders>
            <w:shd w:fill="0A66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Platform Commission</w:t>
            </w:r>
          </w:p>
        </w:tc>
      </w:tr>
      <w:tr>
        <w:tc>
          <w:tcPr>
            <w:tcW w:type="dxa" w:w="312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left"/>
            </w:pPr>
            <w:r>
              <w:rPr>
                <w:rFonts w:ascii="Arial" w:cs="Arial" w:eastAsia="Arial" w:hAnsi="Arial"/>
                <w:color w:val="1A1A2E"/>
                <w:sz w:val="20"/>
                <w:szCs w:val="20"/>
              </w:rPr>
              <w:t xml:space="preserve">Individual Monthly Subscription (Basic)</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₹299 – ₹599/month</w:t>
            </w:r>
          </w:p>
        </w:tc>
        <w:tc>
          <w:tcPr>
            <w:tcW w:type="dxa" w:w="312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center"/>
            </w:pPr>
            <w:r>
              <w:rPr>
                <w:rFonts w:ascii="Arial" w:cs="Arial" w:eastAsia="Arial" w:hAnsi="Arial"/>
                <w:color w:val="1A1A2E"/>
                <w:sz w:val="20"/>
                <w:szCs w:val="20"/>
              </w:rPr>
              <w:t xml:space="preserve">18–20%</w:t>
            </w:r>
          </w:p>
        </w:tc>
      </w:tr>
      <w:tr>
        <w:tc>
          <w:tcPr>
            <w:tcW w:type="dxa" w:w="312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Individual Monthly Subscription (Pro)</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₹699 – ₹1,499/month</w:t>
            </w:r>
          </w:p>
        </w:tc>
        <w:tc>
          <w:tcPr>
            <w:tcW w:type="dxa" w:w="312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center"/>
            </w:pPr>
            <w:r>
              <w:rPr>
                <w:rFonts w:ascii="Arial" w:cs="Arial" w:eastAsia="Arial" w:hAnsi="Arial"/>
                <w:color w:val="1A1A2E"/>
                <w:sz w:val="20"/>
                <w:szCs w:val="20"/>
              </w:rPr>
              <w:t xml:space="preserve">18%</w:t>
            </w:r>
          </w:p>
        </w:tc>
      </w:tr>
      <w:tr>
        <w:tc>
          <w:tcPr>
            <w:tcW w:type="dxa" w:w="312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left"/>
            </w:pPr>
            <w:r>
              <w:rPr>
                <w:rFonts w:ascii="Arial" w:cs="Arial" w:eastAsia="Arial" w:hAnsi="Arial"/>
                <w:color w:val="1A1A2E"/>
                <w:sz w:val="20"/>
                <w:szCs w:val="20"/>
              </w:rPr>
              <w:t xml:space="preserve">Individual Annual Subscription</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₹2,999 – ₹9,999/year</w:t>
            </w:r>
          </w:p>
        </w:tc>
        <w:tc>
          <w:tcPr>
            <w:tcW w:type="dxa" w:w="312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center"/>
            </w:pPr>
            <w:r>
              <w:rPr>
                <w:rFonts w:ascii="Arial" w:cs="Arial" w:eastAsia="Arial" w:hAnsi="Arial"/>
                <w:color w:val="1A1A2E"/>
                <w:sz w:val="20"/>
                <w:szCs w:val="20"/>
              </w:rPr>
              <w:t xml:space="preserve">18%</w:t>
            </w:r>
          </w:p>
        </w:tc>
      </w:tr>
      <w:tr>
        <w:tc>
          <w:tcPr>
            <w:tcW w:type="dxa" w:w="312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Institute Batch Monthly Subscription</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₹8,000 – ₹30,000/month</w:t>
            </w:r>
          </w:p>
        </w:tc>
        <w:tc>
          <w:tcPr>
            <w:tcW w:type="dxa" w:w="312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center"/>
            </w:pPr>
            <w:r>
              <w:rPr>
                <w:rFonts w:ascii="Arial" w:cs="Arial" w:eastAsia="Arial" w:hAnsi="Arial"/>
                <w:color w:val="1A1A2E"/>
                <w:sz w:val="20"/>
                <w:szCs w:val="20"/>
              </w:rPr>
              <w:t xml:space="preserve">12–15%</w:t>
            </w:r>
          </w:p>
        </w:tc>
      </w:tr>
      <w:tr>
        <w:tc>
          <w:tcPr>
            <w:tcW w:type="dxa" w:w="312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left"/>
            </w:pPr>
            <w:r>
              <w:rPr>
                <w:rFonts w:ascii="Arial" w:cs="Arial" w:eastAsia="Arial" w:hAnsi="Arial"/>
                <w:color w:val="1A1A2E"/>
                <w:sz w:val="20"/>
                <w:szCs w:val="20"/>
              </w:rPr>
              <w:t xml:space="preserve">Multi-Trainer Bundle Subscription (share)</w:t>
            </w:r>
          </w:p>
        </w:tc>
        <w:tc>
          <w:tcPr>
            <w:tcW w:type="dxa" w:w="3120"/>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Prorated from ₹499–₹999/student</w:t>
            </w:r>
          </w:p>
        </w:tc>
        <w:tc>
          <w:tcPr>
            <w:tcW w:type="dxa" w:w="312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center"/>
            </w:pPr>
            <w:r>
              <w:rPr>
                <w:rFonts w:ascii="Arial" w:cs="Arial" w:eastAsia="Arial" w:hAnsi="Arial"/>
                <w:color w:val="1A1A2E"/>
                <w:sz w:val="20"/>
                <w:szCs w:val="20"/>
              </w:rPr>
              <w:t xml:space="preserve">Platform managed</w:t>
            </w:r>
          </w:p>
        </w:tc>
      </w:tr>
    </w:tbl>
    <w:p>
      <w:pPr>
        <w:spacing w:before="80" w:after="80"/>
      </w:pPr>
      <w:r>
        <w:t xml:space="preserve"/>
      </w:r>
    </w:p>
    <w:p>
      <w:pPr>
        <w:spacing w:before="200" w:after="80"/>
      </w:pPr>
      <w:r>
        <w:rPr>
          <w:rFonts w:ascii="Arial" w:cs="Arial" w:eastAsia="Arial" w:hAnsi="Arial"/>
          <w:b/>
          <w:bCs/>
          <w:color w:val="0A6640"/>
          <w:sz w:val="24"/>
          <w:szCs w:val="24"/>
        </w:rPr>
        <w:t xml:space="preserve">Research Insight</w:t>
      </w:r>
    </w:p>
    <w:p>
      <w:pPr>
        <w:spacing w:before="80" w:after="80"/>
      </w:pPr>
      <w:r>
        <w:rPr>
          <w:rFonts w:ascii="Arial" w:cs="Arial" w:eastAsia="Arial" w:hAnsi="Arial"/>
          <w:color w:val="1A1A2E"/>
          <w:sz w:val="22"/>
          <w:szCs w:val="22"/>
        </w:rPr>
        <w:t xml:space="preserve">The subscription economy has demonstrated superior financial performance across every sector it has entered. Zuora's Subscription Economy Index shows that subscription-based businesses grow revenue 3.7x faster than S&amp;P 500 companies, primarily because of compounding subscriber base growth and near-zero marginal revenue cost per additional subscriber. For individual trainers, the shift to subscription MRR (Monthly Recurring Revenue) is the single most powerful financial transformation available — converting feast-or-famine session income into a stable, predictable, growing income base. Research on edtech subscription models specifically shows 68% higher annual trainer income for subscription-model trainers vs. transactional session trainers with equivalent student volumes.</w:t>
      </w:r>
    </w:p>
    <w:p>
      <w:pPr>
        <w:spacing w:before="80" w:after="80"/>
      </w:pPr>
      <w:r>
        <w:t xml:space="preserve"/>
      </w:r>
    </w:p>
    <w:p>
      <w:pPr>
        <w:pBdr>
          <w:bottom w:val="single" w:color="A8D5B5" w:sz="6" w:space="1"/>
        </w:pBdr>
        <w:spacing w:before="140" w:after="14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6640" w:val="clear"/>
            <w:tcMar>
              <w:top w:type="dxa" w:w="130"/>
              <w:left w:type="dxa" w:w="220"/>
              <w:bottom w:type="dxa" w:w="130"/>
              <w:right w:type="dxa" w:w="220"/>
            </w:tcMar>
          </w:tcPr>
          <w:p>
            <w:r>
              <w:rPr>
                <w:rFonts w:ascii="Arial" w:cs="Arial" w:eastAsia="Arial" w:hAnsi="Arial"/>
                <w:color w:val="E6F4EE"/>
                <w:sz w:val="22"/>
                <w:szCs w:val="22"/>
              </w:rPr>
              <w:t xml:space="preserve">Sub-Feature 11.9  |  </w:t>
            </w:r>
            <w:r>
              <w:rPr>
                <w:rFonts w:ascii="Arial" w:cs="Arial" w:eastAsia="Arial" w:hAnsi="Arial"/>
                <w:b/>
                <w:bCs/>
                <w:color w:val="FFFFFF"/>
                <w:sz w:val="28"/>
                <w:szCs w:val="28"/>
              </w:rPr>
              <w:t xml:space="preserve">Revenue Analytics Dashboard</w:t>
            </w:r>
          </w:p>
        </w:tc>
      </w:tr>
    </w:tbl>
    <w:p>
      <w:pPr>
        <w:spacing w:before="80" w:after="80"/>
      </w:pPr>
      <w:r>
        <w:t xml:space="preserve"/>
      </w:r>
    </w:p>
    <w:p>
      <w:pPr>
        <w:pStyle w:val="Heading2"/>
        <w:spacing w:before="300" w:after="120"/>
      </w:pPr>
      <w:r>
        <w:rPr>
          <w:rFonts w:ascii="Arial" w:cs="Arial" w:eastAsia="Arial" w:hAnsi="Arial"/>
          <w:b/>
          <w:bCs/>
          <w:color w:val="1A1A2E"/>
          <w:sz w:val="28"/>
          <w:szCs w:val="28"/>
        </w:rPr>
        <w:t xml:space="preserve">Feature Overview</w:t>
      </w:r>
    </w:p>
    <w:p>
      <w:pPr>
        <w:spacing w:before="80" w:after="80"/>
      </w:pPr>
      <w:r>
        <w:rPr>
          <w:rFonts w:ascii="Arial" w:cs="Arial" w:eastAsia="Arial" w:hAnsi="Arial"/>
          <w:color w:val="1A1A2E"/>
          <w:sz w:val="22"/>
          <w:szCs w:val="22"/>
        </w:rPr>
        <w:t xml:space="preserve">The Revenue Analytics Dashboard is the financial intelligence center of Feature 11. It synthesizes all revenue streams into a unified, real-time financial view that enables trainers to understand their income composition, optimize their revenue mix, forecast future earnings, and make data-driven decisions about where to invest their time and energy for maximum financial return.</w:t>
      </w:r>
    </w:p>
    <w:p>
      <w:pPr>
        <w:spacing w:before="80" w:after="80"/>
      </w:pPr>
      <w:r>
        <w:t xml:space="preserve"/>
      </w:r>
    </w:p>
    <w:p>
      <w:pPr>
        <w:spacing w:before="200" w:after="80"/>
      </w:pPr>
      <w:r>
        <w:rPr>
          <w:rFonts w:ascii="Arial" w:cs="Arial" w:eastAsia="Arial" w:hAnsi="Arial"/>
          <w:b/>
          <w:bCs/>
          <w:color w:val="0A6640"/>
          <w:sz w:val="24"/>
          <w:szCs w:val="24"/>
        </w:rPr>
        <w:t xml:space="preserve">Core Capabilities</w:t>
      </w:r>
    </w:p>
    <w:p>
      <w:pPr>
        <w:pStyle w:val="ListParagraph"/>
        <w:numPr>
          <w:ilvl w:val="0"/>
          <w:numId w:val="2"/>
        </w:numPr>
        <w:spacing w:before="60" w:after="60"/>
      </w:pPr>
      <w:r>
        <w:rPr>
          <w:rFonts w:ascii="Arial" w:cs="Arial" w:eastAsia="Arial" w:hAnsi="Arial"/>
          <w:b w:val="false"/>
          <w:bCs w:val="false"/>
          <w:color w:val="1A1A2E"/>
          <w:sz w:val="22"/>
          <w:szCs w:val="22"/>
        </w:rPr>
        <w:t xml:space="preserve">Unified revenue summary: Single view of total earnings across all 8 revenue streams — programs, workshops, mentorship, visit facilitation, course sales, certifications, corporate contracts, and subscriptions — with period comparison (MTD, QTD, YTD)</w:t>
      </w:r>
    </w:p>
    <w:p>
      <w:pPr>
        <w:pStyle w:val="ListParagraph"/>
        <w:numPr>
          <w:ilvl w:val="0"/>
          <w:numId w:val="2"/>
        </w:numPr>
        <w:spacing w:before="60" w:after="60"/>
      </w:pPr>
      <w:r>
        <w:rPr>
          <w:rFonts w:ascii="Arial" w:cs="Arial" w:eastAsia="Arial" w:hAnsi="Arial"/>
          <w:b w:val="false"/>
          <w:bCs w:val="false"/>
          <w:color w:val="1A1A2E"/>
          <w:sz w:val="22"/>
          <w:szCs w:val="22"/>
        </w:rPr>
        <w:t xml:space="preserve">Revenue stream breakdown: Pie chart and bar visualization showing income contribution from each stream — immediately revealing over-dependence on a single channel and diversification opportunities</w:t>
      </w:r>
    </w:p>
    <w:p>
      <w:pPr>
        <w:pStyle w:val="ListParagraph"/>
        <w:numPr>
          <w:ilvl w:val="0"/>
          <w:numId w:val="2"/>
        </w:numPr>
        <w:spacing w:before="60" w:after="60"/>
      </w:pPr>
      <w:r>
        <w:rPr>
          <w:rFonts w:ascii="Arial" w:cs="Arial" w:eastAsia="Arial" w:hAnsi="Arial"/>
          <w:b w:val="false"/>
          <w:bCs w:val="false"/>
          <w:color w:val="1A1A2E"/>
          <w:sz w:val="22"/>
          <w:szCs w:val="22"/>
        </w:rPr>
        <w:t xml:space="preserve">Monthly Recurring Revenue (MRR) tracker: Dedicated view for subscription income — active subscribers, MRR, annual run rate, and month-over-month growth rate</w:t>
      </w:r>
    </w:p>
    <w:p>
      <w:pPr>
        <w:pStyle w:val="ListParagraph"/>
        <w:numPr>
          <w:ilvl w:val="0"/>
          <w:numId w:val="2"/>
        </w:numPr>
        <w:spacing w:before="60" w:after="60"/>
      </w:pPr>
      <w:r>
        <w:rPr>
          <w:rFonts w:ascii="Arial" w:cs="Arial" w:eastAsia="Arial" w:hAnsi="Arial"/>
          <w:b w:val="false"/>
          <w:bCs w:val="false"/>
          <w:color w:val="1A1A2E"/>
          <w:sz w:val="22"/>
          <w:szCs w:val="22"/>
        </w:rPr>
        <w:t xml:space="preserve">Pipeline view: Upcoming confirmed revenue — scheduled sessions, workshop bookings, pending corporate contract milestones, and subscription renewals — giving 30/60/90 day earnings forecasts</w:t>
      </w:r>
    </w:p>
    <w:p>
      <w:pPr>
        <w:pStyle w:val="ListParagraph"/>
        <w:numPr>
          <w:ilvl w:val="0"/>
          <w:numId w:val="2"/>
        </w:numPr>
        <w:spacing w:before="60" w:after="60"/>
      </w:pPr>
      <w:r>
        <w:rPr>
          <w:rFonts w:ascii="Arial" w:cs="Arial" w:eastAsia="Arial" w:hAnsi="Arial"/>
          <w:b w:val="false"/>
          <w:bCs w:val="false"/>
          <w:color w:val="1A1A2E"/>
          <w:sz w:val="22"/>
          <w:szCs w:val="22"/>
        </w:rPr>
        <w:t xml:space="preserve">Payout history and schedule: Complete record of all past disbursements with status (paid, pending, processing) and upcoming payout dates by revenue source</w:t>
      </w:r>
    </w:p>
    <w:p>
      <w:pPr>
        <w:pStyle w:val="ListParagraph"/>
        <w:numPr>
          <w:ilvl w:val="0"/>
          <w:numId w:val="2"/>
        </w:numPr>
        <w:spacing w:before="60" w:after="60"/>
      </w:pPr>
      <w:r>
        <w:rPr>
          <w:rFonts w:ascii="Arial" w:cs="Arial" w:eastAsia="Arial" w:hAnsi="Arial"/>
          <w:b w:val="false"/>
          <w:bCs w:val="false"/>
          <w:color w:val="1A1A2E"/>
          <w:sz w:val="22"/>
          <w:szCs w:val="22"/>
        </w:rPr>
        <w:t xml:space="preserve">Per-student revenue analysis: Which student types (institute batch vs. individual subscriber vs. corporate employee) generate the highest revenue per engagement hour?</w:t>
      </w:r>
    </w:p>
    <w:p>
      <w:pPr>
        <w:pStyle w:val="ListParagraph"/>
        <w:numPr>
          <w:ilvl w:val="0"/>
          <w:numId w:val="2"/>
        </w:numPr>
        <w:spacing w:before="60" w:after="60"/>
      </w:pPr>
      <w:r>
        <w:rPr>
          <w:rFonts w:ascii="Arial" w:cs="Arial" w:eastAsia="Arial" w:hAnsi="Arial"/>
          <w:b w:val="false"/>
          <w:bCs w:val="false"/>
          <w:color w:val="1A1A2E"/>
          <w:sz w:val="22"/>
          <w:szCs w:val="22"/>
        </w:rPr>
        <w:t xml:space="preserve">Revenue vs. effort ratio: Tracks trainer's time investment per revenue stream vs. income generated — identifying highest ROI activities and time sinks</w:t>
      </w:r>
    </w:p>
    <w:p>
      <w:pPr>
        <w:pStyle w:val="ListParagraph"/>
        <w:numPr>
          <w:ilvl w:val="0"/>
          <w:numId w:val="2"/>
        </w:numPr>
        <w:spacing w:before="60" w:after="60"/>
      </w:pPr>
      <w:r>
        <w:rPr>
          <w:rFonts w:ascii="Arial" w:cs="Arial" w:eastAsia="Arial" w:hAnsi="Arial"/>
          <w:b w:val="false"/>
          <w:bCs w:val="false"/>
          <w:color w:val="1A1A2E"/>
          <w:sz w:val="22"/>
          <w:szCs w:val="22"/>
        </w:rPr>
        <w:t xml:space="preserve">Tax documentation support: Annual earnings summary formatted for Indian tax filing (Form 16A equivalent for platform TDS deductions); GST invoice generation for corporate clients</w:t>
      </w:r>
    </w:p>
    <w:p>
      <w:pPr>
        <w:pStyle w:val="ListParagraph"/>
        <w:numPr>
          <w:ilvl w:val="0"/>
          <w:numId w:val="2"/>
        </w:numPr>
        <w:spacing w:before="60" w:after="60"/>
      </w:pPr>
      <w:r>
        <w:rPr>
          <w:rFonts w:ascii="Arial" w:cs="Arial" w:eastAsia="Arial" w:hAnsi="Arial"/>
          <w:b w:val="false"/>
          <w:bCs w:val="false"/>
          <w:color w:val="1A1A2E"/>
          <w:sz w:val="22"/>
          <w:szCs w:val="22"/>
        </w:rPr>
        <w:t xml:space="preserve">Benchmark comparison: Anonymous comparison of trainer's revenue per engagement hour vs. platform-wide trainer percentile — motivating performance improvement</w:t>
      </w:r>
    </w:p>
    <w:p>
      <w:pPr>
        <w:pStyle w:val="ListParagraph"/>
        <w:numPr>
          <w:ilvl w:val="0"/>
          <w:numId w:val="2"/>
        </w:numPr>
        <w:spacing w:before="60" w:after="60"/>
      </w:pPr>
      <w:r>
        <w:rPr>
          <w:rFonts w:ascii="Arial" w:cs="Arial" w:eastAsia="Arial" w:hAnsi="Arial"/>
          <w:b w:val="false"/>
          <w:bCs w:val="false"/>
          <w:color w:val="1A1A2E"/>
          <w:sz w:val="22"/>
          <w:szCs w:val="22"/>
        </w:rPr>
        <w:t xml:space="preserve">Growth recommendations: AI-generated revenue optimization suggestions — e.g., 'Converting 20% of your workshop attendees to monthly subscribers would increase your MRR by ₹12,000'</w:t>
      </w:r>
    </w:p>
    <w:p>
      <w:pPr>
        <w:pStyle w:val="ListParagraph"/>
        <w:numPr>
          <w:ilvl w:val="0"/>
          <w:numId w:val="2"/>
        </w:numPr>
        <w:spacing w:before="60" w:after="60"/>
      </w:pPr>
      <w:r>
        <w:rPr>
          <w:rFonts w:ascii="Arial" w:cs="Arial" w:eastAsia="Arial" w:hAnsi="Arial"/>
          <w:b w:val="false"/>
          <w:bCs w:val="false"/>
          <w:color w:val="1A1A2E"/>
          <w:sz w:val="22"/>
          <w:szCs w:val="22"/>
        </w:rPr>
        <w:t xml:space="preserve">Withdrawal management: Trainer initiates payouts to their registered bank account with customizable frequency (weekly, bi-weekly, monthly); minimum withdrawal threshold and instant payout options</w:t>
      </w:r>
    </w:p>
    <w:p>
      <w:pPr>
        <w:spacing w:before="80" w:after="80"/>
      </w:pPr>
      <w:r>
        <w:t xml:space="preserve"/>
      </w:r>
    </w:p>
    <w:p>
      <w:pPr>
        <w:spacing w:before="200" w:after="80"/>
      </w:pPr>
      <w:r>
        <w:rPr>
          <w:rFonts w:ascii="Arial" w:cs="Arial" w:eastAsia="Arial" w:hAnsi="Arial"/>
          <w:b/>
          <w:bCs/>
          <w:color w:val="0A6640"/>
          <w:sz w:val="24"/>
          <w:szCs w:val="24"/>
        </w:rPr>
        <w:t xml:space="preserve">Stakeholder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r>
              <w:rPr>
                <w:rFonts w:ascii="Arial" w:cs="Arial" w:eastAsia="Arial" w:hAnsi="Arial"/>
                <w:b/>
                <w:bCs/>
                <w:color w:val="0A6640"/>
                <w:sz w:val="20"/>
                <w:szCs w:val="20"/>
              </w:rPr>
              <w:t xml:space="preserve">Trainer</w:t>
            </w:r>
          </w:p>
        </w:tc>
        <w:tc>
          <w:tcPr>
            <w:tcW w:type="dxa" w:w="676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Complete financial clarity; income planning; tax compliance; revenue optimization guidance; reduced collection burden</w:t>
            </w:r>
          </w:p>
        </w:tc>
      </w:tr>
      <w:tr>
        <w:tc>
          <w:tcPr>
            <w:tcW w:type="dxa" w:w="260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r>
              <w:rPr>
                <w:rFonts w:ascii="Arial" w:cs="Arial" w:eastAsia="Arial" w:hAnsi="Arial"/>
                <w:b/>
                <w:bCs/>
                <w:color w:val="0A6640"/>
                <w:sz w:val="20"/>
                <w:szCs w:val="20"/>
              </w:rPr>
              <w:t xml:space="preserve">Platform Admin</w:t>
            </w:r>
          </w:p>
        </w:tc>
        <w:tc>
          <w:tcPr>
            <w:tcW w:type="dxa" w:w="676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r>
              <w:rPr>
                <w:rFonts w:ascii="Arial" w:cs="Arial" w:eastAsia="Arial" w:hAnsi="Arial"/>
                <w:color w:val="1A1A2E"/>
                <w:sz w:val="20"/>
                <w:szCs w:val="20"/>
              </w:rPr>
              <w:t xml:space="preserve">Revenue health monitoring across all trainers; identify low-earning trainers for support; track platform commission performance</w:t>
            </w:r>
          </w:p>
        </w:tc>
      </w:tr>
      <w:tr>
        <w:tc>
          <w:tcPr>
            <w:tcW w:type="dxa" w:w="260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r>
              <w:rPr>
                <w:rFonts w:ascii="Arial" w:cs="Arial" w:eastAsia="Arial" w:hAnsi="Arial"/>
                <w:b/>
                <w:bCs/>
                <w:color w:val="0A6640"/>
                <w:sz w:val="20"/>
                <w:szCs w:val="20"/>
              </w:rPr>
              <w:t xml:space="preserve">Finance Team</w:t>
            </w:r>
          </w:p>
        </w:tc>
        <w:tc>
          <w:tcPr>
            <w:tcW w:type="dxa" w:w="676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Automated revenue recognition; TDS management; GST invoice generation; audit-ready transaction records</w:t>
            </w:r>
          </w:p>
        </w:tc>
      </w:tr>
      <w:tr>
        <w:tc>
          <w:tcPr>
            <w:tcW w:type="dxa" w:w="260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r>
              <w:rPr>
                <w:rFonts w:ascii="Arial" w:cs="Arial" w:eastAsia="Arial" w:hAnsi="Arial"/>
                <w:b/>
                <w:bCs/>
                <w:color w:val="0A6640"/>
                <w:sz w:val="20"/>
                <w:szCs w:val="20"/>
              </w:rPr>
              <w:t xml:space="preserve">Institute Partners</w:t>
            </w:r>
          </w:p>
        </w:tc>
        <w:tc>
          <w:tcPr>
            <w:tcW w:type="dxa" w:w="676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r>
              <w:rPr>
                <w:rFonts w:ascii="Arial" w:cs="Arial" w:eastAsia="Arial" w:hAnsi="Arial"/>
                <w:color w:val="1A1A2E"/>
                <w:sz w:val="20"/>
                <w:szCs w:val="20"/>
              </w:rPr>
              <w:t xml:space="preserve">Institute-level view of total training investment across all subscribed trainers; cost justification data for management</w:t>
            </w:r>
          </w:p>
        </w:tc>
      </w:tr>
      <w:tr>
        <w:tc>
          <w:tcPr>
            <w:tcW w:type="dxa" w:w="260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r>
              <w:rPr>
                <w:rFonts w:ascii="Arial" w:cs="Arial" w:eastAsia="Arial" w:hAnsi="Arial"/>
                <w:b/>
                <w:bCs/>
                <w:color w:val="0A6640"/>
                <w:sz w:val="20"/>
                <w:szCs w:val="20"/>
              </w:rPr>
              <w:t xml:space="preserve">Trainer Managers</w:t>
            </w:r>
          </w:p>
        </w:tc>
        <w:tc>
          <w:tcPr>
            <w:tcW w:type="dxa" w:w="676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Manage multiple trainers from a single aggregated dashboard — compare performance and identify top earners for priority support</w:t>
            </w:r>
          </w:p>
        </w:tc>
      </w:tr>
    </w:tbl>
    <w:p>
      <w:pPr>
        <w:spacing w:before="80" w:after="80"/>
      </w:pPr>
      <w:r>
        <w:t xml:space="preserve"/>
      </w:r>
    </w:p>
    <w:p>
      <w:pPr>
        <w:spacing w:before="200" w:after="80"/>
      </w:pPr>
      <w:r>
        <w:rPr>
          <w:rFonts w:ascii="Arial" w:cs="Arial" w:eastAsia="Arial" w:hAnsi="Arial"/>
          <w:b/>
          <w:bCs/>
          <w:color w:val="0A6640"/>
          <w:sz w:val="24"/>
          <w:szCs w:val="24"/>
        </w:rPr>
        <w:t xml:space="preserve">Research Insight</w:t>
      </w:r>
    </w:p>
    <w:p>
      <w:pPr>
        <w:spacing w:before="80" w:after="80"/>
      </w:pPr>
      <w:r>
        <w:rPr>
          <w:rFonts w:ascii="Arial" w:cs="Arial" w:eastAsia="Arial" w:hAnsi="Arial"/>
          <w:color w:val="1A1A2E"/>
          <w:sz w:val="22"/>
          <w:szCs w:val="22"/>
        </w:rPr>
        <w:t xml:space="preserve">Financial data transparency is among the top three retention factors for platform-based knowledge workers, according to research on the gig economy by Farrell and Greig (JPMorgan Chase Institute, 2016). Trainers who have clear, accessible visibility into their earnings and the factors that influence them demonstrate 40% higher platform retention rates than those operating with opaque payment systems. The Revenue Analytics Dashboard also serves a strategic function: by surfacing the revenue potential of underutilized streams (e.g., a trainer relying entirely on program fees who has not yet listed courses or mentorship), it acts as a personalized growth advisor — converting dashboard insights into real income diversification actions.</w:t>
      </w:r>
    </w:p>
    <w:p>
      <w:pPr>
        <w:spacing w:before="80" w:after="80"/>
      </w:pPr>
      <w:r>
        <w:t xml:space="preserve"/>
      </w:r>
    </w:p>
    <w:p>
      <w:pPr>
        <w:pBdr>
          <w:bottom w:val="single" w:color="A8D5B5" w:sz="6" w:space="1"/>
        </w:pBdr>
        <w:spacing w:before="140" w:after="140"/>
      </w:pPr>
      <w:r>
        <w:t xml:space="preserve"/>
      </w:r>
    </w:p>
    <w:p>
      <w:r>
        <w:br w:type="page"/>
      </w:r>
    </w:p>
    <w:p>
      <w:pPr>
        <w:pStyle w:val="Heading1"/>
        <w:spacing w:before="400" w:after="180"/>
      </w:pPr>
      <w:r>
        <w:rPr>
          <w:rFonts w:ascii="Arial" w:cs="Arial" w:eastAsia="Arial" w:hAnsi="Arial"/>
          <w:b/>
          <w:bCs/>
          <w:color w:val="0A6640"/>
          <w:sz w:val="38"/>
          <w:szCs w:val="38"/>
        </w:rPr>
        <w:t xml:space="preserve">Platform Integration &amp; Ecosystem Connections</w:t>
      </w:r>
    </w:p>
    <w:p>
      <w:pPr>
        <w:spacing w:before="80" w:after="80"/>
      </w:pPr>
      <w:r>
        <w:rPr>
          <w:rFonts w:ascii="Arial" w:cs="Arial" w:eastAsia="Arial" w:hAnsi="Arial"/>
          <w:color w:val="1A1A2E"/>
          <w:sz w:val="22"/>
          <w:szCs w:val="22"/>
        </w:rPr>
        <w:t xml:space="preserve">Feature 11 operates as the financial backbone connecting trainer activity across the entire platform ecosystem: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FBE" w:sz="1"/>
              <w:left w:val="single" w:color="B0CFBE" w:sz="1"/>
              <w:bottom w:val="single" w:color="B0CFBE" w:sz="1"/>
              <w:right w:val="single" w:color="B0CFBE" w:sz="1"/>
            </w:tcBorders>
            <w:shd w:fill="0A66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Connected Module</w:t>
            </w:r>
          </w:p>
        </w:tc>
        <w:tc>
          <w:tcPr>
            <w:tcW w:type="dxa" w:w="6560"/>
            <w:tcBorders>
              <w:top w:val="single" w:color="B0CFBE" w:sz="1"/>
              <w:left w:val="single" w:color="B0CFBE" w:sz="1"/>
              <w:bottom w:val="single" w:color="B0CFBE" w:sz="1"/>
              <w:right w:val="single" w:color="B0CFBE" w:sz="1"/>
            </w:tcBorders>
            <w:shd w:fill="0A66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Integration Detail</w:t>
            </w:r>
          </w:p>
        </w:tc>
      </w:tr>
      <w:tr>
        <w:tc>
          <w:tcPr>
            <w:tcW w:type="dxa" w:w="280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left"/>
            </w:pPr>
            <w:r>
              <w:rPr>
                <w:rFonts w:ascii="Arial" w:cs="Arial" w:eastAsia="Arial" w:hAnsi="Arial"/>
                <w:color w:val="1A1A2E"/>
                <w:sz w:val="20"/>
                <w:szCs w:val="20"/>
              </w:rPr>
              <w:t xml:space="preserve">Industrial Visit Module (F9)</w:t>
            </w:r>
          </w:p>
        </w:tc>
        <w:tc>
          <w:tcPr>
            <w:tcW w:type="dxa" w:w="656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left"/>
            </w:pPr>
            <w:r>
              <w:rPr>
                <w:rFonts w:ascii="Arial" w:cs="Arial" w:eastAsia="Arial" w:hAnsi="Arial"/>
                <w:color w:val="1A1A2E"/>
                <w:sz w:val="20"/>
                <w:szCs w:val="20"/>
              </w:rPr>
              <w:t xml:space="preserve">Trainer facilitation fees auto-triggered on visit completion; multi-visit earning rollup in dashboard</w:t>
            </w:r>
          </w:p>
        </w:tc>
      </w:tr>
      <w:tr>
        <w:tc>
          <w:tcPr>
            <w:tcW w:type="dxa" w:w="280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Student Performance Analytics (F10)</w:t>
            </w:r>
          </w:p>
        </w:tc>
        <w:tc>
          <w:tcPr>
            <w:tcW w:type="dxa" w:w="656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Trainer impact data feeds corporate profile and justifies premium corporate contract pricing</w:t>
            </w:r>
          </w:p>
        </w:tc>
      </w:tr>
      <w:tr>
        <w:tc>
          <w:tcPr>
            <w:tcW w:type="dxa" w:w="280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left"/>
            </w:pPr>
            <w:r>
              <w:rPr>
                <w:rFonts w:ascii="Arial" w:cs="Arial" w:eastAsia="Arial" w:hAnsi="Arial"/>
                <w:color w:val="1A1A2E"/>
                <w:sz w:val="20"/>
                <w:szCs w:val="20"/>
              </w:rPr>
              <w:t xml:space="preserve">Institute Management Module</w:t>
            </w:r>
          </w:p>
        </w:tc>
        <w:tc>
          <w:tcPr>
            <w:tcW w:type="dxa" w:w="656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left"/>
            </w:pPr>
            <w:r>
              <w:rPr>
                <w:rFonts w:ascii="Arial" w:cs="Arial" w:eastAsia="Arial" w:hAnsi="Arial"/>
                <w:color w:val="1A1A2E"/>
                <w:sz w:val="20"/>
                <w:szCs w:val="20"/>
              </w:rPr>
              <w:t xml:space="preserve">Institute-level consolidated training spend visible to institute administrators; batch subscription management</w:t>
            </w:r>
          </w:p>
        </w:tc>
      </w:tr>
      <w:tr>
        <w:tc>
          <w:tcPr>
            <w:tcW w:type="dxa" w:w="280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SME &amp; Corporate Employer Module</w:t>
            </w:r>
          </w:p>
        </w:tc>
        <w:tc>
          <w:tcPr>
            <w:tcW w:type="dxa" w:w="656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Corporate training inquiries routed from employer module to matched trainers; post-hire corporate training contracts</w:t>
            </w:r>
          </w:p>
        </w:tc>
      </w:tr>
      <w:tr>
        <w:tc>
          <w:tcPr>
            <w:tcW w:type="dxa" w:w="280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left"/>
            </w:pPr>
            <w:r>
              <w:rPr>
                <w:rFonts w:ascii="Arial" w:cs="Arial" w:eastAsia="Arial" w:hAnsi="Arial"/>
                <w:color w:val="1A1A2E"/>
                <w:sz w:val="20"/>
                <w:szCs w:val="20"/>
              </w:rPr>
              <w:t xml:space="preserve">Certification Bodies</w:t>
            </w:r>
          </w:p>
        </w:tc>
        <w:tc>
          <w:tcPr>
            <w:tcW w:type="dxa" w:w="656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left"/>
            </w:pPr>
            <w:r>
              <w:rPr>
                <w:rFonts w:ascii="Arial" w:cs="Arial" w:eastAsia="Arial" w:hAnsi="Arial"/>
                <w:color w:val="1A1A2E"/>
                <w:sz w:val="20"/>
                <w:szCs w:val="20"/>
              </w:rPr>
              <w:t xml:space="preserve">Automated exam enrollment, fee collection, pass rate tracking, and revenue share distribution</w:t>
            </w:r>
          </w:p>
        </w:tc>
      </w:tr>
      <w:tr>
        <w:tc>
          <w:tcPr>
            <w:tcW w:type="dxa" w:w="280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Student Profile Module</w:t>
            </w:r>
          </w:p>
        </w:tc>
        <w:tc>
          <w:tcPr>
            <w:tcW w:type="dxa" w:w="656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Trainer-awarded endorsements, certifications, and session completion records appear on student placement profiles</w:t>
            </w:r>
          </w:p>
        </w:tc>
      </w:tr>
      <w:tr>
        <w:tc>
          <w:tcPr>
            <w:tcW w:type="dxa" w:w="280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left"/>
            </w:pPr>
            <w:r>
              <w:rPr>
                <w:rFonts w:ascii="Arial" w:cs="Arial" w:eastAsia="Arial" w:hAnsi="Arial"/>
                <w:color w:val="1A1A2E"/>
                <w:sz w:val="20"/>
                <w:szCs w:val="20"/>
              </w:rPr>
              <w:t xml:space="preserve">Compliance &amp; Tax Module</w:t>
            </w:r>
          </w:p>
        </w:tc>
        <w:tc>
          <w:tcPr>
            <w:tcW w:type="dxa" w:w="656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left"/>
            </w:pPr>
            <w:r>
              <w:rPr>
                <w:rFonts w:ascii="Arial" w:cs="Arial" w:eastAsia="Arial" w:hAnsi="Arial"/>
                <w:color w:val="1A1A2E"/>
                <w:sz w:val="20"/>
                <w:szCs w:val="20"/>
              </w:rPr>
              <w:t xml:space="preserve">TDS deduction, GST invoice generation, and Form 26AS data integration for trainer tax compliance</w:t>
            </w:r>
          </w:p>
        </w:tc>
      </w:tr>
      <w:tr>
        <w:tc>
          <w:tcPr>
            <w:tcW w:type="dxa" w:w="280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Platform Admin Dashboard</w:t>
            </w:r>
          </w:p>
        </w:tc>
        <w:tc>
          <w:tcPr>
            <w:tcW w:type="dxa" w:w="656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Aggregated trainer revenue data for platform financial reporting, commission reconciliation, and trainer support prioritization</w:t>
            </w:r>
          </w:p>
        </w:tc>
      </w:tr>
    </w:tbl>
    <w:p>
      <w:pPr>
        <w:spacing w:before="80" w:after="80"/>
      </w:pPr>
      <w:r>
        <w:t xml:space="preserve"/>
      </w:r>
    </w:p>
    <w:p>
      <w:pPr>
        <w:spacing w:before="80" w:after="80"/>
      </w:pPr>
      <w:r>
        <w:t xml:space="preserve"/>
      </w:r>
    </w:p>
    <w:p>
      <w:pPr>
        <w:pStyle w:val="Heading1"/>
        <w:spacing w:before="400" w:after="180"/>
      </w:pPr>
      <w:r>
        <w:rPr>
          <w:rFonts w:ascii="Arial" w:cs="Arial" w:eastAsia="Arial" w:hAnsi="Arial"/>
          <w:b/>
          <w:bCs/>
          <w:color w:val="0A6640"/>
          <w:sz w:val="38"/>
          <w:szCs w:val="38"/>
        </w:rPr>
        <w:t xml:space="preserve">Revenue Model Summary: Trainer Earnings Potential</w:t>
      </w:r>
    </w:p>
    <w:p>
      <w:pPr>
        <w:spacing w:before="80" w:after="80"/>
      </w:pPr>
      <w:r>
        <w:rPr>
          <w:rFonts w:ascii="Arial" w:cs="Arial" w:eastAsia="Arial" w:hAnsi="Arial"/>
          <w:color w:val="1A1A2E"/>
          <w:sz w:val="22"/>
          <w:szCs w:val="22"/>
        </w:rPr>
        <w:t xml:space="preserve">The following illustrates realistic annual earnings potential for trainers at different activity levels across the 9 revenue streams: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3"/>
        <w:gridCol w:w="2053"/>
        <w:gridCol w:w="2054"/>
      </w:tblGrid>
      <w:tr>
        <w:tc>
          <w:tcPr>
            <w:tcW w:type="dxa" w:w="3200"/>
            <w:tcBorders>
              <w:top w:val="single" w:color="B0CFBE" w:sz="1"/>
              <w:left w:val="single" w:color="B0CFBE" w:sz="1"/>
              <w:bottom w:val="single" w:color="B0CFBE" w:sz="1"/>
              <w:right w:val="single" w:color="B0CFBE" w:sz="1"/>
            </w:tcBorders>
            <w:shd w:fill="0A66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Revenue Stream</w:t>
            </w:r>
          </w:p>
        </w:tc>
        <w:tc>
          <w:tcPr>
            <w:tcW w:type="dxa" w:w="2053"/>
            <w:tcBorders>
              <w:top w:val="single" w:color="B0CFBE" w:sz="1"/>
              <w:left w:val="single" w:color="B0CFBE" w:sz="1"/>
              <w:bottom w:val="single" w:color="B0CFBE" w:sz="1"/>
              <w:right w:val="single" w:color="B0CFBE" w:sz="1"/>
            </w:tcBorders>
            <w:shd w:fill="0A66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Part-Time Trainer</w:t>
            </w:r>
          </w:p>
        </w:tc>
        <w:tc>
          <w:tcPr>
            <w:tcW w:type="dxa" w:w="2053"/>
            <w:tcBorders>
              <w:top w:val="single" w:color="B0CFBE" w:sz="1"/>
              <w:left w:val="single" w:color="B0CFBE" w:sz="1"/>
              <w:bottom w:val="single" w:color="B0CFBE" w:sz="1"/>
              <w:right w:val="single" w:color="B0CFBE" w:sz="1"/>
            </w:tcBorders>
            <w:shd w:fill="0A66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Active Trainer</w:t>
            </w:r>
          </w:p>
        </w:tc>
        <w:tc>
          <w:tcPr>
            <w:tcW w:type="dxa" w:w="2054"/>
            <w:tcBorders>
              <w:top w:val="single" w:color="B0CFBE" w:sz="1"/>
              <w:left w:val="single" w:color="B0CFBE" w:sz="1"/>
              <w:bottom w:val="single" w:color="B0CFBE" w:sz="1"/>
              <w:right w:val="single" w:color="B0CFBE" w:sz="1"/>
            </w:tcBorders>
            <w:shd w:fill="0A66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Full-Time Power Trainer</w:t>
            </w:r>
          </w:p>
        </w:tc>
      </w:tr>
      <w:tr>
        <w:tc>
          <w:tcPr>
            <w:tcW w:type="dxa" w:w="320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r>
              <w:rPr>
                <w:rFonts w:ascii="Arial" w:cs="Arial" w:eastAsia="Arial" w:hAnsi="Arial"/>
                <w:b w:val="false"/>
                <w:bCs w:val="false"/>
                <w:color w:val="1A1A2E"/>
                <w:sz w:val="20"/>
                <w:szCs w:val="20"/>
              </w:rPr>
              <w:t xml:space="preserve">Paid Training Programs</w:t>
            </w:r>
          </w:p>
        </w:tc>
        <w:tc>
          <w:tcPr>
            <w:tcW w:type="dxa" w:w="2053"/>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center"/>
            </w:pPr>
            <w:r>
              <w:rPr>
                <w:rFonts w:ascii="Arial" w:cs="Arial" w:eastAsia="Arial" w:hAnsi="Arial"/>
                <w:b w:val="false"/>
                <w:bCs w:val="false"/>
                <w:color w:val="374151"/>
                <w:sz w:val="20"/>
                <w:szCs w:val="20"/>
              </w:rPr>
              <w:t xml:space="preserve">₹1.2L – ₹2.4L</w:t>
            </w:r>
          </w:p>
        </w:tc>
        <w:tc>
          <w:tcPr>
            <w:tcW w:type="dxa" w:w="2053"/>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center"/>
            </w:pPr>
            <w:r>
              <w:rPr>
                <w:rFonts w:ascii="Arial" w:cs="Arial" w:eastAsia="Arial" w:hAnsi="Arial"/>
                <w:b w:val="false"/>
                <w:bCs w:val="false"/>
                <w:color w:val="374151"/>
                <w:sz w:val="20"/>
                <w:szCs w:val="20"/>
              </w:rPr>
              <w:t xml:space="preserve">₹4L – ₹8L</w:t>
            </w:r>
          </w:p>
        </w:tc>
        <w:tc>
          <w:tcPr>
            <w:tcW w:type="dxa" w:w="2054"/>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center"/>
            </w:pPr>
            <w:r>
              <w:rPr>
                <w:rFonts w:ascii="Arial" w:cs="Arial" w:eastAsia="Arial" w:hAnsi="Arial"/>
                <w:b w:val="false"/>
                <w:bCs w:val="false"/>
                <w:color w:val="374151"/>
                <w:sz w:val="20"/>
                <w:szCs w:val="20"/>
              </w:rPr>
              <w:t xml:space="preserve">₹12L – ₹24L</w:t>
            </w:r>
          </w:p>
        </w:tc>
      </w:tr>
      <w:tr>
        <w:tc>
          <w:tcPr>
            <w:tcW w:type="dxa" w:w="320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Workshop Fees</w:t>
            </w:r>
          </w:p>
        </w:tc>
        <w:tc>
          <w:tcPr>
            <w:tcW w:type="dxa" w:w="2053"/>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74151"/>
                <w:sz w:val="20"/>
                <w:szCs w:val="20"/>
              </w:rPr>
              <w:t xml:space="preserve">₹30K – ₹60K</w:t>
            </w:r>
          </w:p>
        </w:tc>
        <w:tc>
          <w:tcPr>
            <w:tcW w:type="dxa" w:w="2053"/>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74151"/>
                <w:sz w:val="20"/>
                <w:szCs w:val="20"/>
              </w:rPr>
              <w:t xml:space="preserve">₹1.2L – ₹2.4L</w:t>
            </w:r>
          </w:p>
        </w:tc>
        <w:tc>
          <w:tcPr>
            <w:tcW w:type="dxa" w:w="2054"/>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74151"/>
                <w:sz w:val="20"/>
                <w:szCs w:val="20"/>
              </w:rPr>
              <w:t xml:space="preserve">₹4L – ₹8L</w:t>
            </w:r>
          </w:p>
        </w:tc>
      </w:tr>
      <w:tr>
        <w:tc>
          <w:tcPr>
            <w:tcW w:type="dxa" w:w="320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r>
              <w:rPr>
                <w:rFonts w:ascii="Arial" w:cs="Arial" w:eastAsia="Arial" w:hAnsi="Arial"/>
                <w:b w:val="false"/>
                <w:bCs w:val="false"/>
                <w:color w:val="1A1A2E"/>
                <w:sz w:val="20"/>
                <w:szCs w:val="20"/>
              </w:rPr>
              <w:t xml:space="preserve">Mentorship Fees</w:t>
            </w:r>
          </w:p>
        </w:tc>
        <w:tc>
          <w:tcPr>
            <w:tcW w:type="dxa" w:w="2053"/>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center"/>
            </w:pPr>
            <w:r>
              <w:rPr>
                <w:rFonts w:ascii="Arial" w:cs="Arial" w:eastAsia="Arial" w:hAnsi="Arial"/>
                <w:b w:val="false"/>
                <w:bCs w:val="false"/>
                <w:color w:val="374151"/>
                <w:sz w:val="20"/>
                <w:szCs w:val="20"/>
              </w:rPr>
              <w:t xml:space="preserve">₹24K – ₹48K</w:t>
            </w:r>
          </w:p>
        </w:tc>
        <w:tc>
          <w:tcPr>
            <w:tcW w:type="dxa" w:w="2053"/>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center"/>
            </w:pPr>
            <w:r>
              <w:rPr>
                <w:rFonts w:ascii="Arial" w:cs="Arial" w:eastAsia="Arial" w:hAnsi="Arial"/>
                <w:b w:val="false"/>
                <w:bCs w:val="false"/>
                <w:color w:val="374151"/>
                <w:sz w:val="20"/>
                <w:szCs w:val="20"/>
              </w:rPr>
              <w:t xml:space="preserve">₹1L – ₹2L</w:t>
            </w:r>
          </w:p>
        </w:tc>
        <w:tc>
          <w:tcPr>
            <w:tcW w:type="dxa" w:w="2054"/>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center"/>
            </w:pPr>
            <w:r>
              <w:rPr>
                <w:rFonts w:ascii="Arial" w:cs="Arial" w:eastAsia="Arial" w:hAnsi="Arial"/>
                <w:b w:val="false"/>
                <w:bCs w:val="false"/>
                <w:color w:val="374151"/>
                <w:sz w:val="20"/>
                <w:szCs w:val="20"/>
              </w:rPr>
              <w:t xml:space="preserve">₹3L – ₹6L</w:t>
            </w:r>
          </w:p>
        </w:tc>
      </w:tr>
      <w:tr>
        <w:tc>
          <w:tcPr>
            <w:tcW w:type="dxa" w:w="320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Industrial Visit Facilitation</w:t>
            </w:r>
          </w:p>
        </w:tc>
        <w:tc>
          <w:tcPr>
            <w:tcW w:type="dxa" w:w="2053"/>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74151"/>
                <w:sz w:val="20"/>
                <w:szCs w:val="20"/>
              </w:rPr>
              <w:t xml:space="preserve">₹15K – ₹30K</w:t>
            </w:r>
          </w:p>
        </w:tc>
        <w:tc>
          <w:tcPr>
            <w:tcW w:type="dxa" w:w="2053"/>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74151"/>
                <w:sz w:val="20"/>
                <w:szCs w:val="20"/>
              </w:rPr>
              <w:t xml:space="preserve">₹60K – ₹1.2L</w:t>
            </w:r>
          </w:p>
        </w:tc>
        <w:tc>
          <w:tcPr>
            <w:tcW w:type="dxa" w:w="2054"/>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74151"/>
                <w:sz w:val="20"/>
                <w:szCs w:val="20"/>
              </w:rPr>
              <w:t xml:space="preserve">₹2L – ₹4L</w:t>
            </w:r>
          </w:p>
        </w:tc>
      </w:tr>
      <w:tr>
        <w:tc>
          <w:tcPr>
            <w:tcW w:type="dxa" w:w="320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r>
              <w:rPr>
                <w:rFonts w:ascii="Arial" w:cs="Arial" w:eastAsia="Arial" w:hAnsi="Arial"/>
                <w:b w:val="false"/>
                <w:bCs w:val="false"/>
                <w:color w:val="1A1A2E"/>
                <w:sz w:val="20"/>
                <w:szCs w:val="20"/>
              </w:rPr>
              <w:t xml:space="preserve">Course Sales Revenue</w:t>
            </w:r>
          </w:p>
        </w:tc>
        <w:tc>
          <w:tcPr>
            <w:tcW w:type="dxa" w:w="2053"/>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center"/>
            </w:pPr>
            <w:r>
              <w:rPr>
                <w:rFonts w:ascii="Arial" w:cs="Arial" w:eastAsia="Arial" w:hAnsi="Arial"/>
                <w:b w:val="false"/>
                <w:bCs w:val="false"/>
                <w:color w:val="374151"/>
                <w:sz w:val="20"/>
                <w:szCs w:val="20"/>
              </w:rPr>
              <w:t xml:space="preserve">₹20K – ₹60K</w:t>
            </w:r>
          </w:p>
        </w:tc>
        <w:tc>
          <w:tcPr>
            <w:tcW w:type="dxa" w:w="2053"/>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center"/>
            </w:pPr>
            <w:r>
              <w:rPr>
                <w:rFonts w:ascii="Arial" w:cs="Arial" w:eastAsia="Arial" w:hAnsi="Arial"/>
                <w:b w:val="false"/>
                <w:bCs w:val="false"/>
                <w:color w:val="374151"/>
                <w:sz w:val="20"/>
                <w:szCs w:val="20"/>
              </w:rPr>
              <w:t xml:space="preserve">₹1L – ₹3L</w:t>
            </w:r>
          </w:p>
        </w:tc>
        <w:tc>
          <w:tcPr>
            <w:tcW w:type="dxa" w:w="2054"/>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center"/>
            </w:pPr>
            <w:r>
              <w:rPr>
                <w:rFonts w:ascii="Arial" w:cs="Arial" w:eastAsia="Arial" w:hAnsi="Arial"/>
                <w:b w:val="false"/>
                <w:bCs w:val="false"/>
                <w:color w:val="374151"/>
                <w:sz w:val="20"/>
                <w:szCs w:val="20"/>
              </w:rPr>
              <w:t xml:space="preserve">₹4L – ₹12L</w:t>
            </w:r>
          </w:p>
        </w:tc>
      </w:tr>
      <w:tr>
        <w:tc>
          <w:tcPr>
            <w:tcW w:type="dxa" w:w="320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Certification Revenue Share</w:t>
            </w:r>
          </w:p>
        </w:tc>
        <w:tc>
          <w:tcPr>
            <w:tcW w:type="dxa" w:w="2053"/>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74151"/>
                <w:sz w:val="20"/>
                <w:szCs w:val="20"/>
              </w:rPr>
              <w:t xml:space="preserve">₹10K – ₹20K</w:t>
            </w:r>
          </w:p>
        </w:tc>
        <w:tc>
          <w:tcPr>
            <w:tcW w:type="dxa" w:w="2053"/>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74151"/>
                <w:sz w:val="20"/>
                <w:szCs w:val="20"/>
              </w:rPr>
              <w:t xml:space="preserve">₹30K – ₹80K</w:t>
            </w:r>
          </w:p>
        </w:tc>
        <w:tc>
          <w:tcPr>
            <w:tcW w:type="dxa" w:w="2054"/>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74151"/>
                <w:sz w:val="20"/>
                <w:szCs w:val="20"/>
              </w:rPr>
              <w:t xml:space="preserve">₹1L – ₹3L</w:t>
            </w:r>
          </w:p>
        </w:tc>
      </w:tr>
      <w:tr>
        <w:tc>
          <w:tcPr>
            <w:tcW w:type="dxa" w:w="320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r>
              <w:rPr>
                <w:rFonts w:ascii="Arial" w:cs="Arial" w:eastAsia="Arial" w:hAnsi="Arial"/>
                <w:b w:val="false"/>
                <w:bCs w:val="false"/>
                <w:color w:val="1A1A2E"/>
                <w:sz w:val="20"/>
                <w:szCs w:val="20"/>
              </w:rPr>
              <w:t xml:space="preserve">Corporate Training Contracts</w:t>
            </w:r>
          </w:p>
        </w:tc>
        <w:tc>
          <w:tcPr>
            <w:tcW w:type="dxa" w:w="2053"/>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center"/>
            </w:pPr>
            <w:r>
              <w:rPr>
                <w:rFonts w:ascii="Arial" w:cs="Arial" w:eastAsia="Arial" w:hAnsi="Arial"/>
                <w:b w:val="false"/>
                <w:bCs w:val="false"/>
                <w:color w:val="374151"/>
                <w:sz w:val="20"/>
                <w:szCs w:val="20"/>
              </w:rPr>
              <w:t xml:space="preserve">₹0 – ₹50K</w:t>
            </w:r>
          </w:p>
        </w:tc>
        <w:tc>
          <w:tcPr>
            <w:tcW w:type="dxa" w:w="2053"/>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center"/>
            </w:pPr>
            <w:r>
              <w:rPr>
                <w:rFonts w:ascii="Arial" w:cs="Arial" w:eastAsia="Arial" w:hAnsi="Arial"/>
                <w:b w:val="false"/>
                <w:bCs w:val="false"/>
                <w:color w:val="374151"/>
                <w:sz w:val="20"/>
                <w:szCs w:val="20"/>
              </w:rPr>
              <w:t xml:space="preserve">₹2L – ₹5L</w:t>
            </w:r>
          </w:p>
        </w:tc>
        <w:tc>
          <w:tcPr>
            <w:tcW w:type="dxa" w:w="2054"/>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center"/>
            </w:pPr>
            <w:r>
              <w:rPr>
                <w:rFonts w:ascii="Arial" w:cs="Arial" w:eastAsia="Arial" w:hAnsi="Arial"/>
                <w:b w:val="false"/>
                <w:bCs w:val="false"/>
                <w:color w:val="374151"/>
                <w:sz w:val="20"/>
                <w:szCs w:val="20"/>
              </w:rPr>
              <w:t xml:space="preserve">₹8L – ₹20L</w:t>
            </w:r>
          </w:p>
        </w:tc>
      </w:tr>
      <w:tr>
        <w:tc>
          <w:tcPr>
            <w:tcW w:type="dxa" w:w="320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Subscription Programs</w:t>
            </w:r>
          </w:p>
        </w:tc>
        <w:tc>
          <w:tcPr>
            <w:tcW w:type="dxa" w:w="2053"/>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74151"/>
                <w:sz w:val="20"/>
                <w:szCs w:val="20"/>
              </w:rPr>
              <w:t xml:space="preserve">₹30K – ₹60K</w:t>
            </w:r>
          </w:p>
        </w:tc>
        <w:tc>
          <w:tcPr>
            <w:tcW w:type="dxa" w:w="2053"/>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74151"/>
                <w:sz w:val="20"/>
                <w:szCs w:val="20"/>
              </w:rPr>
              <w:t xml:space="preserve">₹1.5L – ₹3L</w:t>
            </w:r>
          </w:p>
        </w:tc>
        <w:tc>
          <w:tcPr>
            <w:tcW w:type="dxa" w:w="2054"/>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74151"/>
                <w:sz w:val="20"/>
                <w:szCs w:val="20"/>
              </w:rPr>
              <w:t xml:space="preserve">₹5L – ₹12L</w:t>
            </w:r>
          </w:p>
        </w:tc>
      </w:tr>
      <w:tr>
        <w:tc>
          <w:tcPr>
            <w:tcW w:type="dxa" w:w="3200"/>
            <w:tcBorders>
              <w:top w:val="single" w:color="B0CFBE" w:sz="1"/>
              <w:left w:val="single" w:color="B0CFBE" w:sz="1"/>
              <w:bottom w:val="single" w:color="B0CFBE" w:sz="1"/>
              <w:right w:val="single" w:color="B0CFBE" w:sz="1"/>
            </w:tcBorders>
            <w:shd w:fill="0A6640" w:val="clear"/>
            <w:tcMar>
              <w:top w:type="dxa" w:w="80"/>
              <w:left w:type="dxa" w:w="150"/>
              <w:bottom w:type="dxa" w:w="80"/>
              <w:right w:type="dxa" w:w="150"/>
            </w:tcMar>
          </w:tcPr>
          <w:p>
            <w:r>
              <w:rPr>
                <w:rFonts w:ascii="Arial" w:cs="Arial" w:eastAsia="Arial" w:hAnsi="Arial"/>
                <w:b/>
                <w:bCs/>
                <w:color w:val="FFFFFF"/>
                <w:sz w:val="20"/>
                <w:szCs w:val="20"/>
              </w:rPr>
              <w:t xml:space="preserve">TOTAL ESTIMATED ANNUAL</w:t>
            </w:r>
          </w:p>
        </w:tc>
        <w:tc>
          <w:tcPr>
            <w:tcW w:type="dxa" w:w="2053"/>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₹2.3L – ₹4.3L</w:t>
            </w:r>
          </w:p>
        </w:tc>
        <w:tc>
          <w:tcPr>
            <w:tcW w:type="dxa" w:w="2053"/>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₹11.4L – ₹24.8L</w:t>
            </w:r>
          </w:p>
        </w:tc>
        <w:tc>
          <w:tcPr>
            <w:tcW w:type="dxa" w:w="2054"/>
            <w:tcBorders>
              <w:top w:val="single" w:color="B0CFBE" w:sz="1"/>
              <w:left w:val="single" w:color="B0CFBE" w:sz="1"/>
              <w:bottom w:val="single" w:color="B0CFBE" w:sz="1"/>
              <w:right w:val="single" w:color="B0CFBE" w:sz="1"/>
            </w:tcBorders>
            <w:shd w:fill="FEF3C7" w:val="clear"/>
            <w:tcMar>
              <w:top w:type="dxa" w:w="80"/>
              <w:left w:type="dxa" w:w="150"/>
              <w:bottom w:type="dxa" w:w="80"/>
              <w:right w:type="dxa" w:w="150"/>
            </w:tcMar>
          </w:tcPr>
          <w:p>
            <w:pPr>
              <w:jc w:val="center"/>
            </w:pPr>
            <w:r>
              <w:rPr>
                <w:rFonts w:ascii="Arial" w:cs="Arial" w:eastAsia="Arial" w:hAnsi="Arial"/>
                <w:b/>
                <w:bCs/>
                <w:color w:val="B45309"/>
                <w:sz w:val="20"/>
                <w:szCs w:val="20"/>
              </w:rPr>
              <w:t xml:space="preserve">₹39L – ₹89L</w:t>
            </w:r>
          </w:p>
        </w:tc>
      </w:tr>
    </w:tbl>
    <w:p>
      <w:pPr>
        <w:spacing w:before="80" w:after="80"/>
      </w:pPr>
      <w:r>
        <w:t xml:space="preserve"/>
      </w:r>
    </w:p>
    <w:p>
      <w:pPr>
        <w:spacing w:before="80" w:after="80"/>
      </w:pPr>
      <w:r>
        <w:t xml:space="preserve"/>
      </w:r>
    </w:p>
    <w:p>
      <w:pPr>
        <w:pStyle w:val="Heading1"/>
        <w:spacing w:before="400" w:after="180"/>
      </w:pPr>
      <w:r>
        <w:rPr>
          <w:rFonts w:ascii="Arial" w:cs="Arial" w:eastAsia="Arial" w:hAnsi="Arial"/>
          <w:b/>
          <w:bCs/>
          <w:color w:val="0A6640"/>
          <w:sz w:val="38"/>
          <w:szCs w:val="38"/>
        </w:rPr>
        <w:t xml:space="preserve">Stakeholder Impact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0CFBE" w:sz="1"/>
              <w:left w:val="single" w:color="B0CFBE" w:sz="1"/>
              <w:bottom w:val="single" w:color="B0CFBE" w:sz="1"/>
              <w:right w:val="single" w:color="B0CFBE" w:sz="1"/>
            </w:tcBorders>
            <w:shd w:fill="0A66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Stakeholder</w:t>
            </w:r>
          </w:p>
        </w:tc>
        <w:tc>
          <w:tcPr>
            <w:tcW w:type="dxa" w:w="7360"/>
            <w:tcBorders>
              <w:top w:val="single" w:color="B0CFBE" w:sz="1"/>
              <w:left w:val="single" w:color="B0CFBE" w:sz="1"/>
              <w:bottom w:val="single" w:color="B0CFBE" w:sz="1"/>
              <w:right w:val="single" w:color="B0CFBE" w:sz="1"/>
            </w:tcBorders>
            <w:shd w:fill="0A66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Key Impact of Feature 11</w:t>
            </w:r>
          </w:p>
        </w:tc>
      </w:tr>
      <w:tr>
        <w:tc>
          <w:tcPr>
            <w:tcW w:type="dxa" w:w="200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left"/>
            </w:pPr>
            <w:r>
              <w:rPr>
                <w:rFonts w:ascii="Arial" w:cs="Arial" w:eastAsia="Arial" w:hAnsi="Arial"/>
                <w:color w:val="1A1A2E"/>
                <w:sz w:val="20"/>
                <w:szCs w:val="20"/>
              </w:rPr>
              <w:t xml:space="preserve">Trainers</w:t>
            </w:r>
          </w:p>
        </w:tc>
        <w:tc>
          <w:tcPr>
            <w:tcW w:type="dxa" w:w="736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left"/>
            </w:pPr>
            <w:r>
              <w:rPr>
                <w:rFonts w:ascii="Arial" w:cs="Arial" w:eastAsia="Arial" w:hAnsi="Arial"/>
                <w:color w:val="1A1A2E"/>
                <w:sz w:val="20"/>
                <w:szCs w:val="20"/>
              </w:rPr>
              <w:t xml:space="preserve">Multi-stream income diversification; predictable recurring revenue; professional financial infrastructure; corporate access; tax compliance support</w:t>
            </w:r>
          </w:p>
        </w:tc>
      </w:tr>
      <w:tr>
        <w:tc>
          <w:tcPr>
            <w:tcW w:type="dxa" w:w="200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Students</w:t>
            </w:r>
          </w:p>
        </w:tc>
        <w:tc>
          <w:tcPr>
            <w:tcW w:type="dxa" w:w="736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Access to premium, motivated trainers who invest in quality because they are fairly and reliably compensated; diverse training format options at transparent prices</w:t>
            </w:r>
          </w:p>
        </w:tc>
      </w:tr>
      <w:tr>
        <w:tc>
          <w:tcPr>
            <w:tcW w:type="dxa" w:w="200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left"/>
            </w:pPr>
            <w:r>
              <w:rPr>
                <w:rFonts w:ascii="Arial" w:cs="Arial" w:eastAsia="Arial" w:hAnsi="Arial"/>
                <w:color w:val="1A1A2E"/>
                <w:sz w:val="20"/>
                <w:szCs w:val="20"/>
              </w:rPr>
              <w:t xml:space="preserve">Institutes</w:t>
            </w:r>
          </w:p>
        </w:tc>
        <w:tc>
          <w:tcPr>
            <w:tcW w:type="dxa" w:w="736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left"/>
            </w:pPr>
            <w:r>
              <w:rPr>
                <w:rFonts w:ascii="Arial" w:cs="Arial" w:eastAsia="Arial" w:hAnsi="Arial"/>
                <w:color w:val="1A1A2E"/>
                <w:sz w:val="20"/>
                <w:szCs w:val="20"/>
              </w:rPr>
              <w:t xml:space="preserve">Structured batch subscription options; consolidated billing; access to a marketplace of certified, outcome-tracked trainers; stronger placement outcomes from better-compensated faculty</w:t>
            </w:r>
          </w:p>
        </w:tc>
      </w:tr>
      <w:tr>
        <w:tc>
          <w:tcPr>
            <w:tcW w:type="dxa" w:w="200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Corporates</w:t>
            </w:r>
          </w:p>
        </w:tc>
        <w:tc>
          <w:tcPr>
            <w:tcW w:type="dxa" w:w="736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Managed access to verified placement trainers for employee upskilling; structured contracts; L&amp;D budget documentation; quality assurance through outcome data</w:t>
            </w:r>
          </w:p>
        </w:tc>
      </w:tr>
      <w:tr>
        <w:tc>
          <w:tcPr>
            <w:tcW w:type="dxa" w:w="2000"/>
            <w:tcBorders>
              <w:top w:val="single" w:color="B0CFBE" w:sz="1"/>
              <w:left w:val="single" w:color="B0CFBE" w:sz="1"/>
              <w:bottom w:val="single" w:color="B0CFBE" w:sz="1"/>
              <w:right w:val="single" w:color="B0CFBE" w:sz="1"/>
            </w:tcBorders>
            <w:shd w:fill="E6F4EE" w:val="clear"/>
            <w:tcMar>
              <w:top w:type="dxa" w:w="80"/>
              <w:left w:type="dxa" w:w="150"/>
              <w:bottom w:type="dxa" w:w="80"/>
              <w:right w:type="dxa" w:w="150"/>
            </w:tcMar>
          </w:tcPr>
          <w:p>
            <w:pPr>
              <w:jc w:val="left"/>
            </w:pPr>
            <w:r>
              <w:rPr>
                <w:rFonts w:ascii="Arial" w:cs="Arial" w:eastAsia="Arial" w:hAnsi="Arial"/>
                <w:color w:val="1A1A2E"/>
                <w:sz w:val="20"/>
                <w:szCs w:val="20"/>
              </w:rPr>
              <w:t xml:space="preserve">Platform</w:t>
            </w:r>
          </w:p>
        </w:tc>
        <w:tc>
          <w:tcPr>
            <w:tcW w:type="dxa" w:w="7360"/>
            <w:tcBorders>
              <w:top w:val="single" w:color="B0CFBE" w:sz="1"/>
              <w:left w:val="single" w:color="B0CFBE" w:sz="1"/>
              <w:bottom w:val="single" w:color="B0CFBE" w:sz="1"/>
              <w:right w:val="single" w:color="B0CFBE" w:sz="1"/>
            </w:tcBorders>
            <w:shd w:fill="F5F7FA" w:val="clear"/>
            <w:tcMar>
              <w:top w:type="dxa" w:w="80"/>
              <w:left w:type="dxa" w:w="150"/>
              <w:bottom w:type="dxa" w:w="80"/>
              <w:right w:type="dxa" w:w="150"/>
            </w:tcMar>
          </w:tcPr>
          <w:p>
            <w:pPr>
              <w:jc w:val="left"/>
            </w:pPr>
            <w:r>
              <w:rPr>
                <w:rFonts w:ascii="Arial" w:cs="Arial" w:eastAsia="Arial" w:hAnsi="Arial"/>
                <w:color w:val="1A1A2E"/>
                <w:sz w:val="20"/>
                <w:szCs w:val="20"/>
              </w:rPr>
              <w:t xml:space="preserve">Sustainable commission revenue across 9 diverse streams; trainer retention through superior monetization experience; market differentiation from platforms offering only session fees</w:t>
            </w:r>
          </w:p>
        </w:tc>
      </w:tr>
      <w:tr>
        <w:tc>
          <w:tcPr>
            <w:tcW w:type="dxa" w:w="200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Finance/Compliance</w:t>
            </w:r>
          </w:p>
        </w:tc>
        <w:tc>
          <w:tcPr>
            <w:tcW w:type="dxa" w:w="7360"/>
            <w:tcBorders>
              <w:top w:val="single" w:color="B0CFBE" w:sz="1"/>
              <w:left w:val="single" w:color="B0CFBE" w:sz="1"/>
              <w:bottom w:val="single" w:color="B0CFBE" w:sz="1"/>
              <w:right w:val="single" w:color="B0CFBE"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Automated TDS, GST, and payout management; audit-ready transaction records; clean revenue recognition across all trainer income types</w:t>
            </w:r>
          </w:p>
        </w:tc>
      </w:tr>
    </w:tbl>
    <w:p>
      <w:pPr>
        <w:spacing w:before="80" w:after="80"/>
      </w:pPr>
      <w:r>
        <w:t xml:space="preserve"/>
      </w:r>
    </w:p>
    <w:p>
      <w:pPr>
        <w:spacing w:before="80" w:after="80"/>
      </w:pPr>
      <w:r>
        <w:t xml:space="preserve"/>
      </w:r>
    </w:p>
    <w:p>
      <w:pPr>
        <w:pStyle w:val="Heading1"/>
        <w:spacing w:before="400" w:after="180"/>
      </w:pPr>
      <w:r>
        <w:rPr>
          <w:rFonts w:ascii="Arial" w:cs="Arial" w:eastAsia="Arial" w:hAnsi="Arial"/>
          <w:b/>
          <w:bCs/>
          <w:color w:val="0A6640"/>
          <w:sz w:val="38"/>
          <w:szCs w:val="38"/>
        </w:rPr>
        <w:t xml:space="preserve">Conclusion</w:t>
      </w:r>
    </w:p>
    <w:p>
      <w:pPr>
        <w:spacing w:before="80" w:after="80"/>
      </w:pPr>
      <w:r>
        <w:rPr>
          <w:rFonts w:ascii="Arial" w:cs="Arial" w:eastAsia="Arial" w:hAnsi="Arial"/>
          <w:color w:val="1A1A2E"/>
          <w:sz w:val="22"/>
          <w:szCs w:val="22"/>
        </w:rPr>
        <w:t xml:space="preserve">Feature 11 — Trainer Revenue &amp; Monetization — is not a billing module. It is a comprehensive economic empowerment system for the trainers who are the heartbeat of campus placement preparation across India's higher education landscape.</w:t>
      </w:r>
    </w:p>
    <w:p>
      <w:pPr>
        <w:spacing w:before="80" w:after="80"/>
      </w:pPr>
      <w:r>
        <w:t xml:space="preserve"/>
      </w:r>
    </w:p>
    <w:p>
      <w:pPr>
        <w:spacing w:before="80" w:after="80"/>
      </w:pPr>
      <w:r>
        <w:rPr>
          <w:rFonts w:ascii="Arial" w:cs="Arial" w:eastAsia="Arial" w:hAnsi="Arial"/>
          <w:color w:val="1A1A2E"/>
          <w:sz w:val="22"/>
          <w:szCs w:val="22"/>
        </w:rPr>
        <w:t xml:space="preserve">By providing 9 distinct, well-structured revenue streams — from recurring subscription programs and passive course sales to high-value corporate contracts and certification revenue sharing — the platform creates a genuinely transformative income opportunity for trainers at every activity level. A part-time trainer can build a meaningful side income. An active trainer can build a professional training practice earning more than most corporate jobs. A full-time power trainer can build a multi-crore training business entirely within the platform ecosystem.</w:t>
      </w:r>
    </w:p>
    <w:p>
      <w:pPr>
        <w:spacing w:before="80" w:after="80"/>
      </w:pPr>
      <w:r>
        <w:t xml:space="preserve"/>
      </w:r>
    </w:p>
    <w:p>
      <w:pPr>
        <w:spacing w:before="80" w:after="80"/>
      </w:pPr>
      <w:r>
        <w:rPr>
          <w:rFonts w:ascii="Arial" w:cs="Arial" w:eastAsia="Arial" w:hAnsi="Arial"/>
          <w:color w:val="1A1A2E"/>
          <w:sz w:val="22"/>
          <w:szCs w:val="22"/>
        </w:rPr>
        <w:t xml:space="preserve">Critically, this financial empowerment is not an end in itself — it is the mechanism through which the platform attracts and retains the best trainers, who in turn deliver superior outcomes for students, institutes, and corporate partners. Trainer monetization is student outcome improvement. Feature 11 operationalizes that connection with precision, transparency, and scale.</w:t>
      </w:r>
    </w:p>
    <w:p>
      <w:pPr>
        <w:spacing w:before="80" w:after="80"/>
      </w:pPr>
      <w:r>
        <w:t xml:space="preserve"/>
      </w:r>
    </w:p>
    <w:p>
      <w:pPr>
        <w:pBdr>
          <w:bottom w:val="single" w:color="A8D5B5" w:sz="6" w:space="1"/>
        </w:pBdr>
        <w:spacing w:before="140" w:after="140"/>
      </w:pPr>
      <w:r>
        <w:t xml:space="preserve"/>
      </w:r>
    </w:p>
    <w:p>
      <w:pPr>
        <w:spacing w:before="120" w:after="60"/>
        <w:jc w:val="center"/>
      </w:pPr>
      <w:r>
        <w:rPr>
          <w:rFonts w:ascii="Arial" w:cs="Arial" w:eastAsia="Arial" w:hAnsi="Arial"/>
          <w:i/>
          <w:iCs/>
          <w:color w:val="0A6640"/>
          <w:sz w:val="18"/>
          <w:szCs w:val="18"/>
        </w:rPr>
        <w:t xml:space="preserve">Trainer Revenue &amp; Monetization — Feature Description Document  |  Version 1.0  |  2025–2026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D5B5" w:sz="4" w:space="1"/>
      </w:pBdr>
      <w:tabs>
        <w:tab w:val="right" w:pos="9026"/>
      </w:tabs>
    </w:pPr>
    <w:r>
      <w:rPr>
        <w:rFonts w:ascii="Arial" w:cs="Arial" w:eastAsia="Arial" w:hAnsi="Arial"/>
        <w:i/>
        <w:iCs/>
        <w:color w:val="0A6640"/>
        <w:sz w:val="16"/>
        <w:szCs w:val="16"/>
      </w:rPr>
      <w:t xml:space="preserve">Confidential — Internal Use Only</w:t>
    </w:r>
    <w:r>
      <w:rPr>
        <w:rFonts w:ascii="Arial" w:cs="Arial" w:eastAsia="Arial" w:hAnsi="Arial"/>
        <w:color w:val="1A1A2E"/>
        <w:sz w:val="16"/>
        <w:szCs w:val="16"/>
      </w:rPr>
      <w:t xml:space="preserve">	Version 1.0  |  2025–2026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6640" w:sz="4" w:space="1"/>
      </w:pBdr>
    </w:pPr>
    <w:r>
      <w:rPr>
        <w:rFonts w:ascii="Arial" w:cs="Arial" w:eastAsia="Arial" w:hAnsi="Arial"/>
        <w:color w:val="0A6640"/>
        <w:sz w:val="18"/>
        <w:szCs w:val="18"/>
      </w:rPr>
      <w:t xml:space="preserve">FEATURE 11: Trainer Revenue &amp; Monetization  |  Trainer-Side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0A6640"/>
      <w:sz w:val="38"/>
      <w:szCs w:val="38"/>
    </w:rPr>
  </w:style>
  <w:style w:type="paragraph" w:styleId="Heading2">
    <w:name w:val="Heading 2"/>
    <w:basedOn w:val="Normal"/>
    <w:next w:val="Normal"/>
    <w:qFormat/>
    <w:pPr>
      <w:spacing w:before="300" w:after="12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2026-03-09T11:12:12.948Z</dcterms:created>
  <dcterms:modified xsi:type="dcterms:W3CDTF">2026-03-09T11:12:12.949Z</dcterms:modified>
</cp:coreProperties>
</file>

<file path=docProps/custom.xml><?xml version="1.0" encoding="utf-8"?>
<Properties xmlns="http://schemas.openxmlformats.org/officeDocument/2006/custom-properties" xmlns:vt="http://schemas.openxmlformats.org/officeDocument/2006/docPropsVTypes"/>
</file>