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4360" w:val="clear"/>
            <w:tcMar>
              <w:top w:type="dxa" w:w="500"/>
              <w:left w:type="dxa" w:w="400"/>
              <w:bottom w:type="dxa" w:w="500"/>
              <w:right w:type="dxa" w:w="400"/>
            </w:tcMar>
          </w:tcPr>
          <w:p>
            <w:pPr>
              <w:spacing w:before="80" w:after="80"/>
              <w:jc w:val="center"/>
            </w:pPr>
            <w:r>
              <w:rPr>
                <w:rFonts w:ascii="Arial" w:cs="Arial" w:eastAsia="Arial" w:hAnsi="Arial"/>
                <w:b/>
                <w:bCs/>
                <w:color w:val="7FB3D3"/>
                <w:sz w:val="20"/>
                <w:szCs w:val="20"/>
              </w:rPr>
              <w:t xml:space="preserve">ECOSKILLER PLATFORM  —  FEATURE RESEARCH SERIES</w:t>
            </w:r>
          </w:p>
          <w:p>
            <w:pPr>
              <w:spacing w:before="160" w:after="160"/>
              <w:jc w:val="center"/>
            </w:pPr>
            <w:r>
              <w:rPr>
                <w:rFonts w:ascii="Arial" w:cs="Arial" w:eastAsia="Arial" w:hAnsi="Arial"/>
                <w:color w:val="A9CCE3"/>
                <w:sz w:val="32"/>
                <w:szCs w:val="32"/>
              </w:rPr>
              <w:t xml:space="preserve">Feature 5:</w:t>
            </w:r>
          </w:p>
          <w:p>
            <w:pPr>
              <w:spacing w:before="60" w:after="60"/>
              <w:jc w:val="center"/>
            </w:pPr>
            <w:r>
              <w:rPr>
                <w:rFonts w:ascii="Arial" w:cs="Arial" w:eastAsia="Arial" w:hAnsi="Arial"/>
                <w:b/>
                <w:bCs/>
                <w:color w:val="FFFFFF"/>
                <w:sz w:val="60"/>
                <w:szCs w:val="60"/>
              </w:rPr>
              <w:t xml:space="preserve">Training Delivery</w:t>
            </w:r>
          </w:p>
          <w:p>
            <w:pPr>
              <w:spacing w:before="120" w:after="120"/>
              <w:jc w:val="center"/>
            </w:pPr>
            <w:r>
              <w:rPr>
                <w:rFonts w:ascii="Arial" w:cs="Arial" w:eastAsia="Arial" w:hAnsi="Arial"/>
                <w:color w:val="A9CCE3"/>
                <w:sz w:val="26"/>
                <w:szCs w:val="26"/>
              </w:rPr>
              <w:t xml:space="preserve">In-Depth Research &amp; Feature Design Report</w:t>
            </w:r>
          </w:p>
          <w:p>
            <w:pPr>
              <w:spacing w:before="0" w:after="0"/>
            </w:pPr>
            <w:r>
              <w:rPr>
                <w:sz w:val="20"/>
                <w:szCs w:val="20"/>
              </w:rPr>
              <w:t xml:space="preserve"/>
            </w:r>
          </w:p>
          <w:p>
            <w:pPr>
              <w:jc w:val="center"/>
            </w:pPr>
            <w:r>
              <w:rPr>
                <w:rFonts w:ascii="Arial" w:cs="Arial" w:eastAsia="Arial" w:hAnsi="Arial"/>
                <w:color w:val="5D9CBF"/>
                <w:sz w:val="20"/>
                <w:szCs w:val="20"/>
              </w:rPr>
              <w:t xml:space="preserve">Version 1.0  |  2025  |  EcoSkiller Confidential</w:t>
            </w:r>
          </w:p>
        </w:tc>
      </w:tr>
    </w:tbl>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54360"/>
                <w:sz w:val="22"/>
                <w:szCs w:val="22"/>
              </w:rPr>
              <w:t xml:space="preserve">Executive Summary</w:t>
            </w:r>
          </w:p>
          <w:p>
            <w:pPr>
              <w:spacing w:before="40" w:after="40"/>
            </w:pPr>
            <w:r>
              <w:rPr>
                <w:rFonts w:ascii="Arial" w:cs="Arial" w:eastAsia="Arial" w:hAnsi="Arial"/>
                <w:color w:val="1C2833"/>
                <w:sz w:val="21"/>
                <w:szCs w:val="21"/>
              </w:rPr>
              <w:t xml:space="preserve">This report provides an in-depth feature design analysis of Feature 5: Training Delivery on the EcoSkiller platform. Training Delivery is the execution layer of the platform — the bridge between designed programs and actual learning outcomes. It covers 10 critical sub-features: Live Training Sessions, Recorded Training Sessions, Hybrid Training Programs, Virtual Classroom System, Student Attendance Tracking, Session Scheduling, Session Reminders, Training Material Distribution, Student Interaction Tools, and Live Q&amp;A Sessions. Each sub-feature is researched from market, UX, and technical perspectives with concrete implementation recommendations tailored to EcoSkiller's target audience of institutes, corporates, bootcamps, and SMEs.</w:t>
            </w:r>
          </w:p>
        </w:tc>
      </w:tr>
    </w:tbl>
    <w:p>
      <w:pPr>
        <w:spacing w:before="0" w:after="0"/>
      </w:pPr>
      <w:r>
        <w:rPr>
          <w:sz w:val="20"/>
          <w:szCs w:val="20"/>
        </w:rPr>
        <w:t xml:space="preserve"/>
      </w:r>
    </w:p>
    <w:p>
      <w:r>
        <w:br w:type="page"/>
      </w:r>
    </w:p>
    <w:p>
      <w:pPr>
        <w:pStyle w:val="Heading1"/>
        <w:pBdr>
          <w:bottom w:val="single" w:color="154360" w:sz="4" w:space="4"/>
        </w:pBdr>
        <w:spacing w:before="360" w:after="120"/>
      </w:pPr>
      <w:r>
        <w:rPr>
          <w:rFonts w:ascii="Arial" w:cs="Arial" w:eastAsia="Arial" w:hAnsi="Arial"/>
          <w:b/>
          <w:bCs/>
          <w:color w:val="154360"/>
          <w:sz w:val="36"/>
          <w:szCs w:val="36"/>
        </w:rPr>
        <w:t xml:space="preserve">Market Context &amp; Research Foundation</w:t>
      </w:r>
    </w:p>
    <w:p>
      <w:pPr>
        <w:spacing w:before="0" w:after="0"/>
      </w:pPr>
      <w:r>
        <w:rPr>
          <w:sz w:val="20"/>
          <w:szCs w:val="20"/>
        </w:rPr>
        <w:t xml:space="preserve"/>
      </w:r>
    </w:p>
    <w:p>
      <w:pPr>
        <w:spacing w:before="80" w:after="80"/>
      </w:pPr>
      <w:r>
        <w:rPr>
          <w:rFonts w:ascii="Arial" w:cs="Arial" w:eastAsia="Arial" w:hAnsi="Arial"/>
          <w:color w:val="1C2833"/>
          <w:sz w:val="22"/>
          <w:szCs w:val="22"/>
        </w:rPr>
        <w:t xml:space="preserve">Training Delivery sits at the intersection of education technology, live communication, and content management. The shift from purely in-person training to blended and fully online delivery has been the defining trend of the past five years. The following statistics establish the research foundation for each feature decision in this document.</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54360" w:val="clear"/>
            <w:tcMar>
              <w:top w:type="dxa" w:w="140"/>
              <w:left w:type="dxa" w:w="140"/>
              <w:bottom w:type="dxa" w:w="140"/>
              <w:right w:type="dxa" w:w="140"/>
            </w:tcMar>
          </w:tcPr>
          <w:p>
            <w:pPr>
              <w:jc w:val="center"/>
            </w:pPr>
            <w:r>
              <w:rPr>
                <w:rFonts w:ascii="Arial" w:cs="Arial" w:eastAsia="Arial" w:hAnsi="Arial"/>
                <w:b/>
                <w:bCs/>
                <w:color w:val="FFFFFF"/>
                <w:sz w:val="40"/>
                <w:szCs w:val="40"/>
              </w:rPr>
              <w:t xml:space="preserve">87%</w:t>
            </w:r>
          </w:p>
          <w:p>
            <w:pPr>
              <w:jc w:val="center"/>
            </w:pPr>
            <w:r>
              <w:rPr>
                <w:rFonts w:ascii="Arial" w:cs="Arial" w:eastAsia="Arial" w:hAnsi="Arial"/>
                <w:color w:val="A9CCE3"/>
                <w:sz w:val="18"/>
                <w:szCs w:val="18"/>
              </w:rPr>
              <w:t xml:space="preserve">Learners prefer blended/hybrid formats over purely in-person</w:t>
            </w:r>
          </w:p>
        </w:tc>
        <w:tc>
          <w:tcPr>
            <w:tcW w:type="dxa" w:w="2340"/>
            <w:tcBorders>
              <w:top w:val="single" w:color="D5D8DC" w:sz="1"/>
              <w:left w:val="single" w:color="D5D8DC" w:sz="1"/>
              <w:bottom w:val="single" w:color="D5D8DC" w:sz="1"/>
              <w:right w:val="single" w:color="D5D8DC" w:sz="1"/>
            </w:tcBorders>
            <w:shd w:fill="1A5276" w:val="clear"/>
            <w:tcMar>
              <w:top w:type="dxa" w:w="140"/>
              <w:left w:type="dxa" w:w="140"/>
              <w:bottom w:type="dxa" w:w="140"/>
              <w:right w:type="dxa" w:w="140"/>
            </w:tcMar>
          </w:tcPr>
          <w:p>
            <w:pPr>
              <w:jc w:val="center"/>
            </w:pPr>
            <w:r>
              <w:rPr>
                <w:rFonts w:ascii="Arial" w:cs="Arial" w:eastAsia="Arial" w:hAnsi="Arial"/>
                <w:b/>
                <w:bCs/>
                <w:color w:val="FFFFFF"/>
                <w:sz w:val="40"/>
                <w:szCs w:val="40"/>
              </w:rPr>
              <w:t xml:space="preserve">3.8x</w:t>
            </w:r>
          </w:p>
          <w:p>
            <w:pPr>
              <w:jc w:val="center"/>
            </w:pPr>
            <w:r>
              <w:rPr>
                <w:rFonts w:ascii="Arial" w:cs="Arial" w:eastAsia="Arial" w:hAnsi="Arial"/>
                <w:color w:val="A9CCE3"/>
                <w:sz w:val="18"/>
                <w:szCs w:val="18"/>
              </w:rPr>
              <w:t xml:space="preserve">Better retention with live + recorded hybrid delivery</w:t>
            </w:r>
          </w:p>
        </w:tc>
        <w:tc>
          <w:tcPr>
            <w:tcW w:type="dxa" w:w="2340"/>
            <w:tcBorders>
              <w:top w:val="single" w:color="D5D8DC" w:sz="1"/>
              <w:left w:val="single" w:color="D5D8DC" w:sz="1"/>
              <w:bottom w:val="single" w:color="D5D8DC" w:sz="1"/>
              <w:right w:val="single" w:color="D5D8DC" w:sz="1"/>
            </w:tcBorders>
            <w:shd w:fill="154360" w:val="clear"/>
            <w:tcMar>
              <w:top w:type="dxa" w:w="140"/>
              <w:left w:type="dxa" w:w="140"/>
              <w:bottom w:type="dxa" w:w="140"/>
              <w:right w:type="dxa" w:w="140"/>
            </w:tcMar>
          </w:tcPr>
          <w:p>
            <w:pPr>
              <w:jc w:val="center"/>
            </w:pPr>
            <w:r>
              <w:rPr>
                <w:rFonts w:ascii="Arial" w:cs="Arial" w:eastAsia="Arial" w:hAnsi="Arial"/>
                <w:b/>
                <w:bCs/>
                <w:color w:val="FFFFFF"/>
                <w:sz w:val="40"/>
                <w:szCs w:val="40"/>
              </w:rPr>
              <w:t xml:space="preserve">60%</w:t>
            </w:r>
          </w:p>
          <w:p>
            <w:pPr>
              <w:jc w:val="center"/>
            </w:pPr>
            <w:r>
              <w:rPr>
                <w:rFonts w:ascii="Arial" w:cs="Arial" w:eastAsia="Arial" w:hAnsi="Arial"/>
                <w:color w:val="A9CCE3"/>
                <w:sz w:val="18"/>
                <w:szCs w:val="18"/>
              </w:rPr>
              <w:t xml:space="preserve">Reduction in no-shows with automated session reminders</w:t>
            </w:r>
          </w:p>
        </w:tc>
        <w:tc>
          <w:tcPr>
            <w:tcW w:type="dxa" w:w="2340"/>
            <w:tcBorders>
              <w:top w:val="single" w:color="D5D8DC" w:sz="1"/>
              <w:left w:val="single" w:color="D5D8DC" w:sz="1"/>
              <w:bottom w:val="single" w:color="D5D8DC" w:sz="1"/>
              <w:right w:val="single" w:color="D5D8DC" w:sz="1"/>
            </w:tcBorders>
            <w:shd w:fill="1A5276" w:val="clear"/>
            <w:tcMar>
              <w:top w:type="dxa" w:w="140"/>
              <w:left w:type="dxa" w:w="140"/>
              <w:bottom w:type="dxa" w:w="140"/>
              <w:right w:type="dxa" w:w="140"/>
            </w:tcMar>
          </w:tcPr>
          <w:p>
            <w:pPr>
              <w:jc w:val="center"/>
            </w:pPr>
            <w:r>
              <w:rPr>
                <w:rFonts w:ascii="Arial" w:cs="Arial" w:eastAsia="Arial" w:hAnsi="Arial"/>
                <w:b/>
                <w:bCs/>
                <w:color w:val="FFFFFF"/>
                <w:sz w:val="40"/>
                <w:szCs w:val="40"/>
              </w:rPr>
              <w:t xml:space="preserve">45%</w:t>
            </w:r>
          </w:p>
          <w:p>
            <w:pPr>
              <w:jc w:val="center"/>
            </w:pPr>
            <w:r>
              <w:rPr>
                <w:rFonts w:ascii="Arial" w:cs="Arial" w:eastAsia="Arial" w:hAnsi="Arial"/>
                <w:color w:val="A9CCE3"/>
                <w:sz w:val="18"/>
                <w:szCs w:val="18"/>
              </w:rPr>
              <w:t xml:space="preserve">Increase in engagement with interactive tools in live sessions</w:t>
            </w:r>
          </w:p>
        </w:tc>
      </w:tr>
    </w:tbl>
    <w:p>
      <w:pPr>
        <w:spacing w:before="0" w:after="0"/>
      </w:pPr>
      <w:r>
        <w:rPr>
          <w:sz w:val="20"/>
          <w:szCs w:val="20"/>
        </w:rPr>
        <w:t xml:space="preserve"/>
      </w:r>
    </w:p>
    <w:p>
      <w:pPr>
        <w:pStyle w:val="ListParagraph"/>
        <w:numPr>
          <w:ilvl w:val="0"/>
          <w:numId w:val="2"/>
        </w:numPr>
        <w:spacing w:before="60" w:after="60"/>
      </w:pPr>
      <w:r>
        <w:rPr>
          <w:rFonts w:ascii="Arial" w:cs="Arial" w:eastAsia="Arial" w:hAnsi="Arial"/>
          <w:color w:val="1C2833"/>
          <w:sz w:val="22"/>
          <w:szCs w:val="22"/>
        </w:rPr>
        <w:t xml:space="preserve">The global e-learning market is projected to reach $457 billion by 2026 — live and hybrid delivery are the fastest-growing segments.</w:t>
      </w:r>
    </w:p>
    <w:p>
      <w:pPr>
        <w:pStyle w:val="ListParagraph"/>
        <w:numPr>
          <w:ilvl w:val="0"/>
          <w:numId w:val="2"/>
        </w:numPr>
        <w:spacing w:before="60" w:after="60"/>
      </w:pPr>
      <w:r>
        <w:rPr>
          <w:rFonts w:ascii="Arial" w:cs="Arial" w:eastAsia="Arial" w:hAnsi="Arial"/>
          <w:color w:val="1C2833"/>
          <w:sz w:val="22"/>
          <w:szCs w:val="22"/>
        </w:rPr>
        <w:t xml:space="preserve">Zoom, Microsoft Teams, and Google Meet dominate enterprise virtual training — but none offer purpose-built learning management natively.</w:t>
      </w:r>
    </w:p>
    <w:p>
      <w:pPr>
        <w:pStyle w:val="ListParagraph"/>
        <w:numPr>
          <w:ilvl w:val="0"/>
          <w:numId w:val="2"/>
        </w:numPr>
        <w:spacing w:before="60" w:after="60"/>
      </w:pPr>
      <w:r>
        <w:rPr>
          <w:rFonts w:ascii="Arial" w:cs="Arial" w:eastAsia="Arial" w:hAnsi="Arial"/>
          <w:color w:val="1C2833"/>
          <w:sz w:val="22"/>
          <w:szCs w:val="22"/>
        </w:rPr>
        <w:t xml:space="preserve">The biggest gap in current platforms is the disconnect between scheduling, delivery, attendance, and outcome tracking — EcoSkiller must bridge this.</w:t>
      </w:r>
    </w:p>
    <w:p>
      <w:pPr>
        <w:pStyle w:val="ListParagraph"/>
        <w:numPr>
          <w:ilvl w:val="0"/>
          <w:numId w:val="2"/>
        </w:numPr>
        <w:spacing w:before="60" w:after="60"/>
      </w:pPr>
      <w:r>
        <w:rPr>
          <w:rFonts w:ascii="Arial" w:cs="Arial" w:eastAsia="Arial" w:hAnsi="Arial"/>
          <w:color w:val="1C2833"/>
          <w:sz w:val="22"/>
          <w:szCs w:val="22"/>
        </w:rPr>
        <w:t xml:space="preserve">Indian EdTech platforms (BYJU's, Unacademy, upGrad) have invested heavily in live sessions — but lack SME and institute-specific workflows.</w:t>
      </w:r>
    </w:p>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4360" w:val="clear"/>
            <w:tcMar>
              <w:top w:type="dxa" w:w="120"/>
              <w:left w:type="dxa" w:w="150"/>
              <w:bottom w:type="dxa" w:w="120"/>
              <w:right w:type="dxa" w:w="150"/>
            </w:tcMar>
          </w:tcPr>
          <w:p>
            <w:pPr>
              <w:jc w:val="center"/>
            </w:pPr>
            <w:r>
              <w:rPr>
                <w:rFonts w:ascii="Arial" w:cs="Arial" w:eastAsia="Arial" w:hAnsi="Arial"/>
                <w:b/>
                <w:bCs/>
                <w:color w:val="FFFFFF"/>
                <w:sz w:val="30"/>
                <w:szCs w:val="30"/>
              </w:rPr>
              <w:t xml:space="preserve">5.1</w:t>
            </w:r>
          </w:p>
        </w:tc>
        <w:tc>
          <w:tcPr>
            <w:tcW w:type="dxa" w:w="874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54360"/>
                <w:sz w:val="30"/>
                <w:szCs w:val="30"/>
              </w:rPr>
              <w:t xml:space="preserve">Live Training Sessions</w:t>
            </w:r>
          </w:p>
        </w:tc>
      </w:tr>
    </w:tbl>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Overview</w:t>
      </w:r>
    </w:p>
    <w:p>
      <w:pPr>
        <w:spacing w:before="80" w:after="80"/>
      </w:pPr>
      <w:r>
        <w:rPr>
          <w:rFonts w:ascii="Arial" w:cs="Arial" w:eastAsia="Arial" w:hAnsi="Arial"/>
          <w:color w:val="1C2833"/>
          <w:sz w:val="22"/>
          <w:szCs w:val="22"/>
        </w:rPr>
        <w:t xml:space="preserve">Live Training Sessions are real-time, instructor-led learning events delivered over video conferencing. They simulate the energy and interaction of in-person classrooms while enabling geographic flexibility. For EcoSkiller, live sessions are the highest-engagement touchpoint in any training program and must be designed to be seamless for both trainers and learners across varying internet speeds and devices.</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Zoom, Webex, and Teams dominate corporate live training but lack learning-specific features like in-session assessments and automatic LMS logging.</w:t>
      </w:r>
    </w:p>
    <w:p>
      <w:pPr>
        <w:pStyle w:val="ListParagraph"/>
        <w:numPr>
          <w:ilvl w:val="0"/>
          <w:numId w:val="2"/>
        </w:numPr>
        <w:spacing w:before="60" w:after="60"/>
      </w:pPr>
      <w:r>
        <w:rPr>
          <w:rFonts w:ascii="Arial" w:cs="Arial" w:eastAsia="Arial" w:hAnsi="Arial"/>
          <w:color w:val="1C2833"/>
          <w:sz w:val="22"/>
          <w:szCs w:val="22"/>
        </w:rPr>
        <w:t xml:space="preserve">Purpose-built live learning platforms (Engageli, ClassIn, BigBlueButton) offer features like breakout rooms, polling, hand-raising, and whiteboard natively.</w:t>
      </w:r>
    </w:p>
    <w:p>
      <w:pPr>
        <w:pStyle w:val="ListParagraph"/>
        <w:numPr>
          <w:ilvl w:val="0"/>
          <w:numId w:val="2"/>
        </w:numPr>
        <w:spacing w:before="60" w:after="60"/>
      </w:pPr>
      <w:r>
        <w:rPr>
          <w:rFonts w:ascii="Arial" w:cs="Arial" w:eastAsia="Arial" w:hAnsi="Arial"/>
          <w:color w:val="1C2833"/>
          <w:sz w:val="22"/>
          <w:szCs w:val="22"/>
        </w:rPr>
        <w:t xml:space="preserve">Research shows live sessions with structured activities every 8–10 minutes maintain attention far better than uninterrupted lecture formats.</w:t>
      </w:r>
    </w:p>
    <w:p>
      <w:pPr>
        <w:pStyle w:val="ListParagraph"/>
        <w:numPr>
          <w:ilvl w:val="0"/>
          <w:numId w:val="2"/>
        </w:numPr>
        <w:spacing w:before="60" w:after="60"/>
      </w:pPr>
      <w:r>
        <w:rPr>
          <w:rFonts w:ascii="Arial" w:cs="Arial" w:eastAsia="Arial" w:hAnsi="Arial"/>
          <w:color w:val="1C2833"/>
          <w:sz w:val="22"/>
          <w:szCs w:val="22"/>
        </w:rPr>
        <w:t xml:space="preserve">Mobile-first live sessions are critical for the Indian market — over 65% of EcoSkiller learners will join from smartphones.</w:t>
      </w:r>
    </w:p>
    <w:p>
      <w:pPr>
        <w:pStyle w:val="ListParagraph"/>
        <w:numPr>
          <w:ilvl w:val="0"/>
          <w:numId w:val="2"/>
        </w:numPr>
        <w:spacing w:before="60" w:after="60"/>
      </w:pPr>
      <w:r>
        <w:rPr>
          <w:rFonts w:ascii="Arial" w:cs="Arial" w:eastAsia="Arial" w:hAnsi="Arial"/>
          <w:color w:val="1C2833"/>
          <w:sz w:val="22"/>
          <w:szCs w:val="22"/>
        </w:rPr>
        <w:t xml:space="preserve">Bandwidth-adaptive streaming (automatic quality reduction on poor networks) is non-negotiable for tier-2/3 city reach.</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2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Integrated Live Classroom</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Launch live sessions directly within EcoSkiller without external app switching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Built-in or deep-integrated video (Zoom/BBB SDK)</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HD Video &amp; Audio Controls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Multi-participant video grid with mute, camera toggle, spotlight controls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Noise suppression, virtual backgrounds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In-Session Polls &amp; Quizzes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Trainers launch live polls and quizzes mid-session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Instant results display, response analytics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Whiteboard &amp; Screen Share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Collaborative whiteboard with annotation tools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Multi-user drawing, screen takeover</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Breakout Rooms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Divide learners into small groups for collaborative exercises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Auto-assign or manual assignment</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Bandwidth Adaptive Streaming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Auto-adjust video quality based on connection speed</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Audio-only fallback for poor connections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Session Recording Trigger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One-click recording with automatic cloud storage and LMS linking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Consent notification to participants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54360"/>
                <w:sz w:val="22"/>
                <w:szCs w:val="22"/>
              </w:rPr>
              <w:t xml:space="preserve">Key Insight — Mobile Priority</w:t>
            </w:r>
          </w:p>
          <w:p>
            <w:pPr>
              <w:spacing w:before="40" w:after="40"/>
            </w:pPr>
            <w:r>
              <w:rPr>
                <w:rFonts w:ascii="Arial" w:cs="Arial" w:eastAsia="Arial" w:hAnsi="Arial"/>
                <w:color w:val="1C2833"/>
                <w:sz w:val="21"/>
                <w:szCs w:val="21"/>
              </w:rPr>
              <w:t xml:space="preserve">For EcoSkiller's target market (tier-2/3 institutes, SME-hired freshers), most learners will join live sessions from Android smartphones on 4G. The live session experience must be fully functional on mobile — including polls, whiteboard viewing, and Q&amp;A — not just video viewing.</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4360" w:val="clear"/>
            <w:tcMar>
              <w:top w:type="dxa" w:w="120"/>
              <w:left w:type="dxa" w:w="150"/>
              <w:bottom w:type="dxa" w:w="120"/>
              <w:right w:type="dxa" w:w="150"/>
            </w:tcMar>
          </w:tcPr>
          <w:p>
            <w:pPr>
              <w:jc w:val="center"/>
            </w:pPr>
            <w:r>
              <w:rPr>
                <w:rFonts w:ascii="Arial" w:cs="Arial" w:eastAsia="Arial" w:hAnsi="Arial"/>
                <w:b/>
                <w:bCs/>
                <w:color w:val="FFFFFF"/>
                <w:sz w:val="30"/>
                <w:szCs w:val="30"/>
              </w:rPr>
              <w:t xml:space="preserve">5.2</w:t>
            </w:r>
          </w:p>
        </w:tc>
        <w:tc>
          <w:tcPr>
            <w:tcW w:type="dxa" w:w="874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54360"/>
                <w:sz w:val="30"/>
                <w:szCs w:val="30"/>
              </w:rPr>
              <w:t xml:space="preserve">Recorded Training Sessions</w:t>
            </w:r>
          </w:p>
        </w:tc>
      </w:tr>
    </w:tbl>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Overview</w:t>
      </w:r>
    </w:p>
    <w:p>
      <w:pPr>
        <w:spacing w:before="80" w:after="80"/>
      </w:pPr>
      <w:r>
        <w:rPr>
          <w:rFonts w:ascii="Arial" w:cs="Arial" w:eastAsia="Arial" w:hAnsi="Arial"/>
          <w:color w:val="1C2833"/>
          <w:sz w:val="22"/>
          <w:szCs w:val="22"/>
        </w:rPr>
        <w:t xml:space="preserve">Recorded Training Sessions are pre-recorded or live-captured video lessons available on-demand. They form the backbone of self-paced learning tracks and serve as revision resources for live session participants. High-quality recording management — with search, chapters, transcripts, and playback controls — transforms recordings from passive archives into active learning assets.</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Studies show that learners who can rewatch recorded sessions score 23% higher on assessments than those who cannot.</w:t>
      </w:r>
    </w:p>
    <w:p>
      <w:pPr>
        <w:pStyle w:val="ListParagraph"/>
        <w:numPr>
          <w:ilvl w:val="0"/>
          <w:numId w:val="2"/>
        </w:numPr>
        <w:spacing w:before="60" w:after="60"/>
      </w:pPr>
      <w:r>
        <w:rPr>
          <w:rFonts w:ascii="Arial" w:cs="Arial" w:eastAsia="Arial" w:hAnsi="Arial"/>
          <w:color w:val="1C2833"/>
          <w:sz w:val="22"/>
          <w:szCs w:val="22"/>
        </w:rPr>
        <w:t xml:space="preserve">Loom, Kaltura, and Vimeo for Business are leading video hosting platforms — but lack native LMS integration and learning analytics.</w:t>
      </w:r>
    </w:p>
    <w:p>
      <w:pPr>
        <w:pStyle w:val="ListParagraph"/>
        <w:numPr>
          <w:ilvl w:val="0"/>
          <w:numId w:val="2"/>
        </w:numPr>
        <w:spacing w:before="60" w:after="60"/>
      </w:pPr>
      <w:r>
        <w:rPr>
          <w:rFonts w:ascii="Arial" w:cs="Arial" w:eastAsia="Arial" w:hAnsi="Arial"/>
          <w:color w:val="1C2833"/>
          <w:sz w:val="22"/>
          <w:szCs w:val="22"/>
        </w:rPr>
        <w:t xml:space="preserve">Auto-generated transcripts (using Whisper/Google STT) increase accessibility and enable in-video search.</w:t>
      </w:r>
    </w:p>
    <w:p>
      <w:pPr>
        <w:pStyle w:val="ListParagraph"/>
        <w:numPr>
          <w:ilvl w:val="0"/>
          <w:numId w:val="2"/>
        </w:numPr>
        <w:spacing w:before="60" w:after="60"/>
      </w:pPr>
      <w:r>
        <w:rPr>
          <w:rFonts w:ascii="Arial" w:cs="Arial" w:eastAsia="Arial" w:hAnsi="Arial"/>
          <w:color w:val="1C2833"/>
          <w:sz w:val="22"/>
          <w:szCs w:val="22"/>
        </w:rPr>
        <w:t xml:space="preserve">Chapter markers and skip-to timestamps are among the most-used features in recorded content platforms (YouTube data, 2024).</w:t>
      </w:r>
    </w:p>
    <w:p>
      <w:pPr>
        <w:pStyle w:val="ListParagraph"/>
        <w:numPr>
          <w:ilvl w:val="0"/>
          <w:numId w:val="2"/>
        </w:numPr>
        <w:spacing w:before="60" w:after="60"/>
      </w:pPr>
      <w:r>
        <w:rPr>
          <w:rFonts w:ascii="Arial" w:cs="Arial" w:eastAsia="Arial" w:hAnsi="Arial"/>
          <w:color w:val="1C2833"/>
          <w:sz w:val="22"/>
          <w:szCs w:val="22"/>
        </w:rPr>
        <w:t xml:space="preserve">Variable playback speed (1.25x, 1.5x, 2x) is expected by all learners and reduces time-to-completion without sacrificing comprehension.</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2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Secure Video Hosting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Store recordings on CDN with DRM encryption and watermarking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Anti-download, screen capture deterrence</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Auto Transcript &amp; Captions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AI-generated transcripts with timestamps and CC display</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Multi-language caption support</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Chapter Marker System</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Trainers add named chapters to recordings for easy navigation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Auto-chapter from slide transitions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In-Video Annotations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Trainers embed notes, quiz pop-ups, and resource links in video</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Pause-and-prompt for comprehension checks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Playback Analytics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Track per-learner watch %, rewind points, drop-off segments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Heatmap of most-rewatched moments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Variable Speed &amp; Quality</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Learner-controlled playback speed and resolution selector</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1x / 1.25x / 1.5x / 2x modes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Recording Library</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Searchable, organized library by course, date, trainer, topic</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Smart search in transcripts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54360"/>
                <w:sz w:val="22"/>
                <w:szCs w:val="22"/>
              </w:rPr>
              <w:t xml:space="preserve">Key Insight — Engagement Tracking</w:t>
            </w:r>
          </w:p>
          <w:p>
            <w:pPr>
              <w:spacing w:before="40" w:after="40"/>
            </w:pPr>
            <w:r>
              <w:rPr>
                <w:rFonts w:ascii="Arial" w:cs="Arial" w:eastAsia="Arial" w:hAnsi="Arial"/>
                <w:color w:val="1C2833"/>
                <w:sz w:val="21"/>
                <w:szCs w:val="21"/>
              </w:rPr>
              <w:t xml:space="preserve">Recorded session analytics should go beyond 'watched/not watched'. Track rewind frequency (indicates confusion), skip-ahead behavior (indicates boredom), and specific timestamp drop-offs. This data should automatically flag content that needs to be improved.</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4360" w:val="clear"/>
            <w:tcMar>
              <w:top w:type="dxa" w:w="120"/>
              <w:left w:type="dxa" w:w="150"/>
              <w:bottom w:type="dxa" w:w="120"/>
              <w:right w:type="dxa" w:w="150"/>
            </w:tcMar>
          </w:tcPr>
          <w:p>
            <w:pPr>
              <w:jc w:val="center"/>
            </w:pPr>
            <w:r>
              <w:rPr>
                <w:rFonts w:ascii="Arial" w:cs="Arial" w:eastAsia="Arial" w:hAnsi="Arial"/>
                <w:b/>
                <w:bCs/>
                <w:color w:val="FFFFFF"/>
                <w:sz w:val="30"/>
                <w:szCs w:val="30"/>
              </w:rPr>
              <w:t xml:space="preserve">5.3</w:t>
            </w:r>
          </w:p>
        </w:tc>
        <w:tc>
          <w:tcPr>
            <w:tcW w:type="dxa" w:w="874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54360"/>
                <w:sz w:val="30"/>
                <w:szCs w:val="30"/>
              </w:rPr>
              <w:t xml:space="preserve">Hybrid Training Programs</w:t>
            </w:r>
          </w:p>
        </w:tc>
      </w:tr>
    </w:tbl>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Overview</w:t>
      </w:r>
    </w:p>
    <w:p>
      <w:pPr>
        <w:spacing w:before="80" w:after="80"/>
      </w:pPr>
      <w:r>
        <w:rPr>
          <w:rFonts w:ascii="Arial" w:cs="Arial" w:eastAsia="Arial" w:hAnsi="Arial"/>
          <w:color w:val="1C2833"/>
          <w:sz w:val="22"/>
          <w:szCs w:val="22"/>
        </w:rPr>
        <w:t xml:space="preserve">Hybrid Training Programs combine live sessions, self-paced recordings, in-person workshops, and asynchronous assignments into a single cohesive program experience. This format has become the dominant model for corporate L&amp;D and premium bootcamps because it balances structured engagement with learner flexibility. Managing hybrid programs requires robust orchestration of multiple delivery modes within one program timeline.</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Hybrid learning formats show 3.8x better knowledge retention versus purely synchronous or purely asynchronous formats (Brandon Hall Group, 2023).</w:t>
      </w:r>
    </w:p>
    <w:p>
      <w:pPr>
        <w:pStyle w:val="ListParagraph"/>
        <w:numPr>
          <w:ilvl w:val="0"/>
          <w:numId w:val="2"/>
        </w:numPr>
        <w:spacing w:before="60" w:after="60"/>
      </w:pPr>
      <w:r>
        <w:rPr>
          <w:rFonts w:ascii="Arial" w:cs="Arial" w:eastAsia="Arial" w:hAnsi="Arial"/>
          <w:color w:val="1C2833"/>
          <w:sz w:val="22"/>
          <w:szCs w:val="22"/>
        </w:rPr>
        <w:t xml:space="preserve">The biggest failure point in hybrid programs is content fragmentation — learners lose track of what is live vs. recorded vs. due.</w:t>
      </w:r>
    </w:p>
    <w:p>
      <w:pPr>
        <w:pStyle w:val="ListParagraph"/>
        <w:numPr>
          <w:ilvl w:val="0"/>
          <w:numId w:val="2"/>
        </w:numPr>
        <w:spacing w:before="60" w:after="60"/>
      </w:pPr>
      <w:r>
        <w:rPr>
          <w:rFonts w:ascii="Arial" w:cs="Arial" w:eastAsia="Arial" w:hAnsi="Arial"/>
          <w:color w:val="1C2833"/>
          <w:sz w:val="22"/>
          <w:szCs w:val="22"/>
        </w:rPr>
        <w:t xml:space="preserve">A unified hybrid program dashboard that shows all modalities in one calendar view is the most-requested UX improvement in corporate LMS surveys.</w:t>
      </w:r>
    </w:p>
    <w:p>
      <w:pPr>
        <w:pStyle w:val="ListParagraph"/>
        <w:numPr>
          <w:ilvl w:val="0"/>
          <w:numId w:val="2"/>
        </w:numPr>
        <w:spacing w:before="60" w:after="60"/>
      </w:pPr>
      <w:r>
        <w:rPr>
          <w:rFonts w:ascii="Arial" w:cs="Arial" w:eastAsia="Arial" w:hAnsi="Arial"/>
          <w:color w:val="1C2833"/>
          <w:sz w:val="22"/>
          <w:szCs w:val="22"/>
        </w:rPr>
        <w:t xml:space="preserve">VILT (Virtual Instructor-Led Training) blended with self-paced pre-work is the dominant enterprise training format in 2024–2025.</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2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Hybrid Program Canvas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Design programs with mixed blocks: live, recorded, in-person, async</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Visual timeline with modality color coding</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Unified Learner Dashboard</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Single view showing upcoming live sessions, pending recordings, and due assignments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Today/week/full-program views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Mode-Switching Logic</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Define rules for when learners switch between modalities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Completion gates, time-based unlock</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In-Person Session Tracking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Log offline/in-person sessions with trainer confirmation</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Physical attendance check-in (QR/OTP)</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Async-to-Live Handoff</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Pre-work completion required before live session access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Prerequisite enforcement, automated lock</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Hybrid Analytics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Track engagement separately per modality (live vs. recorded vs. in-person)</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Modality effectiveness comparison report</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4360" w:val="clear"/>
            <w:tcMar>
              <w:top w:type="dxa" w:w="120"/>
              <w:left w:type="dxa" w:w="150"/>
              <w:bottom w:type="dxa" w:w="120"/>
              <w:right w:type="dxa" w:w="150"/>
            </w:tcMar>
          </w:tcPr>
          <w:p>
            <w:pPr>
              <w:jc w:val="center"/>
            </w:pPr>
            <w:r>
              <w:rPr>
                <w:rFonts w:ascii="Arial" w:cs="Arial" w:eastAsia="Arial" w:hAnsi="Arial"/>
                <w:b/>
                <w:bCs/>
                <w:color w:val="FFFFFF"/>
                <w:sz w:val="30"/>
                <w:szCs w:val="30"/>
              </w:rPr>
              <w:t xml:space="preserve">5.4</w:t>
            </w:r>
          </w:p>
        </w:tc>
        <w:tc>
          <w:tcPr>
            <w:tcW w:type="dxa" w:w="874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54360"/>
                <w:sz w:val="30"/>
                <w:szCs w:val="30"/>
              </w:rPr>
              <w:t xml:space="preserve">Virtual Classroom System</w:t>
            </w:r>
          </w:p>
        </w:tc>
      </w:tr>
    </w:tbl>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Overview</w:t>
      </w:r>
    </w:p>
    <w:p>
      <w:pPr>
        <w:spacing w:before="80" w:after="80"/>
      </w:pPr>
      <w:r>
        <w:rPr>
          <w:rFonts w:ascii="Arial" w:cs="Arial" w:eastAsia="Arial" w:hAnsi="Arial"/>
          <w:color w:val="1C2833"/>
          <w:sz w:val="22"/>
          <w:szCs w:val="22"/>
        </w:rPr>
        <w:t xml:space="preserve">The Virtual Classroom System is the full-featured digital equivalent of a physical classroom — designed specifically for education rather than generic video conferencing. It provides persistent class spaces, seating/roster management, classroom rules enforcement, teacher controls, and integration with course content. Unlike a generic Zoom call, a virtual classroom is contextually aware of the course, the learner's progress, and the session's learning objectives.</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ClassIn, Google Classroom, and Blackboard Collaborate are the leading virtual classroom systems — each optimized for different segments (K-12, higher ed, corporate).</w:t>
      </w:r>
    </w:p>
    <w:p>
      <w:pPr>
        <w:pStyle w:val="ListParagraph"/>
        <w:numPr>
          <w:ilvl w:val="0"/>
          <w:numId w:val="2"/>
        </w:numPr>
        <w:spacing w:before="60" w:after="60"/>
      </w:pPr>
      <w:r>
        <w:rPr>
          <w:rFonts w:ascii="Arial" w:cs="Arial" w:eastAsia="Arial" w:hAnsi="Arial"/>
          <w:color w:val="1C2833"/>
          <w:sz w:val="22"/>
          <w:szCs w:val="22"/>
        </w:rPr>
        <w:t xml:space="preserve">Persistent classroom spaces (always-accessible room link per course) reduce pre-session setup friction by 80%.</w:t>
      </w:r>
    </w:p>
    <w:p>
      <w:pPr>
        <w:pStyle w:val="ListParagraph"/>
        <w:numPr>
          <w:ilvl w:val="0"/>
          <w:numId w:val="2"/>
        </w:numPr>
        <w:spacing w:before="60" w:after="60"/>
      </w:pPr>
      <w:r>
        <w:rPr>
          <w:rFonts w:ascii="Arial" w:cs="Arial" w:eastAsia="Arial" w:hAnsi="Arial"/>
          <w:color w:val="1C2833"/>
          <w:sz w:val="22"/>
          <w:szCs w:val="22"/>
        </w:rPr>
        <w:t xml:space="preserve">Classroom management controls (mute all, remove participant, raise hand queue) are essential for large class management (50+ learners).</w:t>
      </w:r>
    </w:p>
    <w:p>
      <w:pPr>
        <w:pStyle w:val="ListParagraph"/>
        <w:numPr>
          <w:ilvl w:val="0"/>
          <w:numId w:val="2"/>
        </w:numPr>
        <w:spacing w:before="60" w:after="60"/>
      </w:pPr>
      <w:r>
        <w:rPr>
          <w:rFonts w:ascii="Arial" w:cs="Arial" w:eastAsia="Arial" w:hAnsi="Arial"/>
          <w:color w:val="1C2833"/>
          <w:sz w:val="22"/>
          <w:szCs w:val="22"/>
        </w:rPr>
        <w:t xml:space="preserve">Virtual classroom engagement scores correlate directly with features used: classes using polls + breakouts + Q&amp;A score 2.5x higher than video-only sessions.</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2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Persistent Classroom Spaces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Each course has a dedicated, always-available virtual classroom link</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No setup needed per session, bookmark-able</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Roster &amp; Seating Management</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 sees all enrolled learners, their join status, and engagement signals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Late join notifications, absent flagging</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Classroom Controls Panel</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Mute all, spotlight speaker, remove participant, lock room</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Co-host assignment, guest permissions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In-Class Resource Sharing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Push slides, PDFs, links directly to all learner screens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Persistent resource shelf in classroom</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Engagement Signal Dashboard</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Real-time view of attention, reactions, and participation per learner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Confusion signal, thumbs up/down reactions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Class Replay Access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Auto-link session recording to classroom for post-session review</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Learner-specific access with progress tracking</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54360"/>
                <w:sz w:val="22"/>
                <w:szCs w:val="22"/>
              </w:rPr>
              <w:t xml:space="preserve">Key Insight — Teacher Empowerment</w:t>
            </w:r>
          </w:p>
          <w:p>
            <w:pPr>
              <w:spacing w:before="40" w:after="40"/>
            </w:pPr>
            <w:r>
              <w:rPr>
                <w:rFonts w:ascii="Arial" w:cs="Arial" w:eastAsia="Arial" w:hAnsi="Arial"/>
                <w:color w:val="1C2833"/>
                <w:sz w:val="21"/>
                <w:szCs w:val="21"/>
              </w:rPr>
              <w:t xml:space="preserve">The virtual classroom trainer interface must be distraction-free and power-rich simultaneously. Trainers should be able to manage content, monitor engagement, respond to questions, and control recordings from a single control panel — without switching screens or apps mid-session.</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4360" w:val="clear"/>
            <w:tcMar>
              <w:top w:type="dxa" w:w="120"/>
              <w:left w:type="dxa" w:w="150"/>
              <w:bottom w:type="dxa" w:w="120"/>
              <w:right w:type="dxa" w:w="150"/>
            </w:tcMar>
          </w:tcPr>
          <w:p>
            <w:pPr>
              <w:jc w:val="center"/>
            </w:pPr>
            <w:r>
              <w:rPr>
                <w:rFonts w:ascii="Arial" w:cs="Arial" w:eastAsia="Arial" w:hAnsi="Arial"/>
                <w:b/>
                <w:bCs/>
                <w:color w:val="FFFFFF"/>
                <w:sz w:val="30"/>
                <w:szCs w:val="30"/>
              </w:rPr>
              <w:t xml:space="preserve">5.5</w:t>
            </w:r>
          </w:p>
        </w:tc>
        <w:tc>
          <w:tcPr>
            <w:tcW w:type="dxa" w:w="874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54360"/>
                <w:sz w:val="30"/>
                <w:szCs w:val="30"/>
              </w:rPr>
              <w:t xml:space="preserve">Student Attendance Tracking</w:t>
            </w:r>
          </w:p>
        </w:tc>
      </w:tr>
    </w:tbl>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Overview</w:t>
      </w:r>
    </w:p>
    <w:p>
      <w:pPr>
        <w:spacing w:before="80" w:after="80"/>
      </w:pPr>
      <w:r>
        <w:rPr>
          <w:rFonts w:ascii="Arial" w:cs="Arial" w:eastAsia="Arial" w:hAnsi="Arial"/>
          <w:color w:val="1C2833"/>
          <w:sz w:val="22"/>
          <w:szCs w:val="22"/>
        </w:rPr>
        <w:t xml:space="preserve">Student Attendance Tracking automates the capture, storage, and reporting of learner presence across live sessions, workshops, and in-person events. For institutes and corporates, attendance data is tied to certification eligibility, compliance requirements, stipend disbursement, and early dropout detection. Manual attendance processes are error-prone and create significant administrative overhead — automation is critical.</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Institutes in India require minimum 75% attendance for exam eligibility — automated tracking eliminates disputes and manual errors.</w:t>
      </w:r>
    </w:p>
    <w:p>
      <w:pPr>
        <w:pStyle w:val="ListParagraph"/>
        <w:numPr>
          <w:ilvl w:val="0"/>
          <w:numId w:val="2"/>
        </w:numPr>
        <w:spacing w:before="60" w:after="60"/>
      </w:pPr>
      <w:r>
        <w:rPr>
          <w:rFonts w:ascii="Arial" w:cs="Arial" w:eastAsia="Arial" w:hAnsi="Arial"/>
          <w:color w:val="1C2833"/>
          <w:sz w:val="22"/>
          <w:szCs w:val="22"/>
        </w:rPr>
        <w:t xml:space="preserve">Corporate L&amp;D mandates (POSH, safety training, compliance certification) require attendance records as legal documentation.</w:t>
      </w:r>
    </w:p>
    <w:p>
      <w:pPr>
        <w:pStyle w:val="ListParagraph"/>
        <w:numPr>
          <w:ilvl w:val="0"/>
          <w:numId w:val="2"/>
        </w:numPr>
        <w:spacing w:before="60" w:after="60"/>
      </w:pPr>
      <w:r>
        <w:rPr>
          <w:rFonts w:ascii="Arial" w:cs="Arial" w:eastAsia="Arial" w:hAnsi="Arial"/>
          <w:color w:val="1C2833"/>
          <w:sz w:val="22"/>
          <w:szCs w:val="22"/>
        </w:rPr>
        <w:t xml:space="preserve">Geo-fenced mobile check-in (for in-person sessions) and session-join detection (for live online) are the two most accurate tracking methods.</w:t>
      </w:r>
    </w:p>
    <w:p>
      <w:pPr>
        <w:pStyle w:val="ListParagraph"/>
        <w:numPr>
          <w:ilvl w:val="0"/>
          <w:numId w:val="2"/>
        </w:numPr>
        <w:spacing w:before="60" w:after="60"/>
      </w:pPr>
      <w:r>
        <w:rPr>
          <w:rFonts w:ascii="Arial" w:cs="Arial" w:eastAsia="Arial" w:hAnsi="Arial"/>
          <w:color w:val="1C2833"/>
          <w:sz w:val="22"/>
          <w:szCs w:val="22"/>
        </w:rPr>
        <w:t xml:space="preserve">Attendance dashboards that flag at-risk learners (below 75%) with automated intervention notifications reduce dropout by 38%.</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2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Auto Session-Join Detection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Automatically mark attendance when learner joins live session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Join/leave timestamp log, duration tracking</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QR Code Check-In (In-Person)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 displays QR code; learners scan to mark presence</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Geo-verification, time-window validation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OTP-Based Attendance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 shares OTP verbally; learners enter to confirm attendance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Fraud prevention, manual override option</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Attendance Dashboard</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Trainer/admin view of session-wise and cumulative attendance</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Color-coded risk flags (&lt;75% alert)</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Attendance Reports &amp; Export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Generate attendance reports by session, course, or learner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PDF/Excel export for compliance, NAAC/NBA</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Automated Alerts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SMS/email to learners below attendance threshold + parent/guardian option</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Escalation to institute admin for intervention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Late Join &amp; Early Exit Tracking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Log exact join and leave times, calculate effective attendance %</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Partial credit configuration by trainer</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54360"/>
                <w:sz w:val="22"/>
                <w:szCs w:val="22"/>
              </w:rPr>
              <w:t xml:space="preserve">Key Insight — Compliance Value</w:t>
            </w:r>
          </w:p>
          <w:p>
            <w:pPr>
              <w:spacing w:before="40" w:after="40"/>
            </w:pPr>
            <w:r>
              <w:rPr>
                <w:rFonts w:ascii="Arial" w:cs="Arial" w:eastAsia="Arial" w:hAnsi="Arial"/>
                <w:color w:val="1C2833"/>
                <w:sz w:val="21"/>
                <w:szCs w:val="21"/>
              </w:rPr>
              <w:t xml:space="preserve">For AICTE-affiliated institutes and corporate compliance training, attendance records are legal documents. EcoSkiller must offer tamper-proof, timestamped attendance logs with digital signatures or blockchain anchoring — this is a strong enterprise sales argument.</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4360" w:val="clear"/>
            <w:tcMar>
              <w:top w:type="dxa" w:w="120"/>
              <w:left w:type="dxa" w:w="150"/>
              <w:bottom w:type="dxa" w:w="120"/>
              <w:right w:type="dxa" w:w="150"/>
            </w:tcMar>
          </w:tcPr>
          <w:p>
            <w:pPr>
              <w:jc w:val="center"/>
            </w:pPr>
            <w:r>
              <w:rPr>
                <w:rFonts w:ascii="Arial" w:cs="Arial" w:eastAsia="Arial" w:hAnsi="Arial"/>
                <w:b/>
                <w:bCs/>
                <w:color w:val="FFFFFF"/>
                <w:sz w:val="30"/>
                <w:szCs w:val="30"/>
              </w:rPr>
              <w:t xml:space="preserve">5.6</w:t>
            </w:r>
          </w:p>
        </w:tc>
        <w:tc>
          <w:tcPr>
            <w:tcW w:type="dxa" w:w="874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54360"/>
                <w:sz w:val="30"/>
                <w:szCs w:val="30"/>
              </w:rPr>
              <w:t xml:space="preserve">Session Scheduling</w:t>
            </w:r>
          </w:p>
        </w:tc>
      </w:tr>
    </w:tbl>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Overview</w:t>
      </w:r>
    </w:p>
    <w:p>
      <w:pPr>
        <w:spacing w:before="80" w:after="80"/>
      </w:pPr>
      <w:r>
        <w:rPr>
          <w:rFonts w:ascii="Arial" w:cs="Arial" w:eastAsia="Arial" w:hAnsi="Arial"/>
          <w:color w:val="1C2833"/>
          <w:sz w:val="22"/>
          <w:szCs w:val="22"/>
        </w:rPr>
        <w:t xml:space="preserve">Session Scheduling is the operational backbone of training delivery. It enables trainers and admins to plan, organize, and communicate training calendars across multiple programs, cohorts, and time zones. Effective scheduling reduces trainer conflicts, maximizes resource utilization, and ensures learners always know when and where to show up.</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Calendly, HubSpot Meetings, and Acuity Scheduling are the consumer scheduling gold standards — but lack LMS context.</w:t>
      </w:r>
    </w:p>
    <w:p>
      <w:pPr>
        <w:pStyle w:val="ListParagraph"/>
        <w:numPr>
          <w:ilvl w:val="0"/>
          <w:numId w:val="2"/>
        </w:numPr>
        <w:spacing w:before="60" w:after="60"/>
      </w:pPr>
      <w:r>
        <w:rPr>
          <w:rFonts w:ascii="Arial" w:cs="Arial" w:eastAsia="Arial" w:hAnsi="Arial"/>
          <w:color w:val="1C2833"/>
          <w:sz w:val="22"/>
          <w:szCs w:val="22"/>
        </w:rPr>
        <w:t xml:space="preserve">Conflict detection (trainer double-booking, learner schedule overlap) is the top feature gap in current EdTech scheduling tools.</w:t>
      </w:r>
    </w:p>
    <w:p>
      <w:pPr>
        <w:pStyle w:val="ListParagraph"/>
        <w:numPr>
          <w:ilvl w:val="0"/>
          <w:numId w:val="2"/>
        </w:numPr>
        <w:spacing w:before="60" w:after="60"/>
      </w:pPr>
      <w:r>
        <w:rPr>
          <w:rFonts w:ascii="Arial" w:cs="Arial" w:eastAsia="Arial" w:hAnsi="Arial"/>
          <w:color w:val="1C2833"/>
          <w:sz w:val="22"/>
          <w:szCs w:val="22"/>
        </w:rPr>
        <w:t xml:space="preserve">Recurring session scheduling (every Tuesday 6PM for 8 weeks) dramatically reduces admin effort for long-running programs.</w:t>
      </w:r>
    </w:p>
    <w:p>
      <w:pPr>
        <w:pStyle w:val="ListParagraph"/>
        <w:numPr>
          <w:ilvl w:val="0"/>
          <w:numId w:val="2"/>
        </w:numPr>
        <w:spacing w:before="60" w:after="60"/>
      </w:pPr>
      <w:r>
        <w:rPr>
          <w:rFonts w:ascii="Arial" w:cs="Arial" w:eastAsia="Arial" w:hAnsi="Arial"/>
          <w:color w:val="1C2833"/>
          <w:sz w:val="22"/>
          <w:szCs w:val="22"/>
        </w:rPr>
        <w:t xml:space="preserve">Integration with Google Calendar and Outlook is a dealbreaker for enterprise clients — meetings must sync to corporate calendars.</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2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Visual Session Calendar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Monthly/weekly calendar view of all scheduled sessions per program</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Color-coded by program/trainer/type</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Recurring Session Setup</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Define repeating session patterns (daily/weekly/custom intervals)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Exception handling, holiday management</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Conflict Detection Engine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Auto-detect trainer double-booking and learner schedule clashes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Suggested alternative slots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Multi-Timezone Scheduling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Schedule once; auto-display in each learner's local timezone</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IST/GMT/EST/PST with DST handling</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Resource Allocation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Assign room, virtual meeting link, equipment per session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Capacity check, link auto-generation</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Calendar Sync (Google/Outlook)</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Two-way sync with Google Calendar, Outlook, Apple Calendar</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ICS export for non-integrated calendars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Bulk Session Import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Import full program schedule via CSV template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Validation with error flagging</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4360" w:val="clear"/>
            <w:tcMar>
              <w:top w:type="dxa" w:w="120"/>
              <w:left w:type="dxa" w:w="150"/>
              <w:bottom w:type="dxa" w:w="120"/>
              <w:right w:type="dxa" w:w="150"/>
            </w:tcMar>
          </w:tcPr>
          <w:p>
            <w:pPr>
              <w:jc w:val="center"/>
            </w:pPr>
            <w:r>
              <w:rPr>
                <w:rFonts w:ascii="Arial" w:cs="Arial" w:eastAsia="Arial" w:hAnsi="Arial"/>
                <w:b/>
                <w:bCs/>
                <w:color w:val="FFFFFF"/>
                <w:sz w:val="30"/>
                <w:szCs w:val="30"/>
              </w:rPr>
              <w:t xml:space="preserve">5.7</w:t>
            </w:r>
          </w:p>
        </w:tc>
        <w:tc>
          <w:tcPr>
            <w:tcW w:type="dxa" w:w="874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54360"/>
                <w:sz w:val="30"/>
                <w:szCs w:val="30"/>
              </w:rPr>
              <w:t xml:space="preserve">Session Reminders</w:t>
            </w:r>
          </w:p>
        </w:tc>
      </w:tr>
    </w:tbl>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Overview</w:t>
      </w:r>
    </w:p>
    <w:p>
      <w:pPr>
        <w:spacing w:before="80" w:after="80"/>
      </w:pPr>
      <w:r>
        <w:rPr>
          <w:rFonts w:ascii="Arial" w:cs="Arial" w:eastAsia="Arial" w:hAnsi="Arial"/>
          <w:color w:val="1C2833"/>
          <w:sz w:val="22"/>
          <w:szCs w:val="22"/>
        </w:rPr>
        <w:t xml:space="preserve">Session Reminders are automated, multi-channel notifications sent to learners (and optionally to trainers, parents, or managers) before scheduled training events. They are one of the highest-ROI features on any training platform — directly reducing no-show rates, improving session preparedness, and maintaining learner momentum. A well-designed reminder system is personalized, timely, and actionable.</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Automated reminders reduce training no-show rates by 55–60% across industries (Eventbrite data, 2024).</w:t>
      </w:r>
    </w:p>
    <w:p>
      <w:pPr>
        <w:pStyle w:val="ListParagraph"/>
        <w:numPr>
          <w:ilvl w:val="0"/>
          <w:numId w:val="2"/>
        </w:numPr>
        <w:spacing w:before="60" w:after="60"/>
      </w:pPr>
      <w:r>
        <w:rPr>
          <w:rFonts w:ascii="Arial" w:cs="Arial" w:eastAsia="Arial" w:hAnsi="Arial"/>
          <w:color w:val="1C2833"/>
          <w:sz w:val="22"/>
          <w:szCs w:val="22"/>
        </w:rPr>
        <w:t xml:space="preserve">The optimal reminder cadence for training sessions is: 24 hours before (email), 1 hour before (push notification), 10 minutes before (SMS/push).</w:t>
      </w:r>
    </w:p>
    <w:p>
      <w:pPr>
        <w:pStyle w:val="ListParagraph"/>
        <w:numPr>
          <w:ilvl w:val="0"/>
          <w:numId w:val="2"/>
        </w:numPr>
        <w:spacing w:before="60" w:after="60"/>
      </w:pPr>
      <w:r>
        <w:rPr>
          <w:rFonts w:ascii="Arial" w:cs="Arial" w:eastAsia="Arial" w:hAnsi="Arial"/>
          <w:color w:val="1C2833"/>
          <w:sz w:val="22"/>
          <w:szCs w:val="22"/>
        </w:rPr>
        <w:t xml:space="preserve">Reminders that include direct join links (one-click join) have 3x higher response rates than reminders without links.</w:t>
      </w:r>
    </w:p>
    <w:p>
      <w:pPr>
        <w:pStyle w:val="ListParagraph"/>
        <w:numPr>
          <w:ilvl w:val="0"/>
          <w:numId w:val="2"/>
        </w:numPr>
        <w:spacing w:before="60" w:after="60"/>
      </w:pPr>
      <w:r>
        <w:rPr>
          <w:rFonts w:ascii="Arial" w:cs="Arial" w:eastAsia="Arial" w:hAnsi="Arial"/>
          <w:color w:val="1C2833"/>
          <w:sz w:val="22"/>
          <w:szCs w:val="22"/>
        </w:rPr>
        <w:t xml:space="preserve">WhatsApp reminders show 40% higher open rates than email in the Indian market — WhatsApp Business API integration is highly strategic.</w:t>
      </w:r>
    </w:p>
    <w:p>
      <w:pPr>
        <w:pStyle w:val="ListParagraph"/>
        <w:numPr>
          <w:ilvl w:val="0"/>
          <w:numId w:val="2"/>
        </w:numPr>
        <w:spacing w:before="60" w:after="60"/>
      </w:pPr>
      <w:r>
        <w:rPr>
          <w:rFonts w:ascii="Arial" w:cs="Arial" w:eastAsia="Arial" w:hAnsi="Arial"/>
          <w:color w:val="1C2833"/>
          <w:sz w:val="22"/>
          <w:szCs w:val="22"/>
        </w:rPr>
        <w:t xml:space="preserve">Pre-session reminders that include session agenda and pre-work checklist improve learner preparedness and session quality.</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2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Multi-Channel Reminders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Send reminders via email, SMS, push notification, and WhatsApp</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Channel preference per learner</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Customizable Reminder Cadence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Set reminder timing (24hr, 1hr, 15min) per program or session</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Custom sequences by admin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One-Click Join Links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Include direct session join link in every reminder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Deep link into virtual classroom</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Agenda &amp; Pre-Work Include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Auto-attach session agenda and pending pre-work to reminders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Dynamic content from program data</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Trainer Reminders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Separate trainer reminders with roster count and session checklist</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 prep countdown</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WhatsApp Business Integration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WhatsApp message templates for session reminders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Opt-in/opt-out management, TRAI compliance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Parent/Manager Notifications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Optional copy to parent email or manager for compliance programs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Configurable per program type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54360"/>
                <w:sz w:val="22"/>
                <w:szCs w:val="22"/>
              </w:rPr>
              <w:t xml:space="preserve">Key Insight — WhatsApp First</w:t>
            </w:r>
          </w:p>
          <w:p>
            <w:pPr>
              <w:spacing w:before="40" w:after="40"/>
            </w:pPr>
            <w:r>
              <w:rPr>
                <w:rFonts w:ascii="Arial" w:cs="Arial" w:eastAsia="Arial" w:hAnsi="Arial"/>
                <w:color w:val="1C2833"/>
                <w:sz w:val="21"/>
                <w:szCs w:val="21"/>
              </w:rPr>
              <w:t xml:space="preserve">In the Indian market, WhatsApp is the single most reliable communication channel for learners, especially in tier-2/3 cities. EcoSkiller should treat WhatsApp Business API integration as a core delivery channel, not a nice-to-have. Session reminders via WhatsApp will outperform email significantly in open and action rates.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4360" w:val="clear"/>
            <w:tcMar>
              <w:top w:type="dxa" w:w="120"/>
              <w:left w:type="dxa" w:w="150"/>
              <w:bottom w:type="dxa" w:w="120"/>
              <w:right w:type="dxa" w:w="150"/>
            </w:tcMar>
          </w:tcPr>
          <w:p>
            <w:pPr>
              <w:jc w:val="center"/>
            </w:pPr>
            <w:r>
              <w:rPr>
                <w:rFonts w:ascii="Arial" w:cs="Arial" w:eastAsia="Arial" w:hAnsi="Arial"/>
                <w:b/>
                <w:bCs/>
                <w:color w:val="FFFFFF"/>
                <w:sz w:val="30"/>
                <w:szCs w:val="30"/>
              </w:rPr>
              <w:t xml:space="preserve">5.8</w:t>
            </w:r>
          </w:p>
        </w:tc>
        <w:tc>
          <w:tcPr>
            <w:tcW w:type="dxa" w:w="874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54360"/>
                <w:sz w:val="30"/>
                <w:szCs w:val="30"/>
              </w:rPr>
              <w:t xml:space="preserve">Training Material Distribution</w:t>
            </w:r>
          </w:p>
        </w:tc>
      </w:tr>
    </w:tbl>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Overview</w:t>
      </w:r>
    </w:p>
    <w:p>
      <w:pPr>
        <w:spacing w:before="80" w:after="80"/>
      </w:pPr>
      <w:r>
        <w:rPr>
          <w:rFonts w:ascii="Arial" w:cs="Arial" w:eastAsia="Arial" w:hAnsi="Arial"/>
          <w:color w:val="1C2833"/>
          <w:sz w:val="22"/>
          <w:szCs w:val="22"/>
        </w:rPr>
        <w:t xml:space="preserve">Training Material Distribution is the controlled delivery of learning content to the right learners at the right time. It encompasses pre-session handouts, in-session resources, post-session summaries, and supplementary materials. Effective distribution is not just file sharing — it involves access controls, expiry logic, version management, and consumption tracking.</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Google Classroom's 'stream' model (materials distributed per class) and Canvas's 'modules' model are the two dominant distribution paradigms.</w:t>
      </w:r>
    </w:p>
    <w:p>
      <w:pPr>
        <w:pStyle w:val="ListParagraph"/>
        <w:numPr>
          <w:ilvl w:val="0"/>
          <w:numId w:val="2"/>
        </w:numPr>
        <w:spacing w:before="60" w:after="60"/>
      </w:pPr>
      <w:r>
        <w:rPr>
          <w:rFonts w:ascii="Arial" w:cs="Arial" w:eastAsia="Arial" w:hAnsi="Arial"/>
          <w:color w:val="1C2833"/>
          <w:sz w:val="22"/>
          <w:szCs w:val="22"/>
        </w:rPr>
        <w:t xml:space="preserve">Time-gated material release (content unlocks after session attendance) significantly reduces students' tendency to skip live sessions.</w:t>
      </w:r>
    </w:p>
    <w:p>
      <w:pPr>
        <w:pStyle w:val="ListParagraph"/>
        <w:numPr>
          <w:ilvl w:val="0"/>
          <w:numId w:val="2"/>
        </w:numPr>
        <w:spacing w:before="60" w:after="60"/>
      </w:pPr>
      <w:r>
        <w:rPr>
          <w:rFonts w:ascii="Arial" w:cs="Arial" w:eastAsia="Arial" w:hAnsi="Arial"/>
          <w:color w:val="1C2833"/>
          <w:sz w:val="22"/>
          <w:szCs w:val="22"/>
        </w:rPr>
        <w:t xml:space="preserve">Learner-specific distribution (different materials for different roles/levels within the same cohort) improves learning outcomes in corporate programs.</w:t>
      </w:r>
    </w:p>
    <w:p>
      <w:pPr>
        <w:pStyle w:val="ListParagraph"/>
        <w:numPr>
          <w:ilvl w:val="0"/>
          <w:numId w:val="2"/>
        </w:numPr>
        <w:spacing w:before="60" w:after="60"/>
      </w:pPr>
      <w:r>
        <w:rPr>
          <w:rFonts w:ascii="Arial" w:cs="Arial" w:eastAsia="Arial" w:hAnsi="Arial"/>
          <w:color w:val="1C2833"/>
          <w:sz w:val="22"/>
          <w:szCs w:val="22"/>
        </w:rPr>
        <w:t xml:space="preserve">Mobile-optimized document delivery (responsive PDFs, HTML5 content) is essential for markets with dominant mobile usage.</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2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Session Material Bundles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Attach pre-session, in-session, and post-session materials to each scheduled session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Auto-delivered at defined time triggers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Time-Gated Release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Materials unlock based on attendance, date, or module completion</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Prevents advance reading of gated content</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Role-Based Distribution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Different material sets for different learner roles within a cohort</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Segmented delivery logic</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Secure Document Viewer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View PDFs/PPTs within platform without download (DRM)</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No-print, no-screenshot controls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Material Version Control</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Track versions; learners always see latest without trainer manual update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Change notification to existing learners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Consumption Analytics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Track who opened, read, and spent time on each material</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Heatmap of most-read sections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Bulk Distribution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Distribute materials to entire cohort or targeted segments in one action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CSV/tag-based targeting</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4360" w:val="clear"/>
            <w:tcMar>
              <w:top w:type="dxa" w:w="120"/>
              <w:left w:type="dxa" w:w="150"/>
              <w:bottom w:type="dxa" w:w="120"/>
              <w:right w:type="dxa" w:w="150"/>
            </w:tcMar>
          </w:tcPr>
          <w:p>
            <w:pPr>
              <w:jc w:val="center"/>
            </w:pPr>
            <w:r>
              <w:rPr>
                <w:rFonts w:ascii="Arial" w:cs="Arial" w:eastAsia="Arial" w:hAnsi="Arial"/>
                <w:b/>
                <w:bCs/>
                <w:color w:val="FFFFFF"/>
                <w:sz w:val="30"/>
                <w:szCs w:val="30"/>
              </w:rPr>
              <w:t xml:space="preserve">5.9</w:t>
            </w:r>
          </w:p>
        </w:tc>
        <w:tc>
          <w:tcPr>
            <w:tcW w:type="dxa" w:w="874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54360"/>
                <w:sz w:val="30"/>
                <w:szCs w:val="30"/>
              </w:rPr>
              <w:t xml:space="preserve">Student Interaction Tools</w:t>
            </w:r>
          </w:p>
        </w:tc>
      </w:tr>
    </w:tbl>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Overview</w:t>
      </w:r>
    </w:p>
    <w:p>
      <w:pPr>
        <w:spacing w:before="80" w:after="80"/>
      </w:pPr>
      <w:r>
        <w:rPr>
          <w:rFonts w:ascii="Arial" w:cs="Arial" w:eastAsia="Arial" w:hAnsi="Arial"/>
          <w:color w:val="1C2833"/>
          <w:sz w:val="22"/>
          <w:szCs w:val="22"/>
        </w:rPr>
        <w:t xml:space="preserve">Student Interaction Tools are the features that transform passive content consumption into active, engaged learning. They include in-session reactions, discussion threads, peer collaboration spaces, gamified participation, and real-time engagement feedback. These tools are the primary differentiator between a broadcast platform and a true learning environment. High interaction correlates directly with higher completion rates and better learning outcomes.</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Courses with active discussion forums show 3.2x higher completion rates than courses without (Coursera internal data, 2023).</w:t>
      </w:r>
    </w:p>
    <w:p>
      <w:pPr>
        <w:pStyle w:val="ListParagraph"/>
        <w:numPr>
          <w:ilvl w:val="0"/>
          <w:numId w:val="2"/>
        </w:numPr>
        <w:spacing w:before="60" w:after="60"/>
      </w:pPr>
      <w:r>
        <w:rPr>
          <w:rFonts w:ascii="Arial" w:cs="Arial" w:eastAsia="Arial" w:hAnsi="Arial"/>
          <w:color w:val="1C2833"/>
          <w:sz w:val="22"/>
          <w:szCs w:val="22"/>
        </w:rPr>
        <w:t xml:space="preserve">Mentimeter, Slido, and Poll Everywhere are standalone interaction tools — deep integration into LMS reduces context-switching for learners.</w:t>
      </w:r>
    </w:p>
    <w:p>
      <w:pPr>
        <w:pStyle w:val="ListParagraph"/>
        <w:numPr>
          <w:ilvl w:val="0"/>
          <w:numId w:val="2"/>
        </w:numPr>
        <w:spacing w:before="60" w:after="60"/>
      </w:pPr>
      <w:r>
        <w:rPr>
          <w:rFonts w:ascii="Arial" w:cs="Arial" w:eastAsia="Arial" w:hAnsi="Arial"/>
          <w:color w:val="1C2833"/>
          <w:sz w:val="22"/>
          <w:szCs w:val="22"/>
        </w:rPr>
        <w:t xml:space="preserve">Gamified participation (leaderboards, XP for contributions, streak counters) increases daily active usage by 47% in EdTech apps.</w:t>
      </w:r>
    </w:p>
    <w:p>
      <w:pPr>
        <w:pStyle w:val="ListParagraph"/>
        <w:numPr>
          <w:ilvl w:val="0"/>
          <w:numId w:val="2"/>
        </w:numPr>
        <w:spacing w:before="60" w:after="60"/>
      </w:pPr>
      <w:r>
        <w:rPr>
          <w:rFonts w:ascii="Arial" w:cs="Arial" w:eastAsia="Arial" w:hAnsi="Arial"/>
          <w:color w:val="1C2833"/>
          <w:sz w:val="22"/>
          <w:szCs w:val="22"/>
        </w:rPr>
        <w:t xml:space="preserve">Anonymous question tools reduce learner hesitation and increase question frequency by 2.8x in live sessions.</w:t>
      </w:r>
    </w:p>
    <w:p>
      <w:pPr>
        <w:pStyle w:val="ListParagraph"/>
        <w:numPr>
          <w:ilvl w:val="0"/>
          <w:numId w:val="2"/>
        </w:numPr>
        <w:spacing w:before="60" w:after="60"/>
      </w:pPr>
      <w:r>
        <w:rPr>
          <w:rFonts w:ascii="Arial" w:cs="Arial" w:eastAsia="Arial" w:hAnsi="Arial"/>
          <w:color w:val="1C2833"/>
          <w:sz w:val="22"/>
          <w:szCs w:val="22"/>
        </w:rPr>
        <w:t xml:space="preserve">Peer-to-peer interaction (study groups, peer feedback, discussion replies) builds community that becomes a retention driver.</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2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Live Reaction System</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Emoji reactions (thumbs up, confused, fast/slow indicators) during live sessions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 dashboard aggregation</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In-Session Chat</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Moderated text chat with threading, @mentions, and pinned messages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Chat moderation, profanity filter</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Discussion Forums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Per-course discussion boards with topics, replies, likes, and marking resolved</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Threaded replies, rich media posts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Collaborative Whiteboards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Shared drawing/ideation space usable inside or outside live sessions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Miro-style collaboration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Peer Study Groups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Learner-initiated or trainer-assigned small groups with shared workspace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Group chat, shared files, task boards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Gamified Participation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XP, badges, and leaderboards for discussion posts, quiz attempts, and session attendance</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Weekly activity leaderboard</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Anonymous Question Box</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Learners submit questions anonymously; trainer curates and answers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Upvoting of peer questions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54360"/>
                <w:sz w:val="22"/>
                <w:szCs w:val="22"/>
              </w:rPr>
              <w:t xml:space="preserve">Key Insight — Community as Retention</w:t>
            </w:r>
          </w:p>
          <w:p>
            <w:pPr>
              <w:spacing w:before="40" w:after="40"/>
            </w:pPr>
            <w:r>
              <w:rPr>
                <w:rFonts w:ascii="Arial" w:cs="Arial" w:eastAsia="Arial" w:hAnsi="Arial"/>
                <w:color w:val="1C2833"/>
                <w:sz w:val="21"/>
                <w:szCs w:val="21"/>
              </w:rPr>
              <w:t xml:space="preserve">The most powerful retention tool for any training platform is community. Learners who form study group relationships complete programs at 4x the rate of isolated learners. EcoSkiller should design peer interaction as a first-class feature — not an afterthought — with dedicated community spaces per cohort, program, and skill domain.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154360" w:val="clear"/>
            <w:tcMar>
              <w:top w:type="dxa" w:w="120"/>
              <w:left w:type="dxa" w:w="150"/>
              <w:bottom w:type="dxa" w:w="120"/>
              <w:right w:type="dxa" w:w="150"/>
            </w:tcMar>
          </w:tcPr>
          <w:p>
            <w:pPr>
              <w:jc w:val="center"/>
            </w:pPr>
            <w:r>
              <w:rPr>
                <w:rFonts w:ascii="Arial" w:cs="Arial" w:eastAsia="Arial" w:hAnsi="Arial"/>
                <w:b/>
                <w:bCs/>
                <w:color w:val="FFFFFF"/>
                <w:sz w:val="30"/>
                <w:szCs w:val="30"/>
              </w:rPr>
              <w:t xml:space="preserve">5.10</w:t>
            </w:r>
          </w:p>
        </w:tc>
        <w:tc>
          <w:tcPr>
            <w:tcW w:type="dxa" w:w="874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54360"/>
                <w:sz w:val="30"/>
                <w:szCs w:val="30"/>
              </w:rPr>
              <w:t xml:space="preserve">Live Q&amp;A Sessions</w:t>
            </w:r>
          </w:p>
        </w:tc>
      </w:tr>
    </w:tbl>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Overview</w:t>
      </w:r>
    </w:p>
    <w:p>
      <w:pPr>
        <w:spacing w:before="80" w:after="80"/>
      </w:pPr>
      <w:r>
        <w:rPr>
          <w:rFonts w:ascii="Arial" w:cs="Arial" w:eastAsia="Arial" w:hAnsi="Arial"/>
          <w:color w:val="1C2833"/>
          <w:sz w:val="22"/>
          <w:szCs w:val="22"/>
        </w:rPr>
        <w:t xml:space="preserve">Live Q&amp;A Sessions are structured, real-time or asynchronous question-and-answer interactions between learners and trainers/mentors. They are the highest-value touchpoint for learner doubt resolution and expert knowledge transfer. A well-designed Q&amp;A system manages question queuing, prioritization, expert routing, recording, and knowledge base building — converting every session into a reusable learning artifact.</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Stack Overflow's model (question + answer + voting + tagging) is the gold standard for asynchronous Q&amp;A — EcoSkiller should model its async Q&amp;A on this.</w:t>
      </w:r>
    </w:p>
    <w:p>
      <w:pPr>
        <w:pStyle w:val="ListParagraph"/>
        <w:numPr>
          <w:ilvl w:val="0"/>
          <w:numId w:val="2"/>
        </w:numPr>
        <w:spacing w:before="60" w:after="60"/>
      </w:pPr>
      <w:r>
        <w:rPr>
          <w:rFonts w:ascii="Arial" w:cs="Arial" w:eastAsia="Arial" w:hAnsi="Arial"/>
          <w:color w:val="1C2833"/>
          <w:sz w:val="22"/>
          <w:szCs w:val="22"/>
        </w:rPr>
        <w:t xml:space="preserve">Live Q&amp;A sessions with pre-submitted questions (collected 24 hours in advance) show 60% higher satisfaction ratings than open-floor Q&amp;A.</w:t>
      </w:r>
    </w:p>
    <w:p>
      <w:pPr>
        <w:pStyle w:val="ListParagraph"/>
        <w:numPr>
          <w:ilvl w:val="0"/>
          <w:numId w:val="2"/>
        </w:numPr>
        <w:spacing w:before="60" w:after="60"/>
      </w:pPr>
      <w:r>
        <w:rPr>
          <w:rFonts w:ascii="Arial" w:cs="Arial" w:eastAsia="Arial" w:hAnsi="Arial"/>
          <w:color w:val="1C2833"/>
          <w:sz w:val="22"/>
          <w:szCs w:val="22"/>
        </w:rPr>
        <w:t xml:space="preserve">AI-assisted Q&amp;A (automatic routing of common questions to FAQ before reaching trainer) reduces trainer Q&amp;A time by 35%.</w:t>
      </w:r>
    </w:p>
    <w:p>
      <w:pPr>
        <w:pStyle w:val="ListParagraph"/>
        <w:numPr>
          <w:ilvl w:val="0"/>
          <w:numId w:val="2"/>
        </w:numPr>
        <w:spacing w:before="60" w:after="60"/>
      </w:pPr>
      <w:r>
        <w:rPr>
          <w:rFonts w:ascii="Arial" w:cs="Arial" w:eastAsia="Arial" w:hAnsi="Arial"/>
          <w:color w:val="1C2833"/>
          <w:sz w:val="22"/>
          <w:szCs w:val="22"/>
        </w:rPr>
        <w:t xml:space="preserve">Recording and indexing Q&amp;A sessions creates a searchable knowledge base that reduces repeat questions in subsequent cohorts.</w:t>
      </w:r>
    </w:p>
    <w:p>
      <w:pPr>
        <w:pStyle w:val="ListParagraph"/>
        <w:numPr>
          <w:ilvl w:val="0"/>
          <w:numId w:val="2"/>
        </w:numPr>
        <w:spacing w:before="60" w:after="60"/>
      </w:pPr>
      <w:r>
        <w:rPr>
          <w:rFonts w:ascii="Arial" w:cs="Arial" w:eastAsia="Arial" w:hAnsi="Arial"/>
          <w:color w:val="1C2833"/>
          <w:sz w:val="22"/>
          <w:szCs w:val="22"/>
        </w:rPr>
        <w:t xml:space="preserve">Upvoting of questions by peers helps trainers prioritize the most-needed answers in large cohort sessions.</w:t>
      </w:r>
    </w:p>
    <w:p>
      <w:pPr>
        <w:spacing w:before="0" w:after="0"/>
      </w:pPr>
      <w:r>
        <w:rPr>
          <w:sz w:val="20"/>
          <w:szCs w:val="20"/>
        </w:rPr>
        <w:t xml:space="preserve"/>
      </w:r>
    </w:p>
    <w:p>
      <w:pPr>
        <w:pStyle w:val="Heading3"/>
        <w:spacing w:before="200" w:after="80"/>
      </w:pPr>
      <w:r>
        <w:rPr>
          <w:rFonts w:ascii="Arial" w:cs="Arial" w:eastAsia="Arial" w:hAnsi="Arial"/>
          <w:b/>
          <w:bCs/>
          <w:color w:val="117A6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200"/>
            <w:tcBorders>
              <w:top w:val="single" w:color="D5D8DC" w:sz="1"/>
              <w:left w:val="single" w:color="D5D8DC" w:sz="1"/>
              <w:bottom w:val="single" w:color="D5D8DC" w:sz="1"/>
              <w:right w:val="single" w:color="D5D8DC" w:sz="1"/>
            </w:tcBorders>
            <w:shd w:fill="154360"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Pre-Session Question Collector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Learners submit questions before sessions; trainer reviews and prepares answers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Vote-ranked question queue</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Live Q&amp;A Queue Manager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Real-time queue of questions with raise-hand, text, and video Q&amp;A options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 controls: answer, skip, defer</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Anonymous Question Mode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Option to submit questions without revealing identity</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Encourages participation from hesitant learners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AI FAQ Deflection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AI checks submitted question against existing FAQ and auto-answers common questions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Reduces trainer workload by 35%</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Q&amp;A Recording &amp; Indexing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Record Q&amp;A sessions; auto-tag each Q&amp;A exchange with topic/timestamp</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Searchable by future cohorts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Expert Routing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Route specialized questions to subject matter experts beyond the session trainer</w:t>
            </w:r>
          </w:p>
        </w:tc>
        <w:tc>
          <w:tcPr>
            <w:tcW w:type="dxa" w:w="32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Async expert answer with notification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Knowledge Base Builder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Auto-populate platform knowledge base from answered Q&amp;A pairs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Curated, searchable course FAQ library</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54360"/>
                <w:sz w:val="22"/>
                <w:szCs w:val="22"/>
              </w:rPr>
              <w:t xml:space="preserve">Key Insight — Q&amp;A as Knowledge Asset</w:t>
            </w:r>
          </w:p>
          <w:p>
            <w:pPr>
              <w:spacing w:before="40" w:after="40"/>
            </w:pPr>
            <w:r>
              <w:rPr>
                <w:rFonts w:ascii="Arial" w:cs="Arial" w:eastAsia="Arial" w:hAnsi="Arial"/>
                <w:color w:val="1C2833"/>
                <w:sz w:val="21"/>
                <w:szCs w:val="21"/>
              </w:rPr>
              <w:t xml:space="preserve">Every answered question is a reusable knowledge asset. EcoSkiller should automatically offer to add answered Q&amp;A pairs to the course FAQ library. Over time, this creates a self-improving knowledge base that reduces trainer burden in subsequent cohorts and positions EcoSkiller as a knowledge management platform, not just a delivery tool.</w:t>
            </w:r>
          </w:p>
        </w:tc>
      </w:tr>
    </w:tbl>
    <w:p>
      <w:pPr>
        <w:spacing w:before="0" w:after="0"/>
      </w:pPr>
      <w:r>
        <w:rPr>
          <w:sz w:val="20"/>
          <w:szCs w:val="20"/>
        </w:rPr>
        <w:t xml:space="preserve"/>
      </w:r>
    </w:p>
    <w:p>
      <w:r>
        <w:br w:type="page"/>
      </w:r>
    </w:p>
    <w:p>
      <w:pPr>
        <w:pStyle w:val="Heading1"/>
        <w:pBdr>
          <w:bottom w:val="single" w:color="154360" w:sz="4" w:space="4"/>
        </w:pBdr>
        <w:spacing w:before="360" w:after="120"/>
      </w:pPr>
      <w:r>
        <w:rPr>
          <w:rFonts w:ascii="Arial" w:cs="Arial" w:eastAsia="Arial" w:hAnsi="Arial"/>
          <w:b/>
          <w:bCs/>
          <w:color w:val="154360"/>
          <w:sz w:val="36"/>
          <w:szCs w:val="36"/>
        </w:rPr>
        <w:t xml:space="preserve">Consolidated Feature Summary</w:t>
      </w:r>
    </w:p>
    <w:p>
      <w:pPr>
        <w:spacing w:before="0" w:after="0"/>
      </w:pPr>
      <w:r>
        <w:rPr>
          <w:sz w:val="20"/>
          <w:szCs w:val="20"/>
        </w:rPr>
        <w:t xml:space="preserve"/>
      </w:r>
    </w:p>
    <w:p>
      <w:pPr>
        <w:spacing w:before="80" w:after="80"/>
      </w:pPr>
      <w:r>
        <w:rPr>
          <w:rFonts w:ascii="Arial" w:cs="Arial" w:eastAsia="Arial" w:hAnsi="Arial"/>
          <w:color w:val="1C2833"/>
          <w:sz w:val="22"/>
          <w:szCs w:val="22"/>
        </w:rPr>
        <w:t xml:space="preserve">The table below consolidates all 10 Training Delivery sub-features with their primary purpose, target users, strategic priority, and key technology dependencies for EcoSkiller.</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400"/>
        <w:gridCol w:w="2480"/>
        <w:gridCol w:w="1900"/>
        <w:gridCol w:w="2200"/>
      </w:tblGrid>
      <w:tr>
        <w:trPr>
          <w:tblHeader/>
        </w:trPr>
        <w:tc>
          <w:tcPr>
            <w:tcW w:type="dxa" w:w="380"/>
            <w:tcBorders>
              <w:top w:val="single" w:color="D5D8DC" w:sz="1"/>
              <w:left w:val="single" w:color="D5D8DC" w:sz="1"/>
              <w:bottom w:val="single" w:color="D5D8DC" w:sz="1"/>
              <w:right w:val="single" w:color="D5D8D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5D8DC" w:sz="1"/>
              <w:left w:val="single" w:color="D5D8DC" w:sz="1"/>
              <w:bottom w:val="single" w:color="D5D8DC" w:sz="1"/>
              <w:right w:val="single" w:color="D5D8D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80"/>
            <w:tcBorders>
              <w:top w:val="single" w:color="D5D8DC" w:sz="1"/>
              <w:left w:val="single" w:color="D5D8DC" w:sz="1"/>
              <w:bottom w:val="single" w:color="D5D8DC" w:sz="1"/>
              <w:right w:val="single" w:color="D5D8D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1900"/>
            <w:tcBorders>
              <w:top w:val="single" w:color="D5D8DC" w:sz="1"/>
              <w:left w:val="single" w:color="D5D8DC" w:sz="1"/>
              <w:bottom w:val="single" w:color="D5D8DC" w:sz="1"/>
              <w:right w:val="single" w:color="D5D8D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D5D8DC" w:sz="1"/>
              <w:left w:val="single" w:color="D5D8DC" w:sz="1"/>
              <w:bottom w:val="single" w:color="D5D8DC" w:sz="1"/>
              <w:right w:val="single" w:color="D5D8DC" w:sz="1"/>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Key Tech Dependency</w:t>
            </w:r>
          </w:p>
        </w:tc>
      </w:tr>
      <w:tr>
        <w:tc>
          <w:tcPr>
            <w:tcW w:type="dxa" w:w="3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5.1</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1A5276"/>
                <w:sz w:val="19"/>
                <w:szCs w:val="19"/>
              </w:rPr>
              <w:t xml:space="preserve">Live Training Sessions</w:t>
            </w:r>
          </w:p>
        </w:tc>
        <w:tc>
          <w:tcPr>
            <w:tcW w:type="dxa" w:w="24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Real-time instructor-led virtual learning</w:t>
            </w:r>
          </w:p>
        </w:tc>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Video SDK (Zoom/BBB/Daily.co)</w:t>
            </w:r>
          </w:p>
        </w:tc>
      </w:tr>
      <w:tr>
        <w:tc>
          <w:tcPr>
            <w:tcW w:type="dxa" w:w="3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5.2</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1A5276"/>
                <w:sz w:val="19"/>
                <w:szCs w:val="19"/>
              </w:rPr>
              <w:t xml:space="preserve">Recorded Sessions</w:t>
            </w:r>
          </w:p>
        </w:tc>
        <w:tc>
          <w:tcPr>
            <w:tcW w:type="dxa" w:w="24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On-demand video learning with engagement tools</w:t>
            </w:r>
          </w:p>
        </w:tc>
        <w:tc>
          <w:tcPr>
            <w:tcW w:type="dxa" w:w="1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Video CDN, Whisper STT, DRM</w:t>
            </w:r>
          </w:p>
        </w:tc>
      </w:tr>
      <w:tr>
        <w:tc>
          <w:tcPr>
            <w:tcW w:type="dxa" w:w="3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5.3</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1A5276"/>
                <w:sz w:val="19"/>
                <w:szCs w:val="19"/>
              </w:rPr>
              <w:t xml:space="preserve">Hybrid Programs</w:t>
            </w:r>
          </w:p>
        </w:tc>
        <w:tc>
          <w:tcPr>
            <w:tcW w:type="dxa" w:w="24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Blended live + recorded + in-person delivery</w:t>
            </w:r>
          </w:p>
        </w:tc>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Program orchestration engine</w:t>
            </w:r>
          </w:p>
        </w:tc>
      </w:tr>
      <w:tr>
        <w:tc>
          <w:tcPr>
            <w:tcW w:type="dxa" w:w="3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5.4</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1A5276"/>
                <w:sz w:val="19"/>
                <w:szCs w:val="19"/>
              </w:rPr>
              <w:t xml:space="preserve">Virtual Classroom</w:t>
            </w:r>
          </w:p>
        </w:tc>
        <w:tc>
          <w:tcPr>
            <w:tcW w:type="dxa" w:w="24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Full-featured persistent digital classroom</w:t>
            </w:r>
          </w:p>
        </w:tc>
        <w:tc>
          <w:tcPr>
            <w:tcW w:type="dxa" w:w="1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High</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ClassIn SDK or custom WebRTC</w:t>
            </w:r>
          </w:p>
        </w:tc>
      </w:tr>
      <w:tr>
        <w:tc>
          <w:tcPr>
            <w:tcW w:type="dxa" w:w="3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5.5</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1A5276"/>
                <w:sz w:val="19"/>
                <w:szCs w:val="19"/>
              </w:rPr>
              <w:t xml:space="preserve">Attendance Tracking</w:t>
            </w:r>
          </w:p>
        </w:tc>
        <w:tc>
          <w:tcPr>
            <w:tcW w:type="dxa" w:w="24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Automated presence verification &amp; reporting</w:t>
            </w:r>
          </w:p>
        </w:tc>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QR/OTP system, audit log DB</w:t>
            </w:r>
          </w:p>
        </w:tc>
      </w:tr>
      <w:tr>
        <w:tc>
          <w:tcPr>
            <w:tcW w:type="dxa" w:w="3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5.6</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1A5276"/>
                <w:sz w:val="19"/>
                <w:szCs w:val="19"/>
              </w:rPr>
              <w:t xml:space="preserve">Session Scheduling</w:t>
            </w:r>
          </w:p>
        </w:tc>
        <w:tc>
          <w:tcPr>
            <w:tcW w:type="dxa" w:w="24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Conflict-free calendar &amp; resource planning</w:t>
            </w:r>
          </w:p>
        </w:tc>
        <w:tc>
          <w:tcPr>
            <w:tcW w:type="dxa" w:w="1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Calendar API, timezone lib</w:t>
            </w:r>
          </w:p>
        </w:tc>
      </w:tr>
      <w:tr>
        <w:tc>
          <w:tcPr>
            <w:tcW w:type="dxa" w:w="3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5.7</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1A5276"/>
                <w:sz w:val="19"/>
                <w:szCs w:val="19"/>
              </w:rPr>
              <w:t xml:space="preserve">Session Reminders</w:t>
            </w:r>
          </w:p>
        </w:tc>
        <w:tc>
          <w:tcPr>
            <w:tcW w:type="dxa" w:w="24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Multi-channel automated session notifications</w:t>
            </w:r>
          </w:p>
        </w:tc>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WhatsApp API, FCM, SendGrid</w:t>
            </w:r>
          </w:p>
        </w:tc>
      </w:tr>
      <w:tr>
        <w:tc>
          <w:tcPr>
            <w:tcW w:type="dxa" w:w="3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5.8</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1A5276"/>
                <w:sz w:val="19"/>
                <w:szCs w:val="19"/>
              </w:rPr>
              <w:t xml:space="preserve">Material Distribution</w:t>
            </w:r>
          </w:p>
        </w:tc>
        <w:tc>
          <w:tcPr>
            <w:tcW w:type="dxa" w:w="24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Controlled, timed content delivery to learners</w:t>
            </w:r>
          </w:p>
        </w:tc>
        <w:tc>
          <w:tcPr>
            <w:tcW w:type="dxa" w:w="1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High</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DRM, CDN, access control layer</w:t>
            </w:r>
          </w:p>
        </w:tc>
      </w:tr>
      <w:tr>
        <w:tc>
          <w:tcPr>
            <w:tcW w:type="dxa" w:w="3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5.9</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1A5276"/>
                <w:sz w:val="19"/>
                <w:szCs w:val="19"/>
              </w:rPr>
              <w:t xml:space="preserve">Student Interaction Tools</w:t>
            </w:r>
          </w:p>
        </w:tc>
        <w:tc>
          <w:tcPr>
            <w:tcW w:type="dxa" w:w="24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Active engagement, community, and gamification</w:t>
            </w:r>
          </w:p>
        </w:tc>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High</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WebSocket, forum engine, gamification DB</w:t>
            </w:r>
          </w:p>
        </w:tc>
      </w:tr>
      <w:tr>
        <w:tc>
          <w:tcPr>
            <w:tcW w:type="dxa" w:w="3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5.10</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1A5276"/>
                <w:sz w:val="19"/>
                <w:szCs w:val="19"/>
              </w:rPr>
              <w:t xml:space="preserve">Live Q&amp;A Sessions</w:t>
            </w:r>
          </w:p>
        </w:tc>
        <w:tc>
          <w:tcPr>
            <w:tcW w:type="dxa" w:w="24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Structured expert knowledge transfer &amp; reuse</w:t>
            </w:r>
          </w:p>
        </w:tc>
        <w:tc>
          <w:tcPr>
            <w:tcW w:type="dxa" w:w="19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High</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AI routing, Q&amp;A recording, NLP tagging</w:t>
            </w:r>
          </w:p>
        </w:tc>
      </w:tr>
    </w:tbl>
    <w:p>
      <w:pPr>
        <w:spacing w:before="0" w:after="0"/>
      </w:pPr>
      <w:r>
        <w:rPr>
          <w:sz w:val="20"/>
          <w:szCs w:val="20"/>
        </w:rPr>
        <w:t xml:space="preserve"/>
      </w:r>
    </w:p>
    <w:p>
      <w:pPr>
        <w:spacing w:before="0" w:after="0"/>
      </w:pPr>
      <w:r>
        <w:rPr>
          <w:sz w:val="20"/>
          <w:szCs w:val="20"/>
        </w:rPr>
        <w:t xml:space="preserve"/>
      </w:r>
    </w:p>
    <w:p>
      <w:pPr>
        <w:pStyle w:val="Heading1"/>
        <w:pBdr>
          <w:bottom w:val="single" w:color="154360" w:sz="4" w:space="4"/>
        </w:pBdr>
        <w:spacing w:before="360" w:after="120"/>
      </w:pPr>
      <w:r>
        <w:rPr>
          <w:rFonts w:ascii="Arial" w:cs="Arial" w:eastAsia="Arial" w:hAnsi="Arial"/>
          <w:b/>
          <w:bCs/>
          <w:color w:val="154360"/>
          <w:sz w:val="36"/>
          <w:szCs w:val="36"/>
        </w:rPr>
        <w:t xml:space="preserve">Implementation Roadmap</w:t>
      </w:r>
    </w:p>
    <w:p>
      <w:pPr>
        <w:spacing w:before="0" w:after="0"/>
      </w:pPr>
      <w:r>
        <w:rPr>
          <w:sz w:val="20"/>
          <w:szCs w:val="20"/>
        </w:rPr>
        <w:t xml:space="preserve"/>
      </w:r>
    </w:p>
    <w:p>
      <w:pPr>
        <w:pStyle w:val="Heading2"/>
        <w:spacing w:before="260" w:after="100"/>
      </w:pPr>
      <w:r>
        <w:rPr>
          <w:rFonts w:ascii="Arial" w:cs="Arial" w:eastAsia="Arial" w:hAnsi="Arial"/>
          <w:b/>
          <w:bCs/>
          <w:color w:val="1A5276"/>
          <w:sz w:val="28"/>
          <w:szCs w:val="28"/>
        </w:rPr>
        <w:t xml:space="preserve">Phase 1 — Core Delivery Infrastructure (Month 1–3)</w:t>
      </w:r>
    </w:p>
    <w:p>
      <w:pPr>
        <w:pStyle w:val="ListParagraph"/>
        <w:numPr>
          <w:ilvl w:val="0"/>
          <w:numId w:val="2"/>
        </w:numPr>
        <w:spacing w:before="60" w:after="60"/>
      </w:pPr>
      <w:r>
        <w:rPr>
          <w:rFonts w:ascii="Arial" w:cs="Arial" w:eastAsia="Arial" w:hAnsi="Arial"/>
          <w:color w:val="1C2833"/>
          <w:sz w:val="22"/>
          <w:szCs w:val="22"/>
        </w:rPr>
        <w:t xml:space="preserve">5.1 Live Training Sessions — Primary engagement channel, must launch first</w:t>
      </w:r>
    </w:p>
    <w:p>
      <w:pPr>
        <w:pStyle w:val="ListParagraph"/>
        <w:numPr>
          <w:ilvl w:val="0"/>
          <w:numId w:val="2"/>
        </w:numPr>
        <w:spacing w:before="60" w:after="60"/>
      </w:pPr>
      <w:r>
        <w:rPr>
          <w:rFonts w:ascii="Arial" w:cs="Arial" w:eastAsia="Arial" w:hAnsi="Arial"/>
          <w:color w:val="1C2833"/>
          <w:sz w:val="22"/>
          <w:szCs w:val="22"/>
        </w:rPr>
        <w:t xml:space="preserve">5.2 Recorded Sessions — Essential for async/self-paced flexibility</w:t>
      </w:r>
    </w:p>
    <w:p>
      <w:pPr>
        <w:pStyle w:val="ListParagraph"/>
        <w:numPr>
          <w:ilvl w:val="0"/>
          <w:numId w:val="2"/>
        </w:numPr>
        <w:spacing w:before="60" w:after="60"/>
      </w:pPr>
      <w:r>
        <w:rPr>
          <w:rFonts w:ascii="Arial" w:cs="Arial" w:eastAsia="Arial" w:hAnsi="Arial"/>
          <w:color w:val="1C2833"/>
          <w:sz w:val="22"/>
          <w:szCs w:val="22"/>
        </w:rPr>
        <w:t xml:space="preserve">5.6 Session Scheduling — Required before any live sessions can operate</w:t>
      </w:r>
    </w:p>
    <w:p>
      <w:pPr>
        <w:pStyle w:val="ListParagraph"/>
        <w:numPr>
          <w:ilvl w:val="0"/>
          <w:numId w:val="2"/>
        </w:numPr>
        <w:spacing w:before="60" w:after="60"/>
      </w:pPr>
      <w:r>
        <w:rPr>
          <w:rFonts w:ascii="Arial" w:cs="Arial" w:eastAsia="Arial" w:hAnsi="Arial"/>
          <w:color w:val="1C2833"/>
          <w:sz w:val="22"/>
          <w:szCs w:val="22"/>
        </w:rPr>
        <w:t xml:space="preserve">5.7 Session Reminders — High ROI, low complexity — implement early</w:t>
      </w:r>
    </w:p>
    <w:p>
      <w:pPr>
        <w:spacing w:before="0" w:after="0"/>
      </w:pPr>
      <w:r>
        <w:rPr>
          <w:sz w:val="20"/>
          <w:szCs w:val="20"/>
        </w:rPr>
        <w:t xml:space="preserve"/>
      </w:r>
    </w:p>
    <w:p>
      <w:pPr>
        <w:pStyle w:val="Heading2"/>
        <w:spacing w:before="260" w:after="100"/>
      </w:pPr>
      <w:r>
        <w:rPr>
          <w:rFonts w:ascii="Arial" w:cs="Arial" w:eastAsia="Arial" w:hAnsi="Arial"/>
          <w:b/>
          <w:bCs/>
          <w:color w:val="1A5276"/>
          <w:sz w:val="28"/>
          <w:szCs w:val="28"/>
        </w:rPr>
        <w:t xml:space="preserve">Phase 2 — Operational Excellence (Month 4–6)</w:t>
      </w:r>
    </w:p>
    <w:p>
      <w:pPr>
        <w:pStyle w:val="ListParagraph"/>
        <w:numPr>
          <w:ilvl w:val="0"/>
          <w:numId w:val="2"/>
        </w:numPr>
        <w:spacing w:before="60" w:after="60"/>
      </w:pPr>
      <w:r>
        <w:rPr>
          <w:rFonts w:ascii="Arial" w:cs="Arial" w:eastAsia="Arial" w:hAnsi="Arial"/>
          <w:color w:val="1C2833"/>
          <w:sz w:val="22"/>
          <w:szCs w:val="22"/>
        </w:rPr>
        <w:t xml:space="preserve">5.5 Attendance Tracking — Required for institute compliance and certification</w:t>
      </w:r>
    </w:p>
    <w:p>
      <w:pPr>
        <w:pStyle w:val="ListParagraph"/>
        <w:numPr>
          <w:ilvl w:val="0"/>
          <w:numId w:val="2"/>
        </w:numPr>
        <w:spacing w:before="60" w:after="60"/>
      </w:pPr>
      <w:r>
        <w:rPr>
          <w:rFonts w:ascii="Arial" w:cs="Arial" w:eastAsia="Arial" w:hAnsi="Arial"/>
          <w:color w:val="1C2833"/>
          <w:sz w:val="22"/>
          <w:szCs w:val="22"/>
        </w:rPr>
        <w:t xml:space="preserve">5.8 Training Material Distribution — Structured content delivery workflow</w:t>
      </w:r>
    </w:p>
    <w:p>
      <w:pPr>
        <w:pStyle w:val="ListParagraph"/>
        <w:numPr>
          <w:ilvl w:val="0"/>
          <w:numId w:val="2"/>
        </w:numPr>
        <w:spacing w:before="60" w:after="60"/>
      </w:pPr>
      <w:r>
        <w:rPr>
          <w:rFonts w:ascii="Arial" w:cs="Arial" w:eastAsia="Arial" w:hAnsi="Arial"/>
          <w:color w:val="1C2833"/>
          <w:sz w:val="22"/>
          <w:szCs w:val="22"/>
        </w:rPr>
        <w:t xml:space="preserve">5.3 Hybrid Training Programs — Combines Phases 1 capabilities into programs</w:t>
      </w:r>
    </w:p>
    <w:p>
      <w:pPr>
        <w:spacing w:before="0" w:after="0"/>
      </w:pPr>
      <w:r>
        <w:rPr>
          <w:sz w:val="20"/>
          <w:szCs w:val="20"/>
        </w:rPr>
        <w:t xml:space="preserve"/>
      </w:r>
    </w:p>
    <w:p>
      <w:pPr>
        <w:pStyle w:val="Heading2"/>
        <w:spacing w:before="260" w:after="100"/>
      </w:pPr>
      <w:r>
        <w:rPr>
          <w:rFonts w:ascii="Arial" w:cs="Arial" w:eastAsia="Arial" w:hAnsi="Arial"/>
          <w:b/>
          <w:bCs/>
          <w:color w:val="1A5276"/>
          <w:sz w:val="28"/>
          <w:szCs w:val="28"/>
        </w:rPr>
        <w:t xml:space="preserve">Phase 3 — Engagement &amp; Differentiation (Month 7–9)</w:t>
      </w:r>
    </w:p>
    <w:p>
      <w:pPr>
        <w:pStyle w:val="ListParagraph"/>
        <w:numPr>
          <w:ilvl w:val="0"/>
          <w:numId w:val="2"/>
        </w:numPr>
        <w:spacing w:before="60" w:after="60"/>
      </w:pPr>
      <w:r>
        <w:rPr>
          <w:rFonts w:ascii="Arial" w:cs="Arial" w:eastAsia="Arial" w:hAnsi="Arial"/>
          <w:color w:val="1C2833"/>
          <w:sz w:val="22"/>
          <w:szCs w:val="22"/>
        </w:rPr>
        <w:t xml:space="preserve">5.4 Virtual Classroom System — Advanced classroom management upgrade</w:t>
      </w:r>
    </w:p>
    <w:p>
      <w:pPr>
        <w:pStyle w:val="ListParagraph"/>
        <w:numPr>
          <w:ilvl w:val="0"/>
          <w:numId w:val="2"/>
        </w:numPr>
        <w:spacing w:before="60" w:after="60"/>
      </w:pPr>
      <w:r>
        <w:rPr>
          <w:rFonts w:ascii="Arial" w:cs="Arial" w:eastAsia="Arial" w:hAnsi="Arial"/>
          <w:color w:val="1C2833"/>
          <w:sz w:val="22"/>
          <w:szCs w:val="22"/>
        </w:rPr>
        <w:t xml:space="preserve">5.9 Student Interaction Tools — Community, gamification, and peer learning</w:t>
      </w:r>
    </w:p>
    <w:p>
      <w:pPr>
        <w:pStyle w:val="ListParagraph"/>
        <w:numPr>
          <w:ilvl w:val="0"/>
          <w:numId w:val="2"/>
        </w:numPr>
        <w:spacing w:before="60" w:after="60"/>
      </w:pPr>
      <w:r>
        <w:rPr>
          <w:rFonts w:ascii="Arial" w:cs="Arial" w:eastAsia="Arial" w:hAnsi="Arial"/>
          <w:color w:val="1C2833"/>
          <w:sz w:val="22"/>
          <w:szCs w:val="22"/>
        </w:rPr>
        <w:t xml:space="preserve">5.10 Live Q&amp;A Sessions — Knowledge management and expert access layer</w:t>
      </w:r>
    </w:p>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54360"/>
                <w:sz w:val="22"/>
                <w:szCs w:val="22"/>
              </w:rPr>
              <w:t xml:space="preserve">Strategic Note for EcoSkiller — Training Delivery</w:t>
            </w:r>
          </w:p>
          <w:p>
            <w:pPr>
              <w:spacing w:before="40" w:after="40"/>
            </w:pPr>
            <w:r>
              <w:rPr>
                <w:rFonts w:ascii="Arial" w:cs="Arial" w:eastAsia="Arial" w:hAnsi="Arial"/>
                <w:color w:val="1C2833"/>
                <w:sz w:val="21"/>
                <w:szCs w:val="21"/>
              </w:rPr>
              <w:t xml:space="preserve">Training Delivery is the most visible and high-stakes feature set on the EcoSkiller platform — it is what learners and trainers experience every single day. Three priorities stand above all others: (1) Mobile-first reliability — every feature must work flawlessly on mid-range Android devices on 4G. (2) WhatsApp-first communication — integrate WhatsApp Business API for reminders and notifications as the primary channel for India. (3) Attendance-to-certification pipeline — build a seamless, tamper-proof chain from attendance data to certificate issuance that satisfies both AICTE institutes and corporate compliance mandates. Platforms that solve these three problems for the Indian tier-2/3 market will dominate the SME and institute segments.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4360" w:sz="4" w:space="4"/>
      </w:pBdr>
      <w:tabs>
        <w:tab w:val="right" w:pos="9026"/>
      </w:tabs>
    </w:pPr>
    <w:r>
      <w:rPr>
        <w:rFonts w:ascii="Arial" w:cs="Arial" w:eastAsia="Arial" w:hAnsi="Arial"/>
        <w:color w:val="888888"/>
        <w:sz w:val="18"/>
        <w:szCs w:val="18"/>
      </w:rPr>
      <w:t xml:space="preserve">Confidential  |  EcoSkiller Research  |  2025</w:t>
    </w:r>
    <w:r>
      <w:rPr>
        <w:rFonts w:ascii="Arial" w:cs="Arial" w:eastAsia="Arial" w:hAnsi="Arial"/>
        <w:color w:val="888888"/>
        <w:sz w:val="18"/>
        <w:szCs w:val="18"/>
      </w:rPr>
      <w:t xml:space="preserve">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4360" w:sz="4" w:space="4"/>
      </w:pBdr>
    </w:pPr>
    <w:r>
      <w:rPr>
        <w:rFonts w:ascii="Arial" w:cs="Arial" w:eastAsia="Arial" w:hAnsi="Arial"/>
        <w:color w:val="888888"/>
        <w:sz w:val="18"/>
        <w:szCs w:val="18"/>
      </w:rPr>
      <w:t xml:space="preserve">EcoSkiller Platform  |  Feature 5: Training Delivery</w:t>
    </w:r>
    <w:r>
      <w:rPr>
        <w:rFonts w:ascii="Arial" w:cs="Arial" w:eastAsia="Arial" w:hAnsi="Arial"/>
        <w:color w:val="1ABC9C"/>
        <w:sz w:val="18"/>
        <w:szCs w:val="18"/>
      </w:rPr>
      <w:t xml:space="preserve">  |  In-Depth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54360"/>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2026-03-09T08:36:49.045Z</dcterms:created>
  <dcterms:modified xsi:type="dcterms:W3CDTF">2026-03-09T08:36:49.045Z</dcterms:modified>
</cp:coreProperties>
</file>

<file path=docProps/custom.xml><?xml version="1.0" encoding="utf-8"?>
<Properties xmlns="http://schemas.openxmlformats.org/officeDocument/2006/custom-properties" xmlns:vt="http://schemas.openxmlformats.org/officeDocument/2006/docPropsVTypes"/>
</file>