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400"/>
              <w:left w:type="dxa" w:w="400"/>
              <w:bottom w:type="dxa" w:w="400"/>
              <w:right w:type="dxa" w:w="400"/>
            </w:tcMar>
          </w:tcPr>
          <w:p>
            <w:pPr>
              <w:spacing w:before="80" w:after="80"/>
              <w:jc w:val="center"/>
            </w:pPr>
            <w:r>
              <w:rPr>
                <w:rFonts w:ascii="Arial" w:cs="Arial" w:eastAsia="Arial" w:hAnsi="Arial"/>
                <w:b/>
                <w:bCs/>
                <w:color w:val="A9CCE3"/>
                <w:sz w:val="22"/>
                <w:szCs w:val="22"/>
              </w:rPr>
              <w:t xml:space="preserve">ECOSKILLER PLATFORM</w:t>
            </w:r>
          </w:p>
          <w:p>
            <w:pPr>
              <w:spacing w:before="120" w:after="120"/>
              <w:jc w:val="center"/>
            </w:pPr>
            <w:r>
              <w:rPr>
                <w:rFonts w:ascii="Arial" w:cs="Arial" w:eastAsia="Arial" w:hAnsi="Arial"/>
                <w:b/>
                <w:bCs/>
                <w:color w:val="FFFFFF"/>
                <w:sz w:val="52"/>
                <w:szCs w:val="52"/>
              </w:rPr>
              <w:t xml:space="preserve">Feature 4: Training Program Creation</w:t>
            </w:r>
          </w:p>
          <w:p>
            <w:pPr>
              <w:spacing w:before="80" w:after="80"/>
              <w:jc w:val="center"/>
            </w:pPr>
            <w:r>
              <w:rPr>
                <w:rFonts w:ascii="Arial" w:cs="Arial" w:eastAsia="Arial" w:hAnsi="Arial"/>
                <w:color w:val="A9CCE3"/>
                <w:sz w:val="26"/>
                <w:szCs w:val="26"/>
              </w:rPr>
              <w:t xml:space="preserve">In-Depth Research &amp; Feature Design Report</w:t>
            </w:r>
          </w:p>
          <w:p>
            <w:pPr>
              <w:spacing w:before="0" w:after="0"/>
            </w:pPr>
            <w:r>
              <w:rPr>
                <w:sz w:val="20"/>
                <w:szCs w:val="20"/>
              </w:rPr>
              <w:t xml:space="preserve"/>
            </w:r>
          </w:p>
          <w:p>
            <w:pPr>
              <w:spacing w:before="80" w:after="80"/>
              <w:jc w:val="center"/>
            </w:pPr>
            <w:r>
              <w:rPr>
                <w:rFonts w:ascii="Arial" w:cs="Arial" w:eastAsia="Arial" w:hAnsi="Arial"/>
                <w:color w:val="7FB3D3"/>
                <w:sz w:val="20"/>
                <w:szCs w:val="20"/>
              </w:rPr>
              <w:t xml:space="preserve">Version 1.0  |  2025  |  Confidential</w:t>
            </w:r>
          </w:p>
        </w:tc>
      </w:tr>
    </w:tbl>
    <w:p>
      <w:pPr>
        <w:spacing w:before="0" w:after="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D6EAF8" w:val="clear"/>
            <w:tcMar>
              <w:top w:type="dxa" w:w="120"/>
              <w:left w:type="dxa" w:w="200"/>
              <w:bottom w:type="dxa" w:w="120"/>
              <w:right w:type="dxa" w:w="200"/>
            </w:tcMar>
          </w:tcPr>
          <w:p>
            <w:pPr>
              <w:spacing w:before="40" w:after="40"/>
            </w:pPr>
            <w:r>
              <w:rPr>
                <w:rFonts w:ascii="Arial" w:cs="Arial" w:eastAsia="Arial" w:hAnsi="Arial"/>
                <w:b/>
                <w:bCs/>
                <w:color w:val="1A5276"/>
                <w:sz w:val="22"/>
                <w:szCs w:val="22"/>
              </w:rPr>
              <w:t xml:space="preserve">Executive Summary</w:t>
            </w:r>
          </w:p>
          <w:p>
            <w:pPr>
              <w:spacing w:before="40" w:after="40"/>
            </w:pPr>
            <w:r>
              <w:rPr>
                <w:rFonts w:ascii="Arial" w:cs="Arial" w:eastAsia="Arial" w:hAnsi="Arial"/>
                <w:color w:val="1C2833"/>
                <w:sz w:val="21"/>
                <w:szCs w:val="21"/>
              </w:rPr>
              <w:t xml:space="preserve">This report provides a comprehensive feature-by-feature breakdown of Training Program Creation on the EcoSkiller platform. It covers 12 core sub-features: Course Creation Tools, Training Program Builder, Workshop Creation, Bootcamp Program Creation, Cohort Program Management, Curriculum Design System, Skill Module Creation, Training Schedule Builder, Learning Path Creation, Training Material Upload, Assignment Creation, and Project-Based Learning Setup. Each feature is researched from market, UX, and technical perspectives with implementation recommendations.</w:t>
            </w:r>
          </w:p>
        </w:tc>
      </w:tr>
    </w:tbl>
    <w:p>
      <w:pPr>
        <w:spacing w:before="0" w:after="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5276" w:val="clear"/>
            <w:tcMar>
              <w:top w:type="dxa" w:w="120"/>
              <w:left w:type="dxa" w:w="150"/>
              <w:bottom w:type="dxa" w:w="120"/>
              <w:right w:type="dxa" w:w="150"/>
            </w:tcMar>
            <w:vAlign w:val="center"/>
          </w:tcPr>
          <w:p>
            <w:pPr>
              <w:jc w:val="center"/>
            </w:pPr>
            <w:r>
              <w:rPr>
                <w:rFonts w:ascii="Arial" w:cs="Arial" w:eastAsia="Arial" w:hAnsi="Arial"/>
                <w:b/>
                <w:bCs/>
                <w:color w:val="FFFFFF"/>
                <w:sz w:val="28"/>
                <w:szCs w:val="28"/>
              </w:rPr>
              <w:t xml:space="preserve">4.1</w:t>
            </w:r>
          </w:p>
        </w:tc>
        <w:tc>
          <w:tcPr>
            <w:tcW w:type="dxa" w:w="8760"/>
            <w:tcBorders>
              <w:top w:val="none" w:color="FFFFFF" w:sz="0"/>
              <w:left w:val="none" w:color="FFFFFF" w:sz="0"/>
              <w:bottom w:val="none" w:color="FFFFFF" w:sz="0"/>
              <w:right w:val="none" w:color="FFFFFF" w:sz="0"/>
            </w:tcBorders>
            <w:shd w:fill="D6EAF8" w:val="clear"/>
            <w:tcMar>
              <w:top w:type="dxa" w:w="120"/>
              <w:left w:type="dxa" w:w="200"/>
              <w:bottom w:type="dxa" w:w="120"/>
              <w:right w:type="dxa" w:w="150"/>
            </w:tcMar>
          </w:tcPr>
          <w:p>
            <w:r>
              <w:rPr>
                <w:rFonts w:ascii="Arial" w:cs="Arial" w:eastAsia="Arial" w:hAnsi="Arial"/>
                <w:b/>
                <w:bCs/>
                <w:color w:val="1A5276"/>
                <w:sz w:val="28"/>
                <w:szCs w:val="28"/>
              </w:rPr>
              <w:t xml:space="preserve">Course Creation Tools</w:t>
            </w:r>
          </w:p>
        </w:tc>
      </w:tr>
    </w:tbl>
    <w:p>
      <w:pPr>
        <w:spacing w:before="0" w:after="0"/>
      </w:pPr>
      <w:r>
        <w:rPr>
          <w:sz w:val="20"/>
          <w:szCs w:val="20"/>
        </w:rPr>
        <w:t xml:space="preserve"/>
      </w:r>
    </w:p>
    <w:p>
      <w:pPr>
        <w:pStyle w:val="Heading3"/>
        <w:spacing w:before="200" w:after="80"/>
      </w:pPr>
      <w:r>
        <w:rPr>
          <w:rFonts w:ascii="Arial" w:cs="Arial" w:eastAsia="Arial" w:hAnsi="Arial"/>
          <w:b/>
          <w:bCs/>
          <w:color w:val="1ABC9C"/>
          <w:sz w:val="24"/>
          <w:szCs w:val="24"/>
        </w:rPr>
        <w:t xml:space="preserve">Overview</w:t>
      </w:r>
    </w:p>
    <w:p>
      <w:pPr>
        <w:spacing w:before="80" w:after="80"/>
      </w:pPr>
      <w:r>
        <w:rPr>
          <w:rFonts w:ascii="Arial" w:cs="Arial" w:eastAsia="Arial" w:hAnsi="Arial"/>
          <w:color w:val="1C2833"/>
          <w:sz w:val="22"/>
          <w:szCs w:val="22"/>
        </w:rPr>
        <w:t xml:space="preserve">Course creation tools form the foundation of any training platform. They empower instructors, trainers, and subject matter experts (SMEs) to build structured, engaging digital courses without requiring technical expertise. A well-designed course creation toolset directly impacts content quality, learner engagement, and platform stickiness.</w:t>
      </w:r>
    </w:p>
    <w:p>
      <w:pPr>
        <w:spacing w:before="0" w:after="0"/>
      </w:pPr>
      <w:r>
        <w:rPr>
          <w:sz w:val="20"/>
          <w:szCs w:val="20"/>
        </w:rPr>
        <w:t xml:space="preserve"/>
      </w:r>
    </w:p>
    <w:p>
      <w:pPr>
        <w:pStyle w:val="Heading3"/>
        <w:spacing w:before="200" w:after="80"/>
      </w:pPr>
      <w:r>
        <w:rPr>
          <w:rFonts w:ascii="Arial" w:cs="Arial" w:eastAsia="Arial" w:hAnsi="Arial"/>
          <w:b/>
          <w:bCs/>
          <w:color w:val="1ABC9C"/>
          <w:sz w:val="24"/>
          <w:szCs w:val="24"/>
        </w:rPr>
        <w:t xml:space="preserve">Market Research &amp; Best Practices</w:t>
      </w:r>
    </w:p>
    <w:p>
      <w:pPr>
        <w:pStyle w:val="ListParagraph"/>
        <w:numPr>
          <w:ilvl w:val="0"/>
          <w:numId w:val="2"/>
        </w:numPr>
        <w:spacing w:before="60" w:after="60"/>
      </w:pPr>
      <w:r>
        <w:rPr>
          <w:rFonts w:ascii="Arial" w:cs="Arial" w:eastAsia="Arial" w:hAnsi="Arial"/>
          <w:b w:val="false"/>
          <w:bCs w:val="false"/>
          <w:color w:val="1C2833"/>
          <w:sz w:val="22"/>
          <w:szCs w:val="22"/>
        </w:rPr>
        <w:t xml:space="preserve">Platforms like Teachable, Thinkific, and Coursera use drag-and-drop editors for non-technical creators.</w:t>
      </w:r>
    </w:p>
    <w:p>
      <w:pPr>
        <w:pStyle w:val="ListParagraph"/>
        <w:numPr>
          <w:ilvl w:val="0"/>
          <w:numId w:val="2"/>
        </w:numPr>
        <w:spacing w:before="60" w:after="60"/>
      </w:pPr>
      <w:r>
        <w:rPr>
          <w:rFonts w:ascii="Arial" w:cs="Arial" w:eastAsia="Arial" w:hAnsi="Arial"/>
          <w:b w:val="false"/>
          <w:bCs w:val="false"/>
          <w:color w:val="1C2833"/>
          <w:sz w:val="22"/>
          <w:szCs w:val="22"/>
        </w:rPr>
        <w:t xml:space="preserve">Modern course creation tools support rich media: video, audio, PDF embeds, interactive quizzes, SCORM packages.</w:t>
      </w:r>
    </w:p>
    <w:p>
      <w:pPr>
        <w:pStyle w:val="ListParagraph"/>
        <w:numPr>
          <w:ilvl w:val="0"/>
          <w:numId w:val="2"/>
        </w:numPr>
        <w:spacing w:before="60" w:after="60"/>
      </w:pPr>
      <w:r>
        <w:rPr>
          <w:rFonts w:ascii="Arial" w:cs="Arial" w:eastAsia="Arial" w:hAnsi="Arial"/>
          <w:b w:val="false"/>
          <w:bCs w:val="false"/>
          <w:color w:val="1C2833"/>
          <w:sz w:val="22"/>
          <w:szCs w:val="22"/>
        </w:rPr>
        <w:t xml:space="preserve">AI-assisted course creation (auto-outlining, auto-quiz generation) is a rising trend in 2024–2025 EdTech.</w:t>
      </w:r>
    </w:p>
    <w:p>
      <w:pPr>
        <w:pStyle w:val="ListParagraph"/>
        <w:numPr>
          <w:ilvl w:val="0"/>
          <w:numId w:val="2"/>
        </w:numPr>
        <w:spacing w:before="60" w:after="60"/>
      </w:pPr>
      <w:r>
        <w:rPr>
          <w:rFonts w:ascii="Arial" w:cs="Arial" w:eastAsia="Arial" w:hAnsi="Arial"/>
          <w:b w:val="false"/>
          <w:bCs w:val="false"/>
          <w:color w:val="1C2833"/>
          <w:sz w:val="22"/>
          <w:szCs w:val="22"/>
        </w:rPr>
        <w:t xml:space="preserve">Multi-format support (video lectures, text lessons, live sessions) increases course completion rates by up to 40%.</w:t>
      </w:r>
    </w:p>
    <w:p>
      <w:pPr>
        <w:pStyle w:val="ListParagraph"/>
        <w:numPr>
          <w:ilvl w:val="0"/>
          <w:numId w:val="2"/>
        </w:numPr>
        <w:spacing w:before="60" w:after="60"/>
      </w:pPr>
      <w:r>
        <w:rPr>
          <w:rFonts w:ascii="Arial" w:cs="Arial" w:eastAsia="Arial" w:hAnsi="Arial"/>
          <w:b w:val="false"/>
          <w:bCs w:val="false"/>
          <w:color w:val="1C2833"/>
          <w:sz w:val="22"/>
          <w:szCs w:val="22"/>
        </w:rPr>
        <w:t xml:space="preserve">Accessibility features (closed captions, screen reader support) are legally required in many markets.</w:t>
      </w:r>
    </w:p>
    <w:p>
      <w:pPr>
        <w:spacing w:before="0" w:after="0"/>
      </w:pPr>
      <w:r>
        <w:rPr>
          <w:sz w:val="20"/>
          <w:szCs w:val="20"/>
        </w:rPr>
        <w:t xml:space="preserve"/>
      </w:r>
    </w:p>
    <w:p>
      <w:pPr>
        <w:pStyle w:val="Heading3"/>
        <w:spacing w:before="200" w:after="80"/>
      </w:pPr>
      <w:r>
        <w:rPr>
          <w:rFonts w:ascii="Arial" w:cs="Arial" w:eastAsia="Arial" w:hAnsi="Arial"/>
          <w:b/>
          <w:bCs/>
          <w:color w:val="1ABC9C"/>
          <w:sz w:val="24"/>
          <w:szCs w:val="24"/>
        </w:rPr>
        <w:t xml:space="preserve">Feature Design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D5D8DC" w:sz="1"/>
              <w:left w:val="single" w:color="D5D8DC" w:sz="1"/>
              <w:bottom w:val="single" w:color="D5D8DC" w:sz="1"/>
              <w:right w:val="single" w:color="D5D8DC" w:sz="1"/>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Sub-Feature</w:t>
            </w:r>
          </w:p>
        </w:tc>
        <w:tc>
          <w:tcPr>
            <w:tcW w:type="dxa" w:w="3560"/>
            <w:tcBorders>
              <w:top w:val="single" w:color="D5D8DC" w:sz="1"/>
              <w:left w:val="single" w:color="D5D8DC" w:sz="1"/>
              <w:bottom w:val="single" w:color="D5D8DC" w:sz="1"/>
              <w:right w:val="single" w:color="D5D8DC" w:sz="1"/>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3000"/>
            <w:tcBorders>
              <w:top w:val="single" w:color="D5D8DC" w:sz="1"/>
              <w:left w:val="single" w:color="D5D8DC" w:sz="1"/>
              <w:bottom w:val="single" w:color="D5D8DC" w:sz="1"/>
              <w:right w:val="single" w:color="D5D8DC" w:sz="1"/>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Key Capability</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2E86C1"/>
                <w:sz w:val="20"/>
                <w:szCs w:val="20"/>
              </w:rPr>
              <w:t xml:space="preserve">Rich Text Editor</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WYSIWYG editor for lesson content with formatting, embed support</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Images, videos, code blocks, tables</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2E86C1"/>
                <w:sz w:val="20"/>
                <w:szCs w:val="20"/>
              </w:rPr>
              <w:t xml:space="preserve">Video Lesson Builder</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Upload or record videos directly in-platform with chapters</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Chapter markers, transcripts, speed control</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2E86C1"/>
                <w:sz w:val="20"/>
                <w:szCs w:val="20"/>
              </w:rPr>
              <w:t xml:space="preserve">Quiz &amp; Assessment Creator</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MCQ, fill-in-the-blank, drag-and-drop quiz formats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Auto-grading, immediate feedback</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2E86C1"/>
                <w:sz w:val="20"/>
                <w:szCs w:val="20"/>
              </w:rPr>
              <w:t xml:space="preserve">Course Outline Manager</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Visual tree/chapter organizer for sections and lessons</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Drag-to-reorder, bulk actions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2E86C1"/>
                <w:sz w:val="20"/>
                <w:szCs w:val="20"/>
              </w:rPr>
              <w:t xml:space="preserve">Preview &amp; Publish Workflow</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Draft → Review → Publish pipeline with version history</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Rollback, scheduled publishing</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2E86C1"/>
                <w:sz w:val="20"/>
                <w:szCs w:val="20"/>
              </w:rPr>
              <w:t xml:space="preserve">AI Outline Assistant</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AI suggests course structure from a topic/skill input</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Auto-generates sections, quizzes, outcomes</w:t>
            </w:r>
          </w:p>
        </w:tc>
      </w:tr>
    </w:tbl>
    <w:p>
      <w:pPr>
        <w:spacing w:before="0" w:after="0"/>
      </w:pPr>
      <w:r>
        <w:rPr>
          <w:sz w:val="20"/>
          <w:szCs w:val="20"/>
        </w:rPr>
        <w:t xml:space="preserve"/>
      </w:r>
    </w:p>
    <w:p>
      <w:pPr>
        <w:pStyle w:val="Heading3"/>
        <w:spacing w:before="200" w:after="80"/>
      </w:pPr>
      <w:r>
        <w:rPr>
          <w:rFonts w:ascii="Arial" w:cs="Arial" w:eastAsia="Arial" w:hAnsi="Arial"/>
          <w:b/>
          <w:bCs/>
          <w:color w:val="1ABC9C"/>
          <w:sz w:val="24"/>
          <w:szCs w:val="24"/>
        </w:rPr>
        <w:t xml:space="preserve">User Roles &amp; Access</w:t>
      </w:r>
    </w:p>
    <w:p>
      <w:pPr>
        <w:pStyle w:val="ListParagraph"/>
        <w:numPr>
          <w:ilvl w:val="0"/>
          <w:numId w:val="2"/>
        </w:numPr>
        <w:spacing w:before="60" w:after="60"/>
      </w:pPr>
      <w:r>
        <w:rPr>
          <w:rFonts w:ascii="Arial" w:cs="Arial" w:eastAsia="Arial" w:hAnsi="Arial"/>
          <w:b w:val="false"/>
          <w:bCs w:val="false"/>
          <w:color w:val="1C2833"/>
          <w:sz w:val="22"/>
          <w:szCs w:val="22"/>
        </w:rPr>
        <w:t xml:space="preserve">Super Admin: Full course management and publishing rights</w:t>
      </w:r>
    </w:p>
    <w:p>
      <w:pPr>
        <w:pStyle w:val="ListParagraph"/>
        <w:numPr>
          <w:ilvl w:val="0"/>
          <w:numId w:val="2"/>
        </w:numPr>
        <w:spacing w:before="60" w:after="60"/>
      </w:pPr>
      <w:r>
        <w:rPr>
          <w:rFonts w:ascii="Arial" w:cs="Arial" w:eastAsia="Arial" w:hAnsi="Arial"/>
          <w:b w:val="false"/>
          <w:bCs w:val="false"/>
          <w:color w:val="1C2833"/>
          <w:sz w:val="22"/>
          <w:szCs w:val="22"/>
        </w:rPr>
        <w:t xml:space="preserve">Instructor/Trainer: Create, edit, preview, and submit for review</w:t>
      </w:r>
    </w:p>
    <w:p>
      <w:pPr>
        <w:pStyle w:val="ListParagraph"/>
        <w:numPr>
          <w:ilvl w:val="0"/>
          <w:numId w:val="2"/>
        </w:numPr>
        <w:spacing w:before="60" w:after="60"/>
      </w:pPr>
      <w:r>
        <w:rPr>
          <w:rFonts w:ascii="Arial" w:cs="Arial" w:eastAsia="Arial" w:hAnsi="Arial"/>
          <w:b w:val="false"/>
          <w:bCs w:val="false"/>
          <w:color w:val="1C2833"/>
          <w:sz w:val="22"/>
          <w:szCs w:val="22"/>
        </w:rPr>
        <w:t xml:space="preserve">Reviewer/QA: Approve/reject content before publishing</w:t>
      </w:r>
    </w:p>
    <w:p>
      <w:pPr>
        <w:pStyle w:val="ListParagraph"/>
        <w:numPr>
          <w:ilvl w:val="0"/>
          <w:numId w:val="2"/>
        </w:numPr>
        <w:spacing w:before="60" w:after="60"/>
      </w:pPr>
      <w:r>
        <w:rPr>
          <w:rFonts w:ascii="Arial" w:cs="Arial" w:eastAsia="Arial" w:hAnsi="Arial"/>
          <w:b w:val="false"/>
          <w:bCs w:val="false"/>
          <w:color w:val="1C2833"/>
          <w:sz w:val="22"/>
          <w:szCs w:val="22"/>
        </w:rPr>
        <w:t xml:space="preserve">Learner: View-only access to published courses</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D6EAF8" w:val="clear"/>
            <w:tcMar>
              <w:top w:type="dxa" w:w="120"/>
              <w:left w:type="dxa" w:w="200"/>
              <w:bottom w:type="dxa" w:w="120"/>
              <w:right w:type="dxa" w:w="200"/>
            </w:tcMar>
          </w:tcPr>
          <w:p>
            <w:pPr>
              <w:spacing w:before="40" w:after="40"/>
            </w:pPr>
            <w:r>
              <w:rPr>
                <w:rFonts w:ascii="Arial" w:cs="Arial" w:eastAsia="Arial" w:hAnsi="Arial"/>
                <w:b/>
                <w:bCs/>
                <w:color w:val="1A5276"/>
                <w:sz w:val="22"/>
                <w:szCs w:val="22"/>
              </w:rPr>
              <w:t xml:space="preserve">Key Insight</w:t>
            </w:r>
          </w:p>
          <w:p>
            <w:pPr>
              <w:spacing w:before="40" w:after="40"/>
            </w:pPr>
            <w:r>
              <w:rPr>
                <w:rFonts w:ascii="Arial" w:cs="Arial" w:eastAsia="Arial" w:hAnsi="Arial"/>
                <w:color w:val="1C2833"/>
                <w:sz w:val="21"/>
                <w:szCs w:val="21"/>
              </w:rPr>
              <w:t xml:space="preserve">Course creation tools must balance power-user features with simplicity for non-technical trainers. Provide templates for quick starts and advanced options behind progressive disclosure menus.</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5276" w:val="clear"/>
            <w:tcMar>
              <w:top w:type="dxa" w:w="120"/>
              <w:left w:type="dxa" w:w="150"/>
              <w:bottom w:type="dxa" w:w="120"/>
              <w:right w:type="dxa" w:w="150"/>
            </w:tcMar>
            <w:vAlign w:val="center"/>
          </w:tcPr>
          <w:p>
            <w:pPr>
              <w:jc w:val="center"/>
            </w:pPr>
            <w:r>
              <w:rPr>
                <w:rFonts w:ascii="Arial" w:cs="Arial" w:eastAsia="Arial" w:hAnsi="Arial"/>
                <w:b/>
                <w:bCs/>
                <w:color w:val="FFFFFF"/>
                <w:sz w:val="28"/>
                <w:szCs w:val="28"/>
              </w:rPr>
              <w:t xml:space="preserve">4.2</w:t>
            </w:r>
          </w:p>
        </w:tc>
        <w:tc>
          <w:tcPr>
            <w:tcW w:type="dxa" w:w="8760"/>
            <w:tcBorders>
              <w:top w:val="none" w:color="FFFFFF" w:sz="0"/>
              <w:left w:val="none" w:color="FFFFFF" w:sz="0"/>
              <w:bottom w:val="none" w:color="FFFFFF" w:sz="0"/>
              <w:right w:val="none" w:color="FFFFFF" w:sz="0"/>
            </w:tcBorders>
            <w:shd w:fill="D6EAF8" w:val="clear"/>
            <w:tcMar>
              <w:top w:type="dxa" w:w="120"/>
              <w:left w:type="dxa" w:w="200"/>
              <w:bottom w:type="dxa" w:w="120"/>
              <w:right w:type="dxa" w:w="150"/>
            </w:tcMar>
          </w:tcPr>
          <w:p>
            <w:r>
              <w:rPr>
                <w:rFonts w:ascii="Arial" w:cs="Arial" w:eastAsia="Arial" w:hAnsi="Arial"/>
                <w:b/>
                <w:bCs/>
                <w:color w:val="1A5276"/>
                <w:sz w:val="28"/>
                <w:szCs w:val="28"/>
              </w:rPr>
              <w:t xml:space="preserve">Training Program Builder</w:t>
            </w:r>
          </w:p>
        </w:tc>
      </w:tr>
    </w:tbl>
    <w:p>
      <w:pPr>
        <w:spacing w:before="0" w:after="0"/>
      </w:pPr>
      <w:r>
        <w:rPr>
          <w:sz w:val="20"/>
          <w:szCs w:val="20"/>
        </w:rPr>
        <w:t xml:space="preserve"/>
      </w:r>
    </w:p>
    <w:p>
      <w:pPr>
        <w:pStyle w:val="Heading3"/>
        <w:spacing w:before="200" w:after="80"/>
      </w:pPr>
      <w:r>
        <w:rPr>
          <w:rFonts w:ascii="Arial" w:cs="Arial" w:eastAsia="Arial" w:hAnsi="Arial"/>
          <w:b/>
          <w:bCs/>
          <w:color w:val="1ABC9C"/>
          <w:sz w:val="24"/>
          <w:szCs w:val="24"/>
        </w:rPr>
        <w:t xml:space="preserve">Overview</w:t>
      </w:r>
    </w:p>
    <w:p>
      <w:pPr>
        <w:spacing w:before="80" w:after="80"/>
      </w:pPr>
      <w:r>
        <w:rPr>
          <w:rFonts w:ascii="Arial" w:cs="Arial" w:eastAsia="Arial" w:hAnsi="Arial"/>
          <w:color w:val="1C2833"/>
          <w:sz w:val="22"/>
          <w:szCs w:val="22"/>
        </w:rPr>
        <w:t xml:space="preserve">A Training Program Builder allows organizations to group multiple courses, workshops, and assessments into a structured, outcome-focused program. This is distinct from a single course — a training program has defined goals, duration, milestones, and certifications. Institutes, corporates, and bootcamp operators rely on this feature for comprehensive upskilling journeys.</w:t>
      </w:r>
    </w:p>
    <w:p>
      <w:pPr>
        <w:spacing w:before="0" w:after="0"/>
      </w:pPr>
      <w:r>
        <w:rPr>
          <w:sz w:val="20"/>
          <w:szCs w:val="20"/>
        </w:rPr>
        <w:t xml:space="preserve"/>
      </w:r>
    </w:p>
    <w:p>
      <w:pPr>
        <w:pStyle w:val="Heading3"/>
        <w:spacing w:before="200" w:after="80"/>
      </w:pPr>
      <w:r>
        <w:rPr>
          <w:rFonts w:ascii="Arial" w:cs="Arial" w:eastAsia="Arial" w:hAnsi="Arial"/>
          <w:b/>
          <w:bCs/>
          <w:color w:val="1ABC9C"/>
          <w:sz w:val="24"/>
          <w:szCs w:val="24"/>
        </w:rPr>
        <w:t xml:space="preserve">Market Research &amp; Best Practices</w:t>
      </w:r>
    </w:p>
    <w:p>
      <w:pPr>
        <w:pStyle w:val="ListParagraph"/>
        <w:numPr>
          <w:ilvl w:val="0"/>
          <w:numId w:val="2"/>
        </w:numPr>
        <w:spacing w:before="60" w:after="60"/>
      </w:pPr>
      <w:r>
        <w:rPr>
          <w:rFonts w:ascii="Arial" w:cs="Arial" w:eastAsia="Arial" w:hAnsi="Arial"/>
          <w:b w:val="false"/>
          <w:bCs w:val="false"/>
          <w:color w:val="1C2833"/>
          <w:sz w:val="22"/>
          <w:szCs w:val="22"/>
        </w:rPr>
        <w:t xml:space="preserve">Enterprise LMS platforms (Cornerstone, SAP SuccessFactors) treat programs as 'learning plans' with milestone gating.</w:t>
      </w:r>
    </w:p>
    <w:p>
      <w:pPr>
        <w:pStyle w:val="ListParagraph"/>
        <w:numPr>
          <w:ilvl w:val="0"/>
          <w:numId w:val="2"/>
        </w:numPr>
        <w:spacing w:before="60" w:after="60"/>
      </w:pPr>
      <w:r>
        <w:rPr>
          <w:rFonts w:ascii="Arial" w:cs="Arial" w:eastAsia="Arial" w:hAnsi="Arial"/>
          <w:b w:val="false"/>
          <w:bCs w:val="false"/>
          <w:color w:val="1C2833"/>
          <w:sz w:val="22"/>
          <w:szCs w:val="22"/>
        </w:rPr>
        <w:t xml:space="preserve">Research shows learners in structured programs are 3x more likely to complete training vs. standalone courses.</w:t>
      </w:r>
    </w:p>
    <w:p>
      <w:pPr>
        <w:pStyle w:val="ListParagraph"/>
        <w:numPr>
          <w:ilvl w:val="0"/>
          <w:numId w:val="2"/>
        </w:numPr>
        <w:spacing w:before="60" w:after="60"/>
      </w:pPr>
      <w:r>
        <w:rPr>
          <w:rFonts w:ascii="Arial" w:cs="Arial" w:eastAsia="Arial" w:hAnsi="Arial"/>
          <w:b w:val="false"/>
          <w:bCs w:val="false"/>
          <w:color w:val="1C2833"/>
          <w:sz w:val="22"/>
          <w:szCs w:val="22"/>
        </w:rPr>
        <w:t xml:space="preserve">Program-level analytics (completion %, time-to-completion, assessment scores) are critical for institutional reporting.</w:t>
      </w:r>
    </w:p>
    <w:p>
      <w:pPr>
        <w:pStyle w:val="ListParagraph"/>
        <w:numPr>
          <w:ilvl w:val="0"/>
          <w:numId w:val="2"/>
        </w:numPr>
        <w:spacing w:before="60" w:after="60"/>
      </w:pPr>
      <w:r>
        <w:rPr>
          <w:rFonts w:ascii="Arial" w:cs="Arial" w:eastAsia="Arial" w:hAnsi="Arial"/>
          <w:b w:val="false"/>
          <w:bCs w:val="false"/>
          <w:color w:val="1C2833"/>
          <w:sz w:val="22"/>
          <w:szCs w:val="22"/>
        </w:rPr>
        <w:t xml:space="preserve">Integration with certification issuance (blockchain or PDF certificates) at program completion adds value.</w:t>
      </w:r>
    </w:p>
    <w:p>
      <w:pPr>
        <w:spacing w:before="0" w:after="0"/>
      </w:pPr>
      <w:r>
        <w:rPr>
          <w:sz w:val="20"/>
          <w:szCs w:val="20"/>
        </w:rPr>
        <w:t xml:space="preserve"/>
      </w:r>
    </w:p>
    <w:p>
      <w:pPr>
        <w:pStyle w:val="Heading3"/>
        <w:spacing w:before="200" w:after="80"/>
      </w:pPr>
      <w:r>
        <w:rPr>
          <w:rFonts w:ascii="Arial" w:cs="Arial" w:eastAsia="Arial" w:hAnsi="Arial"/>
          <w:b/>
          <w:bCs/>
          <w:color w:val="1ABC9C"/>
          <w:sz w:val="24"/>
          <w:szCs w:val="24"/>
        </w:rPr>
        <w:t xml:space="preserve">Feature Design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D5D8DC" w:sz="1"/>
              <w:left w:val="single" w:color="D5D8DC" w:sz="1"/>
              <w:bottom w:val="single" w:color="D5D8DC" w:sz="1"/>
              <w:right w:val="single" w:color="D5D8DC" w:sz="1"/>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Sub-Feature</w:t>
            </w:r>
          </w:p>
        </w:tc>
        <w:tc>
          <w:tcPr>
            <w:tcW w:type="dxa" w:w="3560"/>
            <w:tcBorders>
              <w:top w:val="single" w:color="D5D8DC" w:sz="1"/>
              <w:left w:val="single" w:color="D5D8DC" w:sz="1"/>
              <w:bottom w:val="single" w:color="D5D8DC" w:sz="1"/>
              <w:right w:val="single" w:color="D5D8DC" w:sz="1"/>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3000"/>
            <w:tcBorders>
              <w:top w:val="single" w:color="D5D8DC" w:sz="1"/>
              <w:left w:val="single" w:color="D5D8DC" w:sz="1"/>
              <w:bottom w:val="single" w:color="D5D8DC" w:sz="1"/>
              <w:right w:val="single" w:color="D5D8DC" w:sz="1"/>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Key Capability</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2E86C1"/>
                <w:sz w:val="20"/>
                <w:szCs w:val="20"/>
              </w:rPr>
              <w:t xml:space="preserve">Program Canvas</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Visual drag-and-drop builder to arrange courses, workshops, assessments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Stages, prerequisites, branching logic</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2E86C1"/>
                <w:sz w:val="20"/>
                <w:szCs w:val="20"/>
              </w:rPr>
              <w:t xml:space="preserve">Prerequisite &amp; Gating Rules</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Lock modules until prior ones are complete or passed</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Score-based gating, date-based release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2E86C1"/>
                <w:sz w:val="20"/>
                <w:szCs w:val="20"/>
              </w:rPr>
              <w:t xml:space="preserve">Program Milestones</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Set checkpoints with certificates, badges, or progress markers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Custom milestone triggers</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2E86C1"/>
                <w:sz w:val="20"/>
                <w:szCs w:val="20"/>
              </w:rPr>
              <w:t xml:space="preserve">Duration &amp; Timeline</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Set total program duration with estimated weekly hours</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Calendar sync, deadline reminders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2E86C1"/>
                <w:sz w:val="20"/>
                <w:szCs w:val="20"/>
              </w:rPr>
              <w:t xml:space="preserve">Multi-Role Programs</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Different tracks for different learner personas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Role-based branching paths</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2E86C1"/>
                <w:sz w:val="20"/>
                <w:szCs w:val="20"/>
              </w:rPr>
              <w:t xml:space="preserve">Program Templates</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Pre-built industry-aligned program structures</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Import/export templates</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D6EAF8" w:val="clear"/>
            <w:tcMar>
              <w:top w:type="dxa" w:w="120"/>
              <w:left w:type="dxa" w:w="200"/>
              <w:bottom w:type="dxa" w:w="120"/>
              <w:right w:type="dxa" w:w="200"/>
            </w:tcMar>
          </w:tcPr>
          <w:p>
            <w:pPr>
              <w:spacing w:before="40" w:after="40"/>
            </w:pPr>
            <w:r>
              <w:rPr>
                <w:rFonts w:ascii="Arial" w:cs="Arial" w:eastAsia="Arial" w:hAnsi="Arial"/>
                <w:b/>
                <w:bCs/>
                <w:color w:val="1A5276"/>
                <w:sz w:val="22"/>
                <w:szCs w:val="22"/>
              </w:rPr>
              <w:t xml:space="preserve">Key Insight</w:t>
            </w:r>
          </w:p>
          <w:p>
            <w:pPr>
              <w:spacing w:before="40" w:after="40"/>
            </w:pPr>
            <w:r>
              <w:rPr>
                <w:rFonts w:ascii="Arial" w:cs="Arial" w:eastAsia="Arial" w:hAnsi="Arial"/>
                <w:color w:val="1C2833"/>
                <w:sz w:val="21"/>
                <w:szCs w:val="21"/>
              </w:rPr>
              <w:t xml:space="preserve">A well-designed Training Program Builder should feel like a visual flowchart tool — not a form. Use canvas-style drag-and-drop UX to let trainers see the full learner journey at a glance.</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5276" w:val="clear"/>
            <w:tcMar>
              <w:top w:type="dxa" w:w="120"/>
              <w:left w:type="dxa" w:w="150"/>
              <w:bottom w:type="dxa" w:w="120"/>
              <w:right w:type="dxa" w:w="150"/>
            </w:tcMar>
            <w:vAlign w:val="center"/>
          </w:tcPr>
          <w:p>
            <w:pPr>
              <w:jc w:val="center"/>
            </w:pPr>
            <w:r>
              <w:rPr>
                <w:rFonts w:ascii="Arial" w:cs="Arial" w:eastAsia="Arial" w:hAnsi="Arial"/>
                <w:b/>
                <w:bCs/>
                <w:color w:val="FFFFFF"/>
                <w:sz w:val="28"/>
                <w:szCs w:val="28"/>
              </w:rPr>
              <w:t xml:space="preserve">4.3</w:t>
            </w:r>
          </w:p>
        </w:tc>
        <w:tc>
          <w:tcPr>
            <w:tcW w:type="dxa" w:w="8760"/>
            <w:tcBorders>
              <w:top w:val="none" w:color="FFFFFF" w:sz="0"/>
              <w:left w:val="none" w:color="FFFFFF" w:sz="0"/>
              <w:bottom w:val="none" w:color="FFFFFF" w:sz="0"/>
              <w:right w:val="none" w:color="FFFFFF" w:sz="0"/>
            </w:tcBorders>
            <w:shd w:fill="D6EAF8" w:val="clear"/>
            <w:tcMar>
              <w:top w:type="dxa" w:w="120"/>
              <w:left w:type="dxa" w:w="200"/>
              <w:bottom w:type="dxa" w:w="120"/>
              <w:right w:type="dxa" w:w="150"/>
            </w:tcMar>
          </w:tcPr>
          <w:p>
            <w:r>
              <w:rPr>
                <w:rFonts w:ascii="Arial" w:cs="Arial" w:eastAsia="Arial" w:hAnsi="Arial"/>
                <w:b/>
                <w:bCs/>
                <w:color w:val="1A5276"/>
                <w:sz w:val="28"/>
                <w:szCs w:val="28"/>
              </w:rPr>
              <w:t xml:space="preserve">Workshop Creation System</w:t>
            </w:r>
          </w:p>
        </w:tc>
      </w:tr>
    </w:tbl>
    <w:p>
      <w:pPr>
        <w:spacing w:before="0" w:after="0"/>
      </w:pPr>
      <w:r>
        <w:rPr>
          <w:sz w:val="20"/>
          <w:szCs w:val="20"/>
        </w:rPr>
        <w:t xml:space="preserve"/>
      </w:r>
    </w:p>
    <w:p>
      <w:pPr>
        <w:pStyle w:val="Heading3"/>
        <w:spacing w:before="200" w:after="80"/>
      </w:pPr>
      <w:r>
        <w:rPr>
          <w:rFonts w:ascii="Arial" w:cs="Arial" w:eastAsia="Arial" w:hAnsi="Arial"/>
          <w:b/>
          <w:bCs/>
          <w:color w:val="1ABC9C"/>
          <w:sz w:val="24"/>
          <w:szCs w:val="24"/>
        </w:rPr>
        <w:t xml:space="preserve">Overview</w:t>
      </w:r>
    </w:p>
    <w:p>
      <w:pPr>
        <w:spacing w:before="80" w:after="80"/>
      </w:pPr>
      <w:r>
        <w:rPr>
          <w:rFonts w:ascii="Arial" w:cs="Arial" w:eastAsia="Arial" w:hAnsi="Arial"/>
          <w:color w:val="1C2833"/>
          <w:sz w:val="22"/>
          <w:szCs w:val="22"/>
        </w:rPr>
        <w:t xml:space="preserve">Workshops are time-bound, interactive learning events — either live (online/offline) or self-paced short formats. A Workshop Creation System enables trainers to design, schedule, and deliver focused skill-building sessions, separate from formal courses. Workshops are especially popular in corporate training and upskilling contexts.</w:t>
      </w:r>
    </w:p>
    <w:p>
      <w:pPr>
        <w:spacing w:before="0" w:after="0"/>
      </w:pPr>
      <w:r>
        <w:rPr>
          <w:sz w:val="20"/>
          <w:szCs w:val="20"/>
        </w:rPr>
        <w:t xml:space="preserve"/>
      </w:r>
    </w:p>
    <w:p>
      <w:pPr>
        <w:pStyle w:val="Heading3"/>
        <w:spacing w:before="200" w:after="80"/>
      </w:pPr>
      <w:r>
        <w:rPr>
          <w:rFonts w:ascii="Arial" w:cs="Arial" w:eastAsia="Arial" w:hAnsi="Arial"/>
          <w:b/>
          <w:bCs/>
          <w:color w:val="1ABC9C"/>
          <w:sz w:val="24"/>
          <w:szCs w:val="24"/>
        </w:rPr>
        <w:t xml:space="preserve">Market Research &amp; Best Practices</w:t>
      </w:r>
    </w:p>
    <w:p>
      <w:pPr>
        <w:pStyle w:val="ListParagraph"/>
        <w:numPr>
          <w:ilvl w:val="0"/>
          <w:numId w:val="2"/>
        </w:numPr>
        <w:spacing w:before="60" w:after="60"/>
      </w:pPr>
      <w:r>
        <w:rPr>
          <w:rFonts w:ascii="Arial" w:cs="Arial" w:eastAsia="Arial" w:hAnsi="Arial"/>
          <w:b w:val="false"/>
          <w:bCs w:val="false"/>
          <w:color w:val="1C2833"/>
          <w:sz w:val="22"/>
          <w:szCs w:val="22"/>
        </w:rPr>
        <w:t xml:space="preserve">Eventbrite, Zoom Events, and Hopin offer event-based workshop management but lack structured learning content.</w:t>
      </w:r>
    </w:p>
    <w:p>
      <w:pPr>
        <w:pStyle w:val="ListParagraph"/>
        <w:numPr>
          <w:ilvl w:val="0"/>
          <w:numId w:val="2"/>
        </w:numPr>
        <w:spacing w:before="60" w:after="60"/>
      </w:pPr>
      <w:r>
        <w:rPr>
          <w:rFonts w:ascii="Arial" w:cs="Arial" w:eastAsia="Arial" w:hAnsi="Arial"/>
          <w:b w:val="false"/>
          <w:bCs w:val="false"/>
          <w:color w:val="1C2833"/>
          <w:sz w:val="22"/>
          <w:szCs w:val="22"/>
        </w:rPr>
        <w:t xml:space="preserve">The ideal system merges event scheduling with content delivery, pre-work, and post-workshop assessments.</w:t>
      </w:r>
    </w:p>
    <w:p>
      <w:pPr>
        <w:pStyle w:val="ListParagraph"/>
        <w:numPr>
          <w:ilvl w:val="0"/>
          <w:numId w:val="2"/>
        </w:numPr>
        <w:spacing w:before="60" w:after="60"/>
      </w:pPr>
      <w:r>
        <w:rPr>
          <w:rFonts w:ascii="Arial" w:cs="Arial" w:eastAsia="Arial" w:hAnsi="Arial"/>
          <w:b w:val="false"/>
          <w:bCs w:val="false"/>
          <w:color w:val="1C2833"/>
          <w:sz w:val="22"/>
          <w:szCs w:val="22"/>
        </w:rPr>
        <w:t xml:space="preserve">Hybrid workshop formats (part live, part self-paced pre-reading) show 25% better knowledge retention.</w:t>
      </w:r>
    </w:p>
    <w:p>
      <w:pPr>
        <w:pStyle w:val="ListParagraph"/>
        <w:numPr>
          <w:ilvl w:val="0"/>
          <w:numId w:val="2"/>
        </w:numPr>
        <w:spacing w:before="60" w:after="60"/>
      </w:pPr>
      <w:r>
        <w:rPr>
          <w:rFonts w:ascii="Arial" w:cs="Arial" w:eastAsia="Arial" w:hAnsi="Arial"/>
          <w:b w:val="false"/>
          <w:bCs w:val="false"/>
          <w:color w:val="1C2833"/>
          <w:sz w:val="22"/>
          <w:szCs w:val="22"/>
        </w:rPr>
        <w:t xml:space="preserve">Breakout room support, polls, and whiteboard integrations improve engagement in live workshops.</w:t>
      </w:r>
    </w:p>
    <w:p>
      <w:pPr>
        <w:spacing w:before="0" w:after="0"/>
      </w:pPr>
      <w:r>
        <w:rPr>
          <w:sz w:val="20"/>
          <w:szCs w:val="20"/>
        </w:rPr>
        <w:t xml:space="preserve"/>
      </w:r>
    </w:p>
    <w:p>
      <w:pPr>
        <w:pStyle w:val="Heading3"/>
        <w:spacing w:before="200" w:after="80"/>
      </w:pPr>
      <w:r>
        <w:rPr>
          <w:rFonts w:ascii="Arial" w:cs="Arial" w:eastAsia="Arial" w:hAnsi="Arial"/>
          <w:b/>
          <w:bCs/>
          <w:color w:val="1ABC9C"/>
          <w:sz w:val="24"/>
          <w:szCs w:val="24"/>
        </w:rPr>
        <w:t xml:space="preserve">Feature Design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D5D8DC" w:sz="1"/>
              <w:left w:val="single" w:color="D5D8DC" w:sz="1"/>
              <w:bottom w:val="single" w:color="D5D8DC" w:sz="1"/>
              <w:right w:val="single" w:color="D5D8DC" w:sz="1"/>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Sub-Feature</w:t>
            </w:r>
          </w:p>
        </w:tc>
        <w:tc>
          <w:tcPr>
            <w:tcW w:type="dxa" w:w="3560"/>
            <w:tcBorders>
              <w:top w:val="single" w:color="D5D8DC" w:sz="1"/>
              <w:left w:val="single" w:color="D5D8DC" w:sz="1"/>
              <w:bottom w:val="single" w:color="D5D8DC" w:sz="1"/>
              <w:right w:val="single" w:color="D5D8DC" w:sz="1"/>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3000"/>
            <w:tcBorders>
              <w:top w:val="single" w:color="D5D8DC" w:sz="1"/>
              <w:left w:val="single" w:color="D5D8DC" w:sz="1"/>
              <w:bottom w:val="single" w:color="D5D8DC" w:sz="1"/>
              <w:right w:val="single" w:color="D5D8DC" w:sz="1"/>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Key Capability</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2E86C1"/>
                <w:sz w:val="20"/>
                <w:szCs w:val="20"/>
              </w:rPr>
              <w:t xml:space="preserve">Workshop Builder</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Create workshop with agenda, objectives, prerequisites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Timed agenda blocks, speaker notes</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2E86C1"/>
                <w:sz w:val="20"/>
                <w:szCs w:val="20"/>
              </w:rPr>
              <w:t xml:space="preserve">Live/Offline Mode Toggle</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Define if workshop is in-person, virtual, or hybrid</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Location/link management</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2E86C1"/>
                <w:sz w:val="20"/>
                <w:szCs w:val="20"/>
              </w:rPr>
              <w:t xml:space="preserve">Pre-Work &amp; Post-Work</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Attach pre-reading, videos, quizzes before and after sessions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Completion tracking</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2E86C1"/>
                <w:sz w:val="20"/>
                <w:szCs w:val="20"/>
              </w:rPr>
              <w:t xml:space="preserve">Facilitator Toolkit</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Slide upload, whiteboard link, poll creator for live use</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Real-time engagement tools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2E86C1"/>
                <w:sz w:val="20"/>
                <w:szCs w:val="20"/>
              </w:rPr>
              <w:t xml:space="preserve">Attendance &amp; Completion</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Mark attendance, issue completion certificates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QR code check-in, manual override</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2E86C1"/>
                <w:sz w:val="20"/>
                <w:szCs w:val="20"/>
              </w:rPr>
              <w:t xml:space="preserve">Workshop Recording Archive</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Store recordings linked to the workshop record</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Auto-transcript, searchable content</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5276" w:val="clear"/>
            <w:tcMar>
              <w:top w:type="dxa" w:w="120"/>
              <w:left w:type="dxa" w:w="150"/>
              <w:bottom w:type="dxa" w:w="120"/>
              <w:right w:type="dxa" w:w="150"/>
            </w:tcMar>
            <w:vAlign w:val="center"/>
          </w:tcPr>
          <w:p>
            <w:pPr>
              <w:jc w:val="center"/>
            </w:pPr>
            <w:r>
              <w:rPr>
                <w:rFonts w:ascii="Arial" w:cs="Arial" w:eastAsia="Arial" w:hAnsi="Arial"/>
                <w:b/>
                <w:bCs/>
                <w:color w:val="FFFFFF"/>
                <w:sz w:val="28"/>
                <w:szCs w:val="28"/>
              </w:rPr>
              <w:t xml:space="preserve">4.4</w:t>
            </w:r>
          </w:p>
        </w:tc>
        <w:tc>
          <w:tcPr>
            <w:tcW w:type="dxa" w:w="8760"/>
            <w:tcBorders>
              <w:top w:val="none" w:color="FFFFFF" w:sz="0"/>
              <w:left w:val="none" w:color="FFFFFF" w:sz="0"/>
              <w:bottom w:val="none" w:color="FFFFFF" w:sz="0"/>
              <w:right w:val="none" w:color="FFFFFF" w:sz="0"/>
            </w:tcBorders>
            <w:shd w:fill="D6EAF8" w:val="clear"/>
            <w:tcMar>
              <w:top w:type="dxa" w:w="120"/>
              <w:left w:type="dxa" w:w="200"/>
              <w:bottom w:type="dxa" w:w="120"/>
              <w:right w:type="dxa" w:w="150"/>
            </w:tcMar>
          </w:tcPr>
          <w:p>
            <w:r>
              <w:rPr>
                <w:rFonts w:ascii="Arial" w:cs="Arial" w:eastAsia="Arial" w:hAnsi="Arial"/>
                <w:b/>
                <w:bCs/>
                <w:color w:val="1A5276"/>
                <w:sz w:val="28"/>
                <w:szCs w:val="28"/>
              </w:rPr>
              <w:t xml:space="preserve">Bootcamp Program Creation</w:t>
            </w:r>
          </w:p>
        </w:tc>
      </w:tr>
    </w:tbl>
    <w:p>
      <w:pPr>
        <w:spacing w:before="0" w:after="0"/>
      </w:pPr>
      <w:r>
        <w:rPr>
          <w:sz w:val="20"/>
          <w:szCs w:val="20"/>
        </w:rPr>
        <w:t xml:space="preserve"/>
      </w:r>
    </w:p>
    <w:p>
      <w:pPr>
        <w:pStyle w:val="Heading3"/>
        <w:spacing w:before="200" w:after="80"/>
      </w:pPr>
      <w:r>
        <w:rPr>
          <w:rFonts w:ascii="Arial" w:cs="Arial" w:eastAsia="Arial" w:hAnsi="Arial"/>
          <w:b/>
          <w:bCs/>
          <w:color w:val="1ABC9C"/>
          <w:sz w:val="24"/>
          <w:szCs w:val="24"/>
        </w:rPr>
        <w:t xml:space="preserve">Overview</w:t>
      </w:r>
    </w:p>
    <w:p>
      <w:pPr>
        <w:spacing w:before="80" w:after="80"/>
      </w:pPr>
      <w:r>
        <w:rPr>
          <w:rFonts w:ascii="Arial" w:cs="Arial" w:eastAsia="Arial" w:hAnsi="Arial"/>
          <w:color w:val="1C2833"/>
          <w:sz w:val="22"/>
          <w:szCs w:val="22"/>
        </w:rPr>
        <w:t xml:space="preserve">Bootcamps are intensive, time-compressed learning programs designed to rapidly upskill participants in a specific domain (e.g., Full Stack Development, Data Science, UI/UX Design). Bootcamp program creation requires tools to manage dense schedules, cohorts, live sessions, mentorship, capstone projects, and job placement outcomes — all within a tight timeline.</w:t>
      </w:r>
    </w:p>
    <w:p>
      <w:pPr>
        <w:spacing w:before="0" w:after="0"/>
      </w:pPr>
      <w:r>
        <w:rPr>
          <w:sz w:val="20"/>
          <w:szCs w:val="20"/>
        </w:rPr>
        <w:t xml:space="preserve"/>
      </w:r>
    </w:p>
    <w:p>
      <w:pPr>
        <w:pStyle w:val="Heading3"/>
        <w:spacing w:before="200" w:after="80"/>
      </w:pPr>
      <w:r>
        <w:rPr>
          <w:rFonts w:ascii="Arial" w:cs="Arial" w:eastAsia="Arial" w:hAnsi="Arial"/>
          <w:b/>
          <w:bCs/>
          <w:color w:val="1ABC9C"/>
          <w:sz w:val="24"/>
          <w:szCs w:val="24"/>
        </w:rPr>
        <w:t xml:space="preserve">Market Research &amp; Best Practices</w:t>
      </w:r>
    </w:p>
    <w:p>
      <w:pPr>
        <w:pStyle w:val="ListParagraph"/>
        <w:numPr>
          <w:ilvl w:val="0"/>
          <w:numId w:val="2"/>
        </w:numPr>
        <w:spacing w:before="60" w:after="60"/>
      </w:pPr>
      <w:r>
        <w:rPr>
          <w:rFonts w:ascii="Arial" w:cs="Arial" w:eastAsia="Arial" w:hAnsi="Arial"/>
          <w:b w:val="false"/>
          <w:bCs w:val="false"/>
          <w:color w:val="1C2833"/>
          <w:sz w:val="22"/>
          <w:szCs w:val="22"/>
        </w:rPr>
        <w:t xml:space="preserve">Top bootcamps (General Assembly, Lambda School, Masai School) combine live sessions, daily practice, peer learning, and mentor Q&amp;A.</w:t>
      </w:r>
    </w:p>
    <w:p>
      <w:pPr>
        <w:pStyle w:val="ListParagraph"/>
        <w:numPr>
          <w:ilvl w:val="0"/>
          <w:numId w:val="2"/>
        </w:numPr>
        <w:spacing w:before="60" w:after="60"/>
      </w:pPr>
      <w:r>
        <w:rPr>
          <w:rFonts w:ascii="Arial" w:cs="Arial" w:eastAsia="Arial" w:hAnsi="Arial"/>
          <w:b w:val="false"/>
          <w:bCs w:val="false"/>
          <w:color w:val="1C2833"/>
          <w:sz w:val="22"/>
          <w:szCs w:val="22"/>
        </w:rPr>
        <w:t xml:space="preserve">Bootcamp completion rates drop when structure is unclear — clear daily/weekly schedules are critical.</w:t>
      </w:r>
    </w:p>
    <w:p>
      <w:pPr>
        <w:pStyle w:val="ListParagraph"/>
        <w:numPr>
          <w:ilvl w:val="0"/>
          <w:numId w:val="2"/>
        </w:numPr>
        <w:spacing w:before="60" w:after="60"/>
      </w:pPr>
      <w:r>
        <w:rPr>
          <w:rFonts w:ascii="Arial" w:cs="Arial" w:eastAsia="Arial" w:hAnsi="Arial"/>
          <w:b w:val="false"/>
          <w:bCs w:val="false"/>
          <w:color w:val="1C2833"/>
          <w:sz w:val="22"/>
          <w:szCs w:val="22"/>
        </w:rPr>
        <w:t xml:space="preserve">Outcome tracking (job placement rate, salary outcomes) is a key trust signal for both learners and investors.</w:t>
      </w:r>
    </w:p>
    <w:p>
      <w:pPr>
        <w:pStyle w:val="ListParagraph"/>
        <w:numPr>
          <w:ilvl w:val="0"/>
          <w:numId w:val="2"/>
        </w:numPr>
        <w:spacing w:before="60" w:after="60"/>
      </w:pPr>
      <w:r>
        <w:rPr>
          <w:rFonts w:ascii="Arial" w:cs="Arial" w:eastAsia="Arial" w:hAnsi="Arial"/>
          <w:b w:val="false"/>
          <w:bCs w:val="false"/>
          <w:color w:val="1C2833"/>
          <w:sz w:val="22"/>
          <w:szCs w:val="22"/>
        </w:rPr>
        <w:t xml:space="preserve">Payment flexibility (ISA - Income Share Agreements, EMI) is a distinguishing feature for premium bootcamps.</w:t>
      </w:r>
    </w:p>
    <w:p>
      <w:pPr>
        <w:spacing w:before="0" w:after="0"/>
      </w:pPr>
      <w:r>
        <w:rPr>
          <w:sz w:val="20"/>
          <w:szCs w:val="20"/>
        </w:rPr>
        <w:t xml:space="preserve"/>
      </w:r>
    </w:p>
    <w:p>
      <w:pPr>
        <w:pStyle w:val="Heading3"/>
        <w:spacing w:before="200" w:after="80"/>
      </w:pPr>
      <w:r>
        <w:rPr>
          <w:rFonts w:ascii="Arial" w:cs="Arial" w:eastAsia="Arial" w:hAnsi="Arial"/>
          <w:b/>
          <w:bCs/>
          <w:color w:val="1ABC9C"/>
          <w:sz w:val="24"/>
          <w:szCs w:val="24"/>
        </w:rPr>
        <w:t xml:space="preserve">Feature Design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D5D8DC" w:sz="1"/>
              <w:left w:val="single" w:color="D5D8DC" w:sz="1"/>
              <w:bottom w:val="single" w:color="D5D8DC" w:sz="1"/>
              <w:right w:val="single" w:color="D5D8DC" w:sz="1"/>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Sub-Feature</w:t>
            </w:r>
          </w:p>
        </w:tc>
        <w:tc>
          <w:tcPr>
            <w:tcW w:type="dxa" w:w="3560"/>
            <w:tcBorders>
              <w:top w:val="single" w:color="D5D8DC" w:sz="1"/>
              <w:left w:val="single" w:color="D5D8DC" w:sz="1"/>
              <w:bottom w:val="single" w:color="D5D8DC" w:sz="1"/>
              <w:right w:val="single" w:color="D5D8DC" w:sz="1"/>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3000"/>
            <w:tcBorders>
              <w:top w:val="single" w:color="D5D8DC" w:sz="1"/>
              <w:left w:val="single" w:color="D5D8DC" w:sz="1"/>
              <w:bottom w:val="single" w:color="D5D8DC" w:sz="1"/>
              <w:right w:val="single" w:color="D5D8DC" w:sz="1"/>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Key Capability</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2E86C1"/>
                <w:sz w:val="20"/>
                <w:szCs w:val="20"/>
              </w:rPr>
              <w:t xml:space="preserve">Bootcamp Structure Builder</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Define weeks, days, topics, live sessions, and labs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Week-by-week visual planner</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2E86C1"/>
                <w:sz w:val="20"/>
                <w:szCs w:val="20"/>
              </w:rPr>
              <w:t xml:space="preserve">Live Session Scheduler</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Schedule daily/weekly live classes with links, hosts, topics</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Calendar sync, automated reminders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2E86C1"/>
                <w:sz w:val="20"/>
                <w:szCs w:val="20"/>
              </w:rPr>
              <w:t xml:space="preserve">Mentor Assignment</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Assign mentors to learner groups with session slots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Mentor availability calendar</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2E86C1"/>
                <w:sz w:val="20"/>
                <w:szCs w:val="20"/>
              </w:rPr>
              <w:t xml:space="preserve">Capstone Project Setup</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Define final project with rubric, submission, and review workflow</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Peer review, expert review</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2E86C1"/>
                <w:sz w:val="20"/>
                <w:szCs w:val="20"/>
              </w:rPr>
              <w:t xml:space="preserve">Outcome Tracker</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Track placement status, job title, CTC post-bootcamp</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Dashboard for institutes/employers</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2E86C1"/>
                <w:sz w:val="20"/>
                <w:szCs w:val="20"/>
              </w:rPr>
              <w:t xml:space="preserve">Intensive Schedule Planner</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Auto-generate daily schedules based on curriculum input</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Buffer time, holiday management</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D6EAF8" w:val="clear"/>
            <w:tcMar>
              <w:top w:type="dxa" w:w="120"/>
              <w:left w:type="dxa" w:w="200"/>
              <w:bottom w:type="dxa" w:w="120"/>
              <w:right w:type="dxa" w:w="200"/>
            </w:tcMar>
          </w:tcPr>
          <w:p>
            <w:pPr>
              <w:spacing w:before="40" w:after="40"/>
            </w:pPr>
            <w:r>
              <w:rPr>
                <w:rFonts w:ascii="Arial" w:cs="Arial" w:eastAsia="Arial" w:hAnsi="Arial"/>
                <w:b/>
                <w:bCs/>
                <w:color w:val="1A5276"/>
                <w:sz w:val="22"/>
                <w:szCs w:val="22"/>
              </w:rPr>
              <w:t xml:space="preserve">Key Insight</w:t>
            </w:r>
          </w:p>
          <w:p>
            <w:pPr>
              <w:spacing w:before="40" w:after="40"/>
            </w:pPr>
            <w:r>
              <w:rPr>
                <w:rFonts w:ascii="Arial" w:cs="Arial" w:eastAsia="Arial" w:hAnsi="Arial"/>
                <w:color w:val="1C2833"/>
                <w:sz w:val="21"/>
                <w:szCs w:val="21"/>
              </w:rPr>
              <w:t xml:space="preserve">Bootcamp creators need a 'war room' view — a high-density calendar showing every session, assignment, and milestone in one place. Avoid hiding information in nested menus; bootcamp management is time-critical.</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5276" w:val="clear"/>
            <w:tcMar>
              <w:top w:type="dxa" w:w="120"/>
              <w:left w:type="dxa" w:w="150"/>
              <w:bottom w:type="dxa" w:w="120"/>
              <w:right w:type="dxa" w:w="150"/>
            </w:tcMar>
            <w:vAlign w:val="center"/>
          </w:tcPr>
          <w:p>
            <w:pPr>
              <w:jc w:val="center"/>
            </w:pPr>
            <w:r>
              <w:rPr>
                <w:rFonts w:ascii="Arial" w:cs="Arial" w:eastAsia="Arial" w:hAnsi="Arial"/>
                <w:b/>
                <w:bCs/>
                <w:color w:val="FFFFFF"/>
                <w:sz w:val="28"/>
                <w:szCs w:val="28"/>
              </w:rPr>
              <w:t xml:space="preserve">4.5</w:t>
            </w:r>
          </w:p>
        </w:tc>
        <w:tc>
          <w:tcPr>
            <w:tcW w:type="dxa" w:w="8760"/>
            <w:tcBorders>
              <w:top w:val="none" w:color="FFFFFF" w:sz="0"/>
              <w:left w:val="none" w:color="FFFFFF" w:sz="0"/>
              <w:bottom w:val="none" w:color="FFFFFF" w:sz="0"/>
              <w:right w:val="none" w:color="FFFFFF" w:sz="0"/>
            </w:tcBorders>
            <w:shd w:fill="D6EAF8" w:val="clear"/>
            <w:tcMar>
              <w:top w:type="dxa" w:w="120"/>
              <w:left w:type="dxa" w:w="200"/>
              <w:bottom w:type="dxa" w:w="120"/>
              <w:right w:type="dxa" w:w="150"/>
            </w:tcMar>
          </w:tcPr>
          <w:p>
            <w:r>
              <w:rPr>
                <w:rFonts w:ascii="Arial" w:cs="Arial" w:eastAsia="Arial" w:hAnsi="Arial"/>
                <w:b/>
                <w:bCs/>
                <w:color w:val="1A5276"/>
                <w:sz w:val="28"/>
                <w:szCs w:val="28"/>
              </w:rPr>
              <w:t xml:space="preserve">Cohort Program Management</w:t>
            </w:r>
          </w:p>
        </w:tc>
      </w:tr>
    </w:tbl>
    <w:p>
      <w:pPr>
        <w:spacing w:before="0" w:after="0"/>
      </w:pPr>
      <w:r>
        <w:rPr>
          <w:sz w:val="20"/>
          <w:szCs w:val="20"/>
        </w:rPr>
        <w:t xml:space="preserve"/>
      </w:r>
    </w:p>
    <w:p>
      <w:pPr>
        <w:pStyle w:val="Heading3"/>
        <w:spacing w:before="200" w:after="80"/>
      </w:pPr>
      <w:r>
        <w:rPr>
          <w:rFonts w:ascii="Arial" w:cs="Arial" w:eastAsia="Arial" w:hAnsi="Arial"/>
          <w:b/>
          <w:bCs/>
          <w:color w:val="1ABC9C"/>
          <w:sz w:val="24"/>
          <w:szCs w:val="24"/>
        </w:rPr>
        <w:t xml:space="preserve">Overview</w:t>
      </w:r>
    </w:p>
    <w:p>
      <w:pPr>
        <w:spacing w:before="80" w:after="80"/>
      </w:pPr>
      <w:r>
        <w:rPr>
          <w:rFonts w:ascii="Arial" w:cs="Arial" w:eastAsia="Arial" w:hAnsi="Arial"/>
          <w:color w:val="1C2833"/>
          <w:sz w:val="22"/>
          <w:szCs w:val="22"/>
        </w:rPr>
        <w:t xml:space="preserve">Cohort-based learning groups learners into batches that progress through a program together. This model fosters peer accountability, live interaction, and community — leading to significantly higher completion rates than self-paced solo learning. Cohort Program Management tools handle enrollment, batch operations, communication, and progress synchronization across groups.</w:t>
      </w:r>
    </w:p>
    <w:p>
      <w:pPr>
        <w:spacing w:before="0" w:after="0"/>
      </w:pPr>
      <w:r>
        <w:rPr>
          <w:sz w:val="20"/>
          <w:szCs w:val="20"/>
        </w:rPr>
        <w:t xml:space="preserve"/>
      </w:r>
    </w:p>
    <w:p>
      <w:pPr>
        <w:pStyle w:val="Heading3"/>
        <w:spacing w:before="200" w:after="80"/>
      </w:pPr>
      <w:r>
        <w:rPr>
          <w:rFonts w:ascii="Arial" w:cs="Arial" w:eastAsia="Arial" w:hAnsi="Arial"/>
          <w:b/>
          <w:bCs/>
          <w:color w:val="1ABC9C"/>
          <w:sz w:val="24"/>
          <w:szCs w:val="24"/>
        </w:rPr>
        <w:t xml:space="preserve">Market Research &amp; Best Practices</w:t>
      </w:r>
    </w:p>
    <w:p>
      <w:pPr>
        <w:pStyle w:val="ListParagraph"/>
        <w:numPr>
          <w:ilvl w:val="0"/>
          <w:numId w:val="2"/>
        </w:numPr>
        <w:spacing w:before="60" w:after="60"/>
      </w:pPr>
      <w:r>
        <w:rPr>
          <w:rFonts w:ascii="Arial" w:cs="Arial" w:eastAsia="Arial" w:hAnsi="Arial"/>
          <w:b w:val="false"/>
          <w:bCs w:val="false"/>
          <w:color w:val="1C2833"/>
          <w:sz w:val="22"/>
          <w:szCs w:val="22"/>
        </w:rPr>
        <w:t xml:space="preserve">Maven, Cohort.co, and On Deck are purpose-built cohort platforms — demonstrating strong market demand.</w:t>
      </w:r>
    </w:p>
    <w:p>
      <w:pPr>
        <w:pStyle w:val="ListParagraph"/>
        <w:numPr>
          <w:ilvl w:val="0"/>
          <w:numId w:val="2"/>
        </w:numPr>
        <w:spacing w:before="60" w:after="60"/>
      </w:pPr>
      <w:r>
        <w:rPr>
          <w:rFonts w:ascii="Arial" w:cs="Arial" w:eastAsia="Arial" w:hAnsi="Arial"/>
          <w:b w:val="false"/>
          <w:bCs w:val="false"/>
          <w:color w:val="1C2833"/>
          <w:sz w:val="22"/>
          <w:szCs w:val="22"/>
        </w:rPr>
        <w:t xml:space="preserve">Harvard Business Review research shows cohort learners complete at 5x the rate of self-paced learners.</w:t>
      </w:r>
    </w:p>
    <w:p>
      <w:pPr>
        <w:pStyle w:val="ListParagraph"/>
        <w:numPr>
          <w:ilvl w:val="0"/>
          <w:numId w:val="2"/>
        </w:numPr>
        <w:spacing w:before="60" w:after="60"/>
      </w:pPr>
      <w:r>
        <w:rPr>
          <w:rFonts w:ascii="Arial" w:cs="Arial" w:eastAsia="Arial" w:hAnsi="Arial"/>
          <w:b w:val="false"/>
          <w:bCs w:val="false"/>
          <w:color w:val="1C2833"/>
          <w:sz w:val="22"/>
          <w:szCs w:val="22"/>
        </w:rPr>
        <w:t xml:space="preserve">Cohort sizes of 15–30 optimize peer interaction without losing personal attention.</w:t>
      </w:r>
    </w:p>
    <w:p>
      <w:pPr>
        <w:pStyle w:val="ListParagraph"/>
        <w:numPr>
          <w:ilvl w:val="0"/>
          <w:numId w:val="2"/>
        </w:numPr>
        <w:spacing w:before="60" w:after="60"/>
      </w:pPr>
      <w:r>
        <w:rPr>
          <w:rFonts w:ascii="Arial" w:cs="Arial" w:eastAsia="Arial" w:hAnsi="Arial"/>
          <w:b w:val="false"/>
          <w:bCs w:val="false"/>
          <w:color w:val="1C2833"/>
          <w:sz w:val="22"/>
          <w:szCs w:val="22"/>
        </w:rPr>
        <w:t xml:space="preserve">Community features (group chat, peer feedback, accountability pairs) are non-negotiable for cohort success.</w:t>
      </w:r>
    </w:p>
    <w:p>
      <w:pPr>
        <w:spacing w:before="0" w:after="0"/>
      </w:pPr>
      <w:r>
        <w:rPr>
          <w:sz w:val="20"/>
          <w:szCs w:val="20"/>
        </w:rPr>
        <w:t xml:space="preserve"/>
      </w:r>
    </w:p>
    <w:p>
      <w:pPr>
        <w:pStyle w:val="Heading3"/>
        <w:spacing w:before="200" w:after="80"/>
      </w:pPr>
      <w:r>
        <w:rPr>
          <w:rFonts w:ascii="Arial" w:cs="Arial" w:eastAsia="Arial" w:hAnsi="Arial"/>
          <w:b/>
          <w:bCs/>
          <w:color w:val="1ABC9C"/>
          <w:sz w:val="24"/>
          <w:szCs w:val="24"/>
        </w:rPr>
        <w:t xml:space="preserve">Feature Design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D5D8DC" w:sz="1"/>
              <w:left w:val="single" w:color="D5D8DC" w:sz="1"/>
              <w:bottom w:val="single" w:color="D5D8DC" w:sz="1"/>
              <w:right w:val="single" w:color="D5D8DC" w:sz="1"/>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Sub-Feature</w:t>
            </w:r>
          </w:p>
        </w:tc>
        <w:tc>
          <w:tcPr>
            <w:tcW w:type="dxa" w:w="3560"/>
            <w:tcBorders>
              <w:top w:val="single" w:color="D5D8DC" w:sz="1"/>
              <w:left w:val="single" w:color="D5D8DC" w:sz="1"/>
              <w:bottom w:val="single" w:color="D5D8DC" w:sz="1"/>
              <w:right w:val="single" w:color="D5D8DC" w:sz="1"/>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3000"/>
            <w:tcBorders>
              <w:top w:val="single" w:color="D5D8DC" w:sz="1"/>
              <w:left w:val="single" w:color="D5D8DC" w:sz="1"/>
              <w:bottom w:val="single" w:color="D5D8DC" w:sz="1"/>
              <w:right w:val="single" w:color="D5D8DC" w:sz="1"/>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Key Capability</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2E86C1"/>
                <w:sz w:val="20"/>
                <w:szCs w:val="20"/>
              </w:rPr>
              <w:t xml:space="preserve">Cohort Creation &amp; Batching</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Create named cohorts with start/end dates and capacity limits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Auto-assign learners, waitlist management</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2E86C1"/>
                <w:sz w:val="20"/>
                <w:szCs w:val="20"/>
              </w:rPr>
              <w:t xml:space="preserve">Cohort Dashboard</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Unified view of all cohort members, progress, engagement</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Risk flags for disengaged learners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2E86C1"/>
                <w:sz w:val="20"/>
                <w:szCs w:val="20"/>
              </w:rPr>
              <w:t xml:space="preserve">Group Communication</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Cohort-level announcements, chat channels, discussion forums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Push/email notifications</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2E86C1"/>
                <w:sz w:val="20"/>
                <w:szCs w:val="20"/>
              </w:rPr>
              <w:t xml:space="preserve">Synchronized Pacing</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Lock/unlock content for all cohort members simultaneously</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Trainer-controlled content release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2E86C1"/>
                <w:sz w:val="20"/>
                <w:szCs w:val="20"/>
              </w:rPr>
              <w:t xml:space="preserve">Peer Accountability Features</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Accountability pairs, peer check-ins, leaderboards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Weekly progress nudges</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2E86C1"/>
                <w:sz w:val="20"/>
                <w:szCs w:val="20"/>
              </w:rPr>
              <w:t xml:space="preserve">Cohort Analytics</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Completion rates, engagement scores, drop-off analysis per cohort</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Cohort vs. cohort benchmarking</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5276" w:val="clear"/>
            <w:tcMar>
              <w:top w:type="dxa" w:w="120"/>
              <w:left w:type="dxa" w:w="150"/>
              <w:bottom w:type="dxa" w:w="120"/>
              <w:right w:type="dxa" w:w="150"/>
            </w:tcMar>
            <w:vAlign w:val="center"/>
          </w:tcPr>
          <w:p>
            <w:pPr>
              <w:jc w:val="center"/>
            </w:pPr>
            <w:r>
              <w:rPr>
                <w:rFonts w:ascii="Arial" w:cs="Arial" w:eastAsia="Arial" w:hAnsi="Arial"/>
                <w:b/>
                <w:bCs/>
                <w:color w:val="FFFFFF"/>
                <w:sz w:val="28"/>
                <w:szCs w:val="28"/>
              </w:rPr>
              <w:t xml:space="preserve">4.6</w:t>
            </w:r>
          </w:p>
        </w:tc>
        <w:tc>
          <w:tcPr>
            <w:tcW w:type="dxa" w:w="8760"/>
            <w:tcBorders>
              <w:top w:val="none" w:color="FFFFFF" w:sz="0"/>
              <w:left w:val="none" w:color="FFFFFF" w:sz="0"/>
              <w:bottom w:val="none" w:color="FFFFFF" w:sz="0"/>
              <w:right w:val="none" w:color="FFFFFF" w:sz="0"/>
            </w:tcBorders>
            <w:shd w:fill="D6EAF8" w:val="clear"/>
            <w:tcMar>
              <w:top w:type="dxa" w:w="120"/>
              <w:left w:type="dxa" w:w="200"/>
              <w:bottom w:type="dxa" w:w="120"/>
              <w:right w:type="dxa" w:w="150"/>
            </w:tcMar>
          </w:tcPr>
          <w:p>
            <w:r>
              <w:rPr>
                <w:rFonts w:ascii="Arial" w:cs="Arial" w:eastAsia="Arial" w:hAnsi="Arial"/>
                <w:b/>
                <w:bCs/>
                <w:color w:val="1A5276"/>
                <w:sz w:val="28"/>
                <w:szCs w:val="28"/>
              </w:rPr>
              <w:t xml:space="preserve">Curriculum Design System</w:t>
            </w:r>
          </w:p>
        </w:tc>
      </w:tr>
    </w:tbl>
    <w:p>
      <w:pPr>
        <w:spacing w:before="0" w:after="0"/>
      </w:pPr>
      <w:r>
        <w:rPr>
          <w:sz w:val="20"/>
          <w:szCs w:val="20"/>
        </w:rPr>
        <w:t xml:space="preserve"/>
      </w:r>
    </w:p>
    <w:p>
      <w:pPr>
        <w:pStyle w:val="Heading3"/>
        <w:spacing w:before="200" w:after="80"/>
      </w:pPr>
      <w:r>
        <w:rPr>
          <w:rFonts w:ascii="Arial" w:cs="Arial" w:eastAsia="Arial" w:hAnsi="Arial"/>
          <w:b/>
          <w:bCs/>
          <w:color w:val="1ABC9C"/>
          <w:sz w:val="24"/>
          <w:szCs w:val="24"/>
        </w:rPr>
        <w:t xml:space="preserve">Overview</w:t>
      </w:r>
    </w:p>
    <w:p>
      <w:pPr>
        <w:spacing w:before="80" w:after="80"/>
      </w:pPr>
      <w:r>
        <w:rPr>
          <w:rFonts w:ascii="Arial" w:cs="Arial" w:eastAsia="Arial" w:hAnsi="Arial"/>
          <w:color w:val="1C2833"/>
          <w:sz w:val="22"/>
          <w:szCs w:val="22"/>
        </w:rPr>
        <w:t xml:space="preserve">The Curriculum Design System is the strategic backbone of training. It enables instructional designers and subject matter experts to map learning outcomes to competencies, sequence content pedagogically, and align training to industry standards or certification frameworks (NSQF, NEP 2020, NICE, etc.). This feature separates a professional EdTech platform from a simple content repository.</w:t>
      </w:r>
    </w:p>
    <w:p>
      <w:pPr>
        <w:spacing w:before="0" w:after="0"/>
      </w:pPr>
      <w:r>
        <w:rPr>
          <w:sz w:val="20"/>
          <w:szCs w:val="20"/>
        </w:rPr>
        <w:t xml:space="preserve"/>
      </w:r>
    </w:p>
    <w:p>
      <w:pPr>
        <w:pStyle w:val="Heading3"/>
        <w:spacing w:before="200" w:after="80"/>
      </w:pPr>
      <w:r>
        <w:rPr>
          <w:rFonts w:ascii="Arial" w:cs="Arial" w:eastAsia="Arial" w:hAnsi="Arial"/>
          <w:b/>
          <w:bCs/>
          <w:color w:val="1ABC9C"/>
          <w:sz w:val="24"/>
          <w:szCs w:val="24"/>
        </w:rPr>
        <w:t xml:space="preserve">Market Research &amp; Best Practices</w:t>
      </w:r>
    </w:p>
    <w:p>
      <w:pPr>
        <w:pStyle w:val="ListParagraph"/>
        <w:numPr>
          <w:ilvl w:val="0"/>
          <w:numId w:val="2"/>
        </w:numPr>
        <w:spacing w:before="60" w:after="60"/>
      </w:pPr>
      <w:r>
        <w:rPr>
          <w:rFonts w:ascii="Arial" w:cs="Arial" w:eastAsia="Arial" w:hAnsi="Arial"/>
          <w:b w:val="false"/>
          <w:bCs w:val="false"/>
          <w:color w:val="1C2833"/>
          <w:sz w:val="22"/>
          <w:szCs w:val="22"/>
        </w:rPr>
        <w:t xml:space="preserve">Instructional design frameworks (ADDIE, SAM, Bloom's Taxonomy) should be embedded as guided workflows.</w:t>
      </w:r>
    </w:p>
    <w:p>
      <w:pPr>
        <w:pStyle w:val="ListParagraph"/>
        <w:numPr>
          <w:ilvl w:val="0"/>
          <w:numId w:val="2"/>
        </w:numPr>
        <w:spacing w:before="60" w:after="60"/>
      </w:pPr>
      <w:r>
        <w:rPr>
          <w:rFonts w:ascii="Arial" w:cs="Arial" w:eastAsia="Arial" w:hAnsi="Arial"/>
          <w:b w:val="false"/>
          <w:bCs w:val="false"/>
          <w:color w:val="1C2833"/>
          <w:sz w:val="22"/>
          <w:szCs w:val="22"/>
        </w:rPr>
        <w:t xml:space="preserve">Outcome-based curriculum design (OBE) is mandated by AICTE and UGC in India — platform must support this natively.</w:t>
      </w:r>
    </w:p>
    <w:p>
      <w:pPr>
        <w:pStyle w:val="ListParagraph"/>
        <w:numPr>
          <w:ilvl w:val="0"/>
          <w:numId w:val="2"/>
        </w:numPr>
        <w:spacing w:before="60" w:after="60"/>
      </w:pPr>
      <w:r>
        <w:rPr>
          <w:rFonts w:ascii="Arial" w:cs="Arial" w:eastAsia="Arial" w:hAnsi="Arial"/>
          <w:b w:val="false"/>
          <w:bCs w:val="false"/>
          <w:color w:val="1C2833"/>
          <w:sz w:val="22"/>
          <w:szCs w:val="22"/>
        </w:rPr>
        <w:t xml:space="preserve">Competency mapping to job roles (using O*NET, NICE, NASSCOM frameworks) increases employability outcomes.</w:t>
      </w:r>
    </w:p>
    <w:p>
      <w:pPr>
        <w:pStyle w:val="ListParagraph"/>
        <w:numPr>
          <w:ilvl w:val="0"/>
          <w:numId w:val="2"/>
        </w:numPr>
        <w:spacing w:before="60" w:after="60"/>
      </w:pPr>
      <w:r>
        <w:rPr>
          <w:rFonts w:ascii="Arial" w:cs="Arial" w:eastAsia="Arial" w:hAnsi="Arial"/>
          <w:b w:val="false"/>
          <w:bCs w:val="false"/>
          <w:color w:val="1C2833"/>
          <w:sz w:val="22"/>
          <w:szCs w:val="22"/>
        </w:rPr>
        <w:t xml:space="preserve">Version-controlled curriculum prevents accidental content degradation in iterative updates.</w:t>
      </w:r>
    </w:p>
    <w:p>
      <w:pPr>
        <w:spacing w:before="0" w:after="0"/>
      </w:pPr>
      <w:r>
        <w:rPr>
          <w:sz w:val="20"/>
          <w:szCs w:val="20"/>
        </w:rPr>
        <w:t xml:space="preserve"/>
      </w:r>
    </w:p>
    <w:p>
      <w:pPr>
        <w:pStyle w:val="Heading3"/>
        <w:spacing w:before="200" w:after="80"/>
      </w:pPr>
      <w:r>
        <w:rPr>
          <w:rFonts w:ascii="Arial" w:cs="Arial" w:eastAsia="Arial" w:hAnsi="Arial"/>
          <w:b/>
          <w:bCs/>
          <w:color w:val="1ABC9C"/>
          <w:sz w:val="24"/>
          <w:szCs w:val="24"/>
        </w:rPr>
        <w:t xml:space="preserve">Feature Design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D5D8DC" w:sz="1"/>
              <w:left w:val="single" w:color="D5D8DC" w:sz="1"/>
              <w:bottom w:val="single" w:color="D5D8DC" w:sz="1"/>
              <w:right w:val="single" w:color="D5D8DC" w:sz="1"/>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Sub-Feature</w:t>
            </w:r>
          </w:p>
        </w:tc>
        <w:tc>
          <w:tcPr>
            <w:tcW w:type="dxa" w:w="3560"/>
            <w:tcBorders>
              <w:top w:val="single" w:color="D5D8DC" w:sz="1"/>
              <w:left w:val="single" w:color="D5D8DC" w:sz="1"/>
              <w:bottom w:val="single" w:color="D5D8DC" w:sz="1"/>
              <w:right w:val="single" w:color="D5D8DC" w:sz="1"/>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3000"/>
            <w:tcBorders>
              <w:top w:val="single" w:color="D5D8DC" w:sz="1"/>
              <w:left w:val="single" w:color="D5D8DC" w:sz="1"/>
              <w:bottom w:val="single" w:color="D5D8DC" w:sz="1"/>
              <w:right w:val="single" w:color="D5D8DC" w:sz="1"/>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Key Capability</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2E86C1"/>
                <w:sz w:val="20"/>
                <w:szCs w:val="20"/>
              </w:rPr>
              <w:t xml:space="preserve">Outcome-Based Design Tool</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Map every lesson to measurable learning outcomes (LOs)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Bloom's Taxonomy level tagging</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2E86C1"/>
                <w:sz w:val="20"/>
                <w:szCs w:val="20"/>
              </w:rPr>
              <w:t xml:space="preserve">Competency Framework Mapper</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Link curriculum to industry competency frameworks</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NSQF, NICE, NASSCOM integration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2E86C1"/>
                <w:sz w:val="20"/>
                <w:szCs w:val="20"/>
              </w:rPr>
              <w:t xml:space="preserve">Curriculum Version Control</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Track changes to curriculum with rollback capability</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Change log, approval workflow</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2E86C1"/>
                <w:sz w:val="20"/>
                <w:szCs w:val="20"/>
              </w:rPr>
              <w:t xml:space="preserve">Gap Analysis Tool</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Identify missing skills between current and target curriculum</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AI-driven gap suggestions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2E86C1"/>
                <w:sz w:val="20"/>
                <w:szCs w:val="20"/>
              </w:rPr>
              <w:t xml:space="preserve">Standards Compliance Checker</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Validate curriculum against regulatory/accreditation standards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Auto-flag non-compliant content</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2E86C1"/>
                <w:sz w:val="20"/>
                <w:szCs w:val="20"/>
              </w:rPr>
              <w:t xml:space="preserve">Export &amp; Accreditation Package</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Generate printable/submittable curriculum documents</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PDF/Word export for board submissions</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D6EAF8" w:val="clear"/>
            <w:tcMar>
              <w:top w:type="dxa" w:w="120"/>
              <w:left w:type="dxa" w:w="200"/>
              <w:bottom w:type="dxa" w:w="120"/>
              <w:right w:type="dxa" w:w="200"/>
            </w:tcMar>
          </w:tcPr>
          <w:p>
            <w:pPr>
              <w:spacing w:before="40" w:after="40"/>
            </w:pPr>
            <w:r>
              <w:rPr>
                <w:rFonts w:ascii="Arial" w:cs="Arial" w:eastAsia="Arial" w:hAnsi="Arial"/>
                <w:b/>
                <w:bCs/>
                <w:color w:val="1A5276"/>
                <w:sz w:val="22"/>
                <w:szCs w:val="22"/>
              </w:rPr>
              <w:t xml:space="preserve">Key Insight</w:t>
            </w:r>
          </w:p>
          <w:p>
            <w:pPr>
              <w:spacing w:before="40" w:after="40"/>
            </w:pPr>
            <w:r>
              <w:rPr>
                <w:rFonts w:ascii="Arial" w:cs="Arial" w:eastAsia="Arial" w:hAnsi="Arial"/>
                <w:color w:val="1C2833"/>
                <w:sz w:val="21"/>
                <w:szCs w:val="21"/>
              </w:rPr>
              <w:t xml:space="preserve">For Indian institutes (AICTE, university-affiliated), the Curriculum Design System must support Outcome-Based Education (OBE) natively, with CO (Course Outcome) and PO (Program Outcome) mapping, as this is required for NAAC/NBA accreditation.</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5276" w:val="clear"/>
            <w:tcMar>
              <w:top w:type="dxa" w:w="120"/>
              <w:left w:type="dxa" w:w="150"/>
              <w:bottom w:type="dxa" w:w="120"/>
              <w:right w:type="dxa" w:w="150"/>
            </w:tcMar>
            <w:vAlign w:val="center"/>
          </w:tcPr>
          <w:p>
            <w:pPr>
              <w:jc w:val="center"/>
            </w:pPr>
            <w:r>
              <w:rPr>
                <w:rFonts w:ascii="Arial" w:cs="Arial" w:eastAsia="Arial" w:hAnsi="Arial"/>
                <w:b/>
                <w:bCs/>
                <w:color w:val="FFFFFF"/>
                <w:sz w:val="28"/>
                <w:szCs w:val="28"/>
              </w:rPr>
              <w:t xml:space="preserve">4.7</w:t>
            </w:r>
          </w:p>
        </w:tc>
        <w:tc>
          <w:tcPr>
            <w:tcW w:type="dxa" w:w="8760"/>
            <w:tcBorders>
              <w:top w:val="none" w:color="FFFFFF" w:sz="0"/>
              <w:left w:val="none" w:color="FFFFFF" w:sz="0"/>
              <w:bottom w:val="none" w:color="FFFFFF" w:sz="0"/>
              <w:right w:val="none" w:color="FFFFFF" w:sz="0"/>
            </w:tcBorders>
            <w:shd w:fill="D6EAF8" w:val="clear"/>
            <w:tcMar>
              <w:top w:type="dxa" w:w="120"/>
              <w:left w:type="dxa" w:w="200"/>
              <w:bottom w:type="dxa" w:w="120"/>
              <w:right w:type="dxa" w:w="150"/>
            </w:tcMar>
          </w:tcPr>
          <w:p>
            <w:r>
              <w:rPr>
                <w:rFonts w:ascii="Arial" w:cs="Arial" w:eastAsia="Arial" w:hAnsi="Arial"/>
                <w:b/>
                <w:bCs/>
                <w:color w:val="1A5276"/>
                <w:sz w:val="28"/>
                <w:szCs w:val="28"/>
              </w:rPr>
              <w:t xml:space="preserve">Skill Module Creation</w:t>
            </w:r>
          </w:p>
        </w:tc>
      </w:tr>
    </w:tbl>
    <w:p>
      <w:pPr>
        <w:spacing w:before="0" w:after="0"/>
      </w:pPr>
      <w:r>
        <w:rPr>
          <w:sz w:val="20"/>
          <w:szCs w:val="20"/>
        </w:rPr>
        <w:t xml:space="preserve"/>
      </w:r>
    </w:p>
    <w:p>
      <w:pPr>
        <w:pStyle w:val="Heading3"/>
        <w:spacing w:before="200" w:after="80"/>
      </w:pPr>
      <w:r>
        <w:rPr>
          <w:rFonts w:ascii="Arial" w:cs="Arial" w:eastAsia="Arial" w:hAnsi="Arial"/>
          <w:b/>
          <w:bCs/>
          <w:color w:val="1ABC9C"/>
          <w:sz w:val="24"/>
          <w:szCs w:val="24"/>
        </w:rPr>
        <w:t xml:space="preserve">Overview</w:t>
      </w:r>
    </w:p>
    <w:p>
      <w:pPr>
        <w:spacing w:before="80" w:after="80"/>
      </w:pPr>
      <w:r>
        <w:rPr>
          <w:rFonts w:ascii="Arial" w:cs="Arial" w:eastAsia="Arial" w:hAnsi="Arial"/>
          <w:color w:val="1C2833"/>
          <w:sz w:val="22"/>
          <w:szCs w:val="22"/>
        </w:rPr>
        <w:t xml:space="preserve">Skill Modules are atomic, reusable learning units focused on a single, specific skill (e.g., 'Writing a SQL JOIN query', 'Conducting a User Interview', 'Calculating EBITDA'). Unlike full courses, skill modules are micro-learning assets that can be assembled into larger programs or delivered standalone as just-in-time learning. They are the LEGO blocks of the platform's content ecosystem.</w:t>
      </w:r>
    </w:p>
    <w:p>
      <w:pPr>
        <w:spacing w:before="0" w:after="0"/>
      </w:pPr>
      <w:r>
        <w:rPr>
          <w:sz w:val="20"/>
          <w:szCs w:val="20"/>
        </w:rPr>
        <w:t xml:space="preserve"/>
      </w:r>
    </w:p>
    <w:p>
      <w:pPr>
        <w:pStyle w:val="Heading3"/>
        <w:spacing w:before="200" w:after="80"/>
      </w:pPr>
      <w:r>
        <w:rPr>
          <w:rFonts w:ascii="Arial" w:cs="Arial" w:eastAsia="Arial" w:hAnsi="Arial"/>
          <w:b/>
          <w:bCs/>
          <w:color w:val="1ABC9C"/>
          <w:sz w:val="24"/>
          <w:szCs w:val="24"/>
        </w:rPr>
        <w:t xml:space="preserve">Market Research &amp; Best Practices</w:t>
      </w:r>
    </w:p>
    <w:p>
      <w:pPr>
        <w:pStyle w:val="ListParagraph"/>
        <w:numPr>
          <w:ilvl w:val="0"/>
          <w:numId w:val="2"/>
        </w:numPr>
        <w:spacing w:before="60" w:after="60"/>
      </w:pPr>
      <w:r>
        <w:rPr>
          <w:rFonts w:ascii="Arial" w:cs="Arial" w:eastAsia="Arial" w:hAnsi="Arial"/>
          <w:b w:val="false"/>
          <w:bCs w:val="false"/>
          <w:color w:val="1C2833"/>
          <w:sz w:val="22"/>
          <w:szCs w:val="22"/>
        </w:rPr>
        <w:t xml:space="preserve">Micro-learning modules (5–15 minutes) have 17% better information retention vs. hour-long sessions (Research in Learning Technology, 2023).</w:t>
      </w:r>
    </w:p>
    <w:p>
      <w:pPr>
        <w:pStyle w:val="ListParagraph"/>
        <w:numPr>
          <w:ilvl w:val="0"/>
          <w:numId w:val="2"/>
        </w:numPr>
        <w:spacing w:before="60" w:after="60"/>
      </w:pPr>
      <w:r>
        <w:rPr>
          <w:rFonts w:ascii="Arial" w:cs="Arial" w:eastAsia="Arial" w:hAnsi="Arial"/>
          <w:b w:val="false"/>
          <w:bCs w:val="false"/>
          <w:color w:val="1C2833"/>
          <w:sz w:val="22"/>
          <w:szCs w:val="22"/>
        </w:rPr>
        <w:t xml:space="preserve">LinkedIn Learning, Pluralsight, and Degreed use modular skill content as their core architecture.</w:t>
      </w:r>
    </w:p>
    <w:p>
      <w:pPr>
        <w:pStyle w:val="ListParagraph"/>
        <w:numPr>
          <w:ilvl w:val="0"/>
          <w:numId w:val="2"/>
        </w:numPr>
        <w:spacing w:before="60" w:after="60"/>
      </w:pPr>
      <w:r>
        <w:rPr>
          <w:rFonts w:ascii="Arial" w:cs="Arial" w:eastAsia="Arial" w:hAnsi="Arial"/>
          <w:b w:val="false"/>
          <w:bCs w:val="false"/>
          <w:color w:val="1C2833"/>
          <w:sz w:val="22"/>
          <w:szCs w:val="22"/>
        </w:rPr>
        <w:t xml:space="preserve">Skill tagging and taxonomy (aligned to ESCO, O*NET) enables intelligent recommendations and skill gap analysis.</w:t>
      </w:r>
    </w:p>
    <w:p>
      <w:pPr>
        <w:pStyle w:val="ListParagraph"/>
        <w:numPr>
          <w:ilvl w:val="0"/>
          <w:numId w:val="2"/>
        </w:numPr>
        <w:spacing w:before="60" w:after="60"/>
      </w:pPr>
      <w:r>
        <w:rPr>
          <w:rFonts w:ascii="Arial" w:cs="Arial" w:eastAsia="Arial" w:hAnsi="Arial"/>
          <w:b w:val="false"/>
          <w:bCs w:val="false"/>
          <w:color w:val="1C2833"/>
          <w:sz w:val="22"/>
          <w:szCs w:val="22"/>
        </w:rPr>
        <w:t xml:space="preserve">SCORM/xAPI-compatible modules allow cross-platform portability and LRS (Learning Record Store) integration.</w:t>
      </w:r>
    </w:p>
    <w:p>
      <w:pPr>
        <w:spacing w:before="0" w:after="0"/>
      </w:pPr>
      <w:r>
        <w:rPr>
          <w:sz w:val="20"/>
          <w:szCs w:val="20"/>
        </w:rPr>
        <w:t xml:space="preserve"/>
      </w:r>
    </w:p>
    <w:p>
      <w:pPr>
        <w:pStyle w:val="Heading3"/>
        <w:spacing w:before="200" w:after="80"/>
      </w:pPr>
      <w:r>
        <w:rPr>
          <w:rFonts w:ascii="Arial" w:cs="Arial" w:eastAsia="Arial" w:hAnsi="Arial"/>
          <w:b/>
          <w:bCs/>
          <w:color w:val="1ABC9C"/>
          <w:sz w:val="24"/>
          <w:szCs w:val="24"/>
        </w:rPr>
        <w:t xml:space="preserve">Feature Design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D5D8DC" w:sz="1"/>
              <w:left w:val="single" w:color="D5D8DC" w:sz="1"/>
              <w:bottom w:val="single" w:color="D5D8DC" w:sz="1"/>
              <w:right w:val="single" w:color="D5D8DC" w:sz="1"/>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Sub-Feature</w:t>
            </w:r>
          </w:p>
        </w:tc>
        <w:tc>
          <w:tcPr>
            <w:tcW w:type="dxa" w:w="3560"/>
            <w:tcBorders>
              <w:top w:val="single" w:color="D5D8DC" w:sz="1"/>
              <w:left w:val="single" w:color="D5D8DC" w:sz="1"/>
              <w:bottom w:val="single" w:color="D5D8DC" w:sz="1"/>
              <w:right w:val="single" w:color="D5D8DC" w:sz="1"/>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3000"/>
            <w:tcBorders>
              <w:top w:val="single" w:color="D5D8DC" w:sz="1"/>
              <w:left w:val="single" w:color="D5D8DC" w:sz="1"/>
              <w:bottom w:val="single" w:color="D5D8DC" w:sz="1"/>
              <w:right w:val="single" w:color="D5D8DC" w:sz="1"/>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Key Capability</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2E86C1"/>
                <w:sz w:val="20"/>
                <w:szCs w:val="20"/>
              </w:rPr>
              <w:t xml:space="preserve">Module Builder</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Create standalone skill-focused micro-content units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Text, video, quiz, simulation</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2E86C1"/>
                <w:sz w:val="20"/>
                <w:szCs w:val="20"/>
              </w:rPr>
              <w:t xml:space="preserve">Skill Tag System</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Tag each module with standardized skill taxonomy labels</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ESCO/O*NET/custom taxonomy</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2E86C1"/>
                <w:sz w:val="20"/>
                <w:szCs w:val="20"/>
              </w:rPr>
              <w:t xml:space="preserve">Module Reusability</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Use same module across multiple courses/programs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Instance tracking, usage analytics</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2E86C1"/>
                <w:sz w:val="20"/>
                <w:szCs w:val="20"/>
              </w:rPr>
              <w:t xml:space="preserve">Difficulty Level Setter</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Mark modules as Beginner / Intermediate / Advanced</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Adaptive sequencing based on level</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2E86C1"/>
                <w:sz w:val="20"/>
                <w:szCs w:val="20"/>
              </w:rPr>
              <w:t xml:space="preserve">SCORM/xAPI Export</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Package modules for external LMS compatibility</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Tin Can API, AICC compliance</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2E86C1"/>
                <w:sz w:val="20"/>
                <w:szCs w:val="20"/>
              </w:rPr>
              <w:t xml:space="preserve">AI Skill Recommender</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Suggest relevant modules based on learner skill gaps</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Personalized learning nudges</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5276" w:val="clear"/>
            <w:tcMar>
              <w:top w:type="dxa" w:w="120"/>
              <w:left w:type="dxa" w:w="150"/>
              <w:bottom w:type="dxa" w:w="120"/>
              <w:right w:type="dxa" w:w="150"/>
            </w:tcMar>
            <w:vAlign w:val="center"/>
          </w:tcPr>
          <w:p>
            <w:pPr>
              <w:jc w:val="center"/>
            </w:pPr>
            <w:r>
              <w:rPr>
                <w:rFonts w:ascii="Arial" w:cs="Arial" w:eastAsia="Arial" w:hAnsi="Arial"/>
                <w:b/>
                <w:bCs/>
                <w:color w:val="FFFFFF"/>
                <w:sz w:val="28"/>
                <w:szCs w:val="28"/>
              </w:rPr>
              <w:t xml:space="preserve">4.8</w:t>
            </w:r>
          </w:p>
        </w:tc>
        <w:tc>
          <w:tcPr>
            <w:tcW w:type="dxa" w:w="8760"/>
            <w:tcBorders>
              <w:top w:val="none" w:color="FFFFFF" w:sz="0"/>
              <w:left w:val="none" w:color="FFFFFF" w:sz="0"/>
              <w:bottom w:val="none" w:color="FFFFFF" w:sz="0"/>
              <w:right w:val="none" w:color="FFFFFF" w:sz="0"/>
            </w:tcBorders>
            <w:shd w:fill="D6EAF8" w:val="clear"/>
            <w:tcMar>
              <w:top w:type="dxa" w:w="120"/>
              <w:left w:type="dxa" w:w="200"/>
              <w:bottom w:type="dxa" w:w="120"/>
              <w:right w:type="dxa" w:w="150"/>
            </w:tcMar>
          </w:tcPr>
          <w:p>
            <w:r>
              <w:rPr>
                <w:rFonts w:ascii="Arial" w:cs="Arial" w:eastAsia="Arial" w:hAnsi="Arial"/>
                <w:b/>
                <w:bCs/>
                <w:color w:val="1A5276"/>
                <w:sz w:val="28"/>
                <w:szCs w:val="28"/>
              </w:rPr>
              <w:t xml:space="preserve">Training Schedule Builder</w:t>
            </w:r>
          </w:p>
        </w:tc>
      </w:tr>
    </w:tbl>
    <w:p>
      <w:pPr>
        <w:spacing w:before="0" w:after="0"/>
      </w:pPr>
      <w:r>
        <w:rPr>
          <w:sz w:val="20"/>
          <w:szCs w:val="20"/>
        </w:rPr>
        <w:t xml:space="preserve"/>
      </w:r>
    </w:p>
    <w:p>
      <w:pPr>
        <w:pStyle w:val="Heading3"/>
        <w:spacing w:before="200" w:after="80"/>
      </w:pPr>
      <w:r>
        <w:rPr>
          <w:rFonts w:ascii="Arial" w:cs="Arial" w:eastAsia="Arial" w:hAnsi="Arial"/>
          <w:b/>
          <w:bCs/>
          <w:color w:val="1ABC9C"/>
          <w:sz w:val="24"/>
          <w:szCs w:val="24"/>
        </w:rPr>
        <w:t xml:space="preserve">Overview</w:t>
      </w:r>
    </w:p>
    <w:p>
      <w:pPr>
        <w:spacing w:before="80" w:after="80"/>
      </w:pPr>
      <w:r>
        <w:rPr>
          <w:rFonts w:ascii="Arial" w:cs="Arial" w:eastAsia="Arial" w:hAnsi="Arial"/>
          <w:color w:val="1C2833"/>
          <w:sz w:val="22"/>
          <w:szCs w:val="22"/>
        </w:rPr>
        <w:t xml:space="preserve">A Training Schedule Builder is the operational layer that converts a training program design into a concrete, time-bound calendar of events. It manages session dates, trainer availability, room/resource allocation (for in-person), timezone handling (for global cohorts), and automated learner notifications. For institutes and corporates running multiple programs simultaneously, this is mission-critical infrastructure.</w:t>
      </w:r>
    </w:p>
    <w:p>
      <w:pPr>
        <w:spacing w:before="0" w:after="0"/>
      </w:pPr>
      <w:r>
        <w:rPr>
          <w:sz w:val="20"/>
          <w:szCs w:val="20"/>
        </w:rPr>
        <w:t xml:space="preserve"/>
      </w:r>
    </w:p>
    <w:p>
      <w:pPr>
        <w:pStyle w:val="Heading3"/>
        <w:spacing w:before="200" w:after="80"/>
      </w:pPr>
      <w:r>
        <w:rPr>
          <w:rFonts w:ascii="Arial" w:cs="Arial" w:eastAsia="Arial" w:hAnsi="Arial"/>
          <w:b/>
          <w:bCs/>
          <w:color w:val="1ABC9C"/>
          <w:sz w:val="24"/>
          <w:szCs w:val="24"/>
        </w:rPr>
        <w:t xml:space="preserve">Market Research &amp; Best Practices</w:t>
      </w:r>
    </w:p>
    <w:p>
      <w:pPr>
        <w:pStyle w:val="ListParagraph"/>
        <w:numPr>
          <w:ilvl w:val="0"/>
          <w:numId w:val="2"/>
        </w:numPr>
        <w:spacing w:before="60" w:after="60"/>
      </w:pPr>
      <w:r>
        <w:rPr>
          <w:rFonts w:ascii="Arial" w:cs="Arial" w:eastAsia="Arial" w:hAnsi="Arial"/>
          <w:b w:val="false"/>
          <w:bCs w:val="false"/>
          <w:color w:val="1C2833"/>
          <w:sz w:val="22"/>
          <w:szCs w:val="22"/>
        </w:rPr>
        <w:t xml:space="preserve">Poorly scheduled training leads to 30–45% no-show rates; automated reminders reduce this by up to 60%.</w:t>
      </w:r>
    </w:p>
    <w:p>
      <w:pPr>
        <w:pStyle w:val="ListParagraph"/>
        <w:numPr>
          <w:ilvl w:val="0"/>
          <w:numId w:val="2"/>
        </w:numPr>
        <w:spacing w:before="60" w:after="60"/>
      </w:pPr>
      <w:r>
        <w:rPr>
          <w:rFonts w:ascii="Arial" w:cs="Arial" w:eastAsia="Arial" w:hAnsi="Arial"/>
          <w:b w:val="false"/>
          <w:bCs w:val="false"/>
          <w:color w:val="1C2833"/>
          <w:sz w:val="22"/>
          <w:szCs w:val="22"/>
        </w:rPr>
        <w:t xml:space="preserve">Google Calendar, Outlook, and iCal integration is expected by enterprise users.</w:t>
      </w:r>
    </w:p>
    <w:p>
      <w:pPr>
        <w:pStyle w:val="ListParagraph"/>
        <w:numPr>
          <w:ilvl w:val="0"/>
          <w:numId w:val="2"/>
        </w:numPr>
        <w:spacing w:before="60" w:after="60"/>
      </w:pPr>
      <w:r>
        <w:rPr>
          <w:rFonts w:ascii="Arial" w:cs="Arial" w:eastAsia="Arial" w:hAnsi="Arial"/>
          <w:b w:val="false"/>
          <w:bCs w:val="false"/>
          <w:color w:val="1C2833"/>
          <w:sz w:val="22"/>
          <w:szCs w:val="22"/>
        </w:rPr>
        <w:t xml:space="preserve">Timezone-aware scheduling is non-negotiable for platforms serving global or pan-India audiences.</w:t>
      </w:r>
    </w:p>
    <w:p>
      <w:pPr>
        <w:pStyle w:val="ListParagraph"/>
        <w:numPr>
          <w:ilvl w:val="0"/>
          <w:numId w:val="2"/>
        </w:numPr>
        <w:spacing w:before="60" w:after="60"/>
      </w:pPr>
      <w:r>
        <w:rPr>
          <w:rFonts w:ascii="Arial" w:cs="Arial" w:eastAsia="Arial" w:hAnsi="Arial"/>
          <w:b w:val="false"/>
          <w:bCs w:val="false"/>
          <w:color w:val="1C2833"/>
          <w:sz w:val="22"/>
          <w:szCs w:val="22"/>
        </w:rPr>
        <w:t xml:space="preserve">Trainer/resource conflict detection prevents double-booking and operational errors.</w:t>
      </w:r>
    </w:p>
    <w:p>
      <w:pPr>
        <w:spacing w:before="0" w:after="0"/>
      </w:pPr>
      <w:r>
        <w:rPr>
          <w:sz w:val="20"/>
          <w:szCs w:val="20"/>
        </w:rPr>
        <w:t xml:space="preserve"/>
      </w:r>
    </w:p>
    <w:p>
      <w:pPr>
        <w:pStyle w:val="Heading3"/>
        <w:spacing w:before="200" w:after="80"/>
      </w:pPr>
      <w:r>
        <w:rPr>
          <w:rFonts w:ascii="Arial" w:cs="Arial" w:eastAsia="Arial" w:hAnsi="Arial"/>
          <w:b/>
          <w:bCs/>
          <w:color w:val="1ABC9C"/>
          <w:sz w:val="24"/>
          <w:szCs w:val="24"/>
        </w:rPr>
        <w:t xml:space="preserve">Feature Design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D5D8DC" w:sz="1"/>
              <w:left w:val="single" w:color="D5D8DC" w:sz="1"/>
              <w:bottom w:val="single" w:color="D5D8DC" w:sz="1"/>
              <w:right w:val="single" w:color="D5D8DC" w:sz="1"/>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Sub-Feature</w:t>
            </w:r>
          </w:p>
        </w:tc>
        <w:tc>
          <w:tcPr>
            <w:tcW w:type="dxa" w:w="3560"/>
            <w:tcBorders>
              <w:top w:val="single" w:color="D5D8DC" w:sz="1"/>
              <w:left w:val="single" w:color="D5D8DC" w:sz="1"/>
              <w:bottom w:val="single" w:color="D5D8DC" w:sz="1"/>
              <w:right w:val="single" w:color="D5D8DC" w:sz="1"/>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3000"/>
            <w:tcBorders>
              <w:top w:val="single" w:color="D5D8DC" w:sz="1"/>
              <w:left w:val="single" w:color="D5D8DC" w:sz="1"/>
              <w:bottom w:val="single" w:color="D5D8DC" w:sz="1"/>
              <w:right w:val="single" w:color="D5D8DC" w:sz="1"/>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Key Capability</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2E86C1"/>
                <w:sz w:val="20"/>
                <w:szCs w:val="20"/>
              </w:rPr>
              <w:t xml:space="preserve">Drag-and-Drop Calendar Builder</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Place sessions, workshops, and deadlines on a visual calendar</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Week/month/agenda views</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2E86C1"/>
                <w:sz w:val="20"/>
                <w:szCs w:val="20"/>
              </w:rPr>
              <w:t xml:space="preserve">Trainer Availability Manager</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Set trainer availability windows, block-out dates</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Auto-suggest available slots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2E86C1"/>
                <w:sz w:val="20"/>
                <w:szCs w:val="20"/>
              </w:rPr>
              <w:t xml:space="preserve">Resource &amp; Room Booking</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Reserve physical rooms or virtual meeting links per session</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Conflict detection, capacity check</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2E86C1"/>
                <w:sz w:val="20"/>
                <w:szCs w:val="20"/>
              </w:rPr>
              <w:t xml:space="preserve">Timezone Management</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Auto-convert all session times to learner's local timezone</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DST handling, timezone selector</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2E86C1"/>
                <w:sz w:val="20"/>
                <w:szCs w:val="20"/>
              </w:rPr>
              <w:t xml:space="preserve">Automated Reminders</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Email/SMS/push reminders at 24hr, 1hr, 15min before sessions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Customizable reminder templates</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2E86C1"/>
                <w:sz w:val="20"/>
                <w:szCs w:val="20"/>
              </w:rPr>
              <w:t xml:space="preserve">Calendar Export &amp; Sync</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Export to Google Calendar, Outlook, iCal with live sync</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Two-way sync for updates</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5276" w:val="clear"/>
            <w:tcMar>
              <w:top w:type="dxa" w:w="120"/>
              <w:left w:type="dxa" w:w="150"/>
              <w:bottom w:type="dxa" w:w="120"/>
              <w:right w:type="dxa" w:w="150"/>
            </w:tcMar>
            <w:vAlign w:val="center"/>
          </w:tcPr>
          <w:p>
            <w:pPr>
              <w:jc w:val="center"/>
            </w:pPr>
            <w:r>
              <w:rPr>
                <w:rFonts w:ascii="Arial" w:cs="Arial" w:eastAsia="Arial" w:hAnsi="Arial"/>
                <w:b/>
                <w:bCs/>
                <w:color w:val="FFFFFF"/>
                <w:sz w:val="28"/>
                <w:szCs w:val="28"/>
              </w:rPr>
              <w:t xml:space="preserve">4.9</w:t>
            </w:r>
          </w:p>
        </w:tc>
        <w:tc>
          <w:tcPr>
            <w:tcW w:type="dxa" w:w="8760"/>
            <w:tcBorders>
              <w:top w:val="none" w:color="FFFFFF" w:sz="0"/>
              <w:left w:val="none" w:color="FFFFFF" w:sz="0"/>
              <w:bottom w:val="none" w:color="FFFFFF" w:sz="0"/>
              <w:right w:val="none" w:color="FFFFFF" w:sz="0"/>
            </w:tcBorders>
            <w:shd w:fill="D6EAF8" w:val="clear"/>
            <w:tcMar>
              <w:top w:type="dxa" w:w="120"/>
              <w:left w:type="dxa" w:w="200"/>
              <w:bottom w:type="dxa" w:w="120"/>
              <w:right w:type="dxa" w:w="150"/>
            </w:tcMar>
          </w:tcPr>
          <w:p>
            <w:r>
              <w:rPr>
                <w:rFonts w:ascii="Arial" w:cs="Arial" w:eastAsia="Arial" w:hAnsi="Arial"/>
                <w:b/>
                <w:bCs/>
                <w:color w:val="1A5276"/>
                <w:sz w:val="28"/>
                <w:szCs w:val="28"/>
              </w:rPr>
              <w:t xml:space="preserve">Learning Path Creation</w:t>
            </w:r>
          </w:p>
        </w:tc>
      </w:tr>
    </w:tbl>
    <w:p>
      <w:pPr>
        <w:spacing w:before="0" w:after="0"/>
      </w:pPr>
      <w:r>
        <w:rPr>
          <w:sz w:val="20"/>
          <w:szCs w:val="20"/>
        </w:rPr>
        <w:t xml:space="preserve"/>
      </w:r>
    </w:p>
    <w:p>
      <w:pPr>
        <w:pStyle w:val="Heading3"/>
        <w:spacing w:before="200" w:after="80"/>
      </w:pPr>
      <w:r>
        <w:rPr>
          <w:rFonts w:ascii="Arial" w:cs="Arial" w:eastAsia="Arial" w:hAnsi="Arial"/>
          <w:b/>
          <w:bCs/>
          <w:color w:val="1ABC9C"/>
          <w:sz w:val="24"/>
          <w:szCs w:val="24"/>
        </w:rPr>
        <w:t xml:space="preserve">Overview</w:t>
      </w:r>
    </w:p>
    <w:p>
      <w:pPr>
        <w:spacing w:before="80" w:after="80"/>
      </w:pPr>
      <w:r>
        <w:rPr>
          <w:rFonts w:ascii="Arial" w:cs="Arial" w:eastAsia="Arial" w:hAnsi="Arial"/>
          <w:color w:val="1C2833"/>
          <w:sz w:val="22"/>
          <w:szCs w:val="22"/>
        </w:rPr>
        <w:t xml:space="preserve">Learning Paths are personalized or predefined sequences of learning content that guide a learner from their current skill level to a target proficiency or job role. Unlike static programs, learning paths can be adaptive — dynamically adjusting based on assessment results, prior learning recognition, and learning speed. This feature is central to personalized learning at scale.</w:t>
      </w:r>
    </w:p>
    <w:p>
      <w:pPr>
        <w:spacing w:before="0" w:after="0"/>
      </w:pPr>
      <w:r>
        <w:rPr>
          <w:sz w:val="20"/>
          <w:szCs w:val="20"/>
        </w:rPr>
        <w:t xml:space="preserve"/>
      </w:r>
    </w:p>
    <w:p>
      <w:pPr>
        <w:pStyle w:val="Heading3"/>
        <w:spacing w:before="200" w:after="80"/>
      </w:pPr>
      <w:r>
        <w:rPr>
          <w:rFonts w:ascii="Arial" w:cs="Arial" w:eastAsia="Arial" w:hAnsi="Arial"/>
          <w:b/>
          <w:bCs/>
          <w:color w:val="1ABC9C"/>
          <w:sz w:val="24"/>
          <w:szCs w:val="24"/>
        </w:rPr>
        <w:t xml:space="preserve">Market Research &amp; Best Practices</w:t>
      </w:r>
    </w:p>
    <w:p>
      <w:pPr>
        <w:pStyle w:val="ListParagraph"/>
        <w:numPr>
          <w:ilvl w:val="0"/>
          <w:numId w:val="2"/>
        </w:numPr>
        <w:spacing w:before="60" w:after="60"/>
      </w:pPr>
      <w:r>
        <w:rPr>
          <w:rFonts w:ascii="Arial" w:cs="Arial" w:eastAsia="Arial" w:hAnsi="Arial"/>
          <w:b w:val="false"/>
          <w:bCs w:val="false"/>
          <w:color w:val="1C2833"/>
          <w:sz w:val="22"/>
          <w:szCs w:val="22"/>
        </w:rPr>
        <w:t xml:space="preserve">Personalized learning paths increase learner satisfaction scores by 45% and completion rates by 35% (McKinsey, 2023).</w:t>
      </w:r>
    </w:p>
    <w:p>
      <w:pPr>
        <w:pStyle w:val="ListParagraph"/>
        <w:numPr>
          <w:ilvl w:val="0"/>
          <w:numId w:val="2"/>
        </w:numPr>
        <w:spacing w:before="60" w:after="60"/>
      </w:pPr>
      <w:r>
        <w:rPr>
          <w:rFonts w:ascii="Arial" w:cs="Arial" w:eastAsia="Arial" w:hAnsi="Arial"/>
          <w:b w:val="false"/>
          <w:bCs w:val="false"/>
          <w:color w:val="1C2833"/>
          <w:sz w:val="22"/>
          <w:szCs w:val="22"/>
        </w:rPr>
        <w:t xml:space="preserve">Role-based learning paths (e.g., 'Path to Full Stack Developer', 'Path to Data Analyst') are the top-requested feature by corporate L&amp;D teams.</w:t>
      </w:r>
    </w:p>
    <w:p>
      <w:pPr>
        <w:pStyle w:val="ListParagraph"/>
        <w:numPr>
          <w:ilvl w:val="0"/>
          <w:numId w:val="2"/>
        </w:numPr>
        <w:spacing w:before="60" w:after="60"/>
      </w:pPr>
      <w:r>
        <w:rPr>
          <w:rFonts w:ascii="Arial" w:cs="Arial" w:eastAsia="Arial" w:hAnsi="Arial"/>
          <w:b w:val="false"/>
          <w:bCs w:val="false"/>
          <w:color w:val="1C2833"/>
          <w:sz w:val="22"/>
          <w:szCs w:val="22"/>
        </w:rPr>
        <w:t xml:space="preserve">Adaptive learning engines (used by Knewton, Area9) adjust content difficulty based on real-time performance.</w:t>
      </w:r>
    </w:p>
    <w:p>
      <w:pPr>
        <w:pStyle w:val="ListParagraph"/>
        <w:numPr>
          <w:ilvl w:val="0"/>
          <w:numId w:val="2"/>
        </w:numPr>
        <w:spacing w:before="60" w:after="60"/>
      </w:pPr>
      <w:r>
        <w:rPr>
          <w:rFonts w:ascii="Arial" w:cs="Arial" w:eastAsia="Arial" w:hAnsi="Arial"/>
          <w:b w:val="false"/>
          <w:bCs w:val="false"/>
          <w:color w:val="1C2833"/>
          <w:sz w:val="22"/>
          <w:szCs w:val="22"/>
        </w:rPr>
        <w:t xml:space="preserve">Prior Learning Recognition (PLR) modules allow experienced learners to skip basics via competency assessments.</w:t>
      </w:r>
    </w:p>
    <w:p>
      <w:pPr>
        <w:spacing w:before="0" w:after="0"/>
      </w:pPr>
      <w:r>
        <w:rPr>
          <w:sz w:val="20"/>
          <w:szCs w:val="20"/>
        </w:rPr>
        <w:t xml:space="preserve"/>
      </w:r>
    </w:p>
    <w:p>
      <w:pPr>
        <w:pStyle w:val="Heading3"/>
        <w:spacing w:before="200" w:after="80"/>
      </w:pPr>
      <w:r>
        <w:rPr>
          <w:rFonts w:ascii="Arial" w:cs="Arial" w:eastAsia="Arial" w:hAnsi="Arial"/>
          <w:b/>
          <w:bCs/>
          <w:color w:val="1ABC9C"/>
          <w:sz w:val="24"/>
          <w:szCs w:val="24"/>
        </w:rPr>
        <w:t xml:space="preserve">Feature Design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D5D8DC" w:sz="1"/>
              <w:left w:val="single" w:color="D5D8DC" w:sz="1"/>
              <w:bottom w:val="single" w:color="D5D8DC" w:sz="1"/>
              <w:right w:val="single" w:color="D5D8DC" w:sz="1"/>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Sub-Feature</w:t>
            </w:r>
          </w:p>
        </w:tc>
        <w:tc>
          <w:tcPr>
            <w:tcW w:type="dxa" w:w="3560"/>
            <w:tcBorders>
              <w:top w:val="single" w:color="D5D8DC" w:sz="1"/>
              <w:left w:val="single" w:color="D5D8DC" w:sz="1"/>
              <w:bottom w:val="single" w:color="D5D8DC" w:sz="1"/>
              <w:right w:val="single" w:color="D5D8DC" w:sz="1"/>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3000"/>
            <w:tcBorders>
              <w:top w:val="single" w:color="D5D8DC" w:sz="1"/>
              <w:left w:val="single" w:color="D5D8DC" w:sz="1"/>
              <w:bottom w:val="single" w:color="D5D8DC" w:sz="1"/>
              <w:right w:val="single" w:color="D5D8DC" w:sz="1"/>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Key Capability</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2E86C1"/>
                <w:sz w:val="20"/>
                <w:szCs w:val="20"/>
              </w:rPr>
              <w:t xml:space="preserve">Visual Path Builder</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Design learning paths as visual flowcharts with branching</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If/then branching, prerequisite gates</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2E86C1"/>
                <w:sz w:val="20"/>
                <w:szCs w:val="20"/>
              </w:rPr>
              <w:t xml:space="preserve">Role-Based Path Templates</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Pre-built paths for 100+ job roles mapped to skill requirements</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Job role taxonomy alignment</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2E86C1"/>
                <w:sz w:val="20"/>
                <w:szCs w:val="20"/>
              </w:rPr>
              <w:t xml:space="preserve">Adaptive Sequencing Engine</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Auto-adjust path based on assessment scores and pace</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AI-driven content recommendation</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2E86C1"/>
                <w:sz w:val="20"/>
                <w:szCs w:val="20"/>
              </w:rPr>
              <w:t xml:space="preserve">Prior Learning Assessment</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Competency test to skip known content</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Credit transfer, skip logic</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2E86C1"/>
                <w:sz w:val="20"/>
                <w:szCs w:val="20"/>
              </w:rPr>
              <w:t xml:space="preserve">Progress Milestones &amp; Badges</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Celebrate progress with badges, XP points, certificates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Gamification integration</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2E86C1"/>
                <w:sz w:val="20"/>
                <w:szCs w:val="20"/>
              </w:rPr>
              <w:t xml:space="preserve">Path Analytics</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Track drop-off points, completion velocity, skill acquisition</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Predictive completion forecasting</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D6EAF8" w:val="clear"/>
            <w:tcMar>
              <w:top w:type="dxa" w:w="120"/>
              <w:left w:type="dxa" w:w="200"/>
              <w:bottom w:type="dxa" w:w="120"/>
              <w:right w:type="dxa" w:w="200"/>
            </w:tcMar>
          </w:tcPr>
          <w:p>
            <w:pPr>
              <w:spacing w:before="40" w:after="40"/>
            </w:pPr>
            <w:r>
              <w:rPr>
                <w:rFonts w:ascii="Arial" w:cs="Arial" w:eastAsia="Arial" w:hAnsi="Arial"/>
                <w:b/>
                <w:bCs/>
                <w:color w:val="1A5276"/>
                <w:sz w:val="22"/>
                <w:szCs w:val="22"/>
              </w:rPr>
              <w:t xml:space="preserve">Key Insight</w:t>
            </w:r>
          </w:p>
          <w:p>
            <w:pPr>
              <w:spacing w:before="40" w:after="40"/>
            </w:pPr>
            <w:r>
              <w:rPr>
                <w:rFonts w:ascii="Arial" w:cs="Arial" w:eastAsia="Arial" w:hAnsi="Arial"/>
                <w:color w:val="1C2833"/>
                <w:sz w:val="21"/>
                <w:szCs w:val="21"/>
              </w:rPr>
              <w:t xml:space="preserve">Learning paths should be visually beautiful — think Duolingo's path map or Coursera's specialization view. Learners need to see the full journey and feel progress. Invest heavily in the UX of the path visualization.</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5276" w:val="clear"/>
            <w:tcMar>
              <w:top w:type="dxa" w:w="120"/>
              <w:left w:type="dxa" w:w="150"/>
              <w:bottom w:type="dxa" w:w="120"/>
              <w:right w:type="dxa" w:w="150"/>
            </w:tcMar>
            <w:vAlign w:val="center"/>
          </w:tcPr>
          <w:p>
            <w:pPr>
              <w:jc w:val="center"/>
            </w:pPr>
            <w:r>
              <w:rPr>
                <w:rFonts w:ascii="Arial" w:cs="Arial" w:eastAsia="Arial" w:hAnsi="Arial"/>
                <w:b/>
                <w:bCs/>
                <w:color w:val="FFFFFF"/>
                <w:sz w:val="28"/>
                <w:szCs w:val="28"/>
              </w:rPr>
              <w:t xml:space="preserve">4.10</w:t>
            </w:r>
          </w:p>
        </w:tc>
        <w:tc>
          <w:tcPr>
            <w:tcW w:type="dxa" w:w="8760"/>
            <w:tcBorders>
              <w:top w:val="none" w:color="FFFFFF" w:sz="0"/>
              <w:left w:val="none" w:color="FFFFFF" w:sz="0"/>
              <w:bottom w:val="none" w:color="FFFFFF" w:sz="0"/>
              <w:right w:val="none" w:color="FFFFFF" w:sz="0"/>
            </w:tcBorders>
            <w:shd w:fill="D6EAF8" w:val="clear"/>
            <w:tcMar>
              <w:top w:type="dxa" w:w="120"/>
              <w:left w:type="dxa" w:w="200"/>
              <w:bottom w:type="dxa" w:w="120"/>
              <w:right w:type="dxa" w:w="150"/>
            </w:tcMar>
          </w:tcPr>
          <w:p>
            <w:r>
              <w:rPr>
                <w:rFonts w:ascii="Arial" w:cs="Arial" w:eastAsia="Arial" w:hAnsi="Arial"/>
                <w:b/>
                <w:bCs/>
                <w:color w:val="1A5276"/>
                <w:sz w:val="28"/>
                <w:szCs w:val="28"/>
              </w:rPr>
              <w:t xml:space="preserve">Training Material Upload</w:t>
            </w:r>
          </w:p>
        </w:tc>
      </w:tr>
    </w:tbl>
    <w:p>
      <w:pPr>
        <w:spacing w:before="0" w:after="0"/>
      </w:pPr>
      <w:r>
        <w:rPr>
          <w:sz w:val="20"/>
          <w:szCs w:val="20"/>
        </w:rPr>
        <w:t xml:space="preserve"/>
      </w:r>
    </w:p>
    <w:p>
      <w:pPr>
        <w:pStyle w:val="Heading3"/>
        <w:spacing w:before="200" w:after="80"/>
      </w:pPr>
      <w:r>
        <w:rPr>
          <w:rFonts w:ascii="Arial" w:cs="Arial" w:eastAsia="Arial" w:hAnsi="Arial"/>
          <w:b/>
          <w:bCs/>
          <w:color w:val="1ABC9C"/>
          <w:sz w:val="24"/>
          <w:szCs w:val="24"/>
        </w:rPr>
        <w:t xml:space="preserve">Overview</w:t>
      </w:r>
    </w:p>
    <w:p>
      <w:pPr>
        <w:spacing w:before="80" w:after="80"/>
      </w:pPr>
      <w:r>
        <w:rPr>
          <w:rFonts w:ascii="Arial" w:cs="Arial" w:eastAsia="Arial" w:hAnsi="Arial"/>
          <w:color w:val="1C2833"/>
          <w:sz w:val="22"/>
          <w:szCs w:val="22"/>
        </w:rPr>
        <w:t xml:space="preserve">Training Material Upload is the content ingestion engine of the platform. It must handle diverse file formats efficiently, process them for optimal delivery, organize them within the content library, and ensure copyright/compliance safety. This feature is the pipeline through which all trainer-created or third-party content flows into the platform.</w:t>
      </w:r>
    </w:p>
    <w:p>
      <w:pPr>
        <w:spacing w:before="0" w:after="0"/>
      </w:pPr>
      <w:r>
        <w:rPr>
          <w:sz w:val="20"/>
          <w:szCs w:val="20"/>
        </w:rPr>
        <w:t xml:space="preserve"/>
      </w:r>
    </w:p>
    <w:p>
      <w:pPr>
        <w:pStyle w:val="Heading3"/>
        <w:spacing w:before="200" w:after="80"/>
      </w:pPr>
      <w:r>
        <w:rPr>
          <w:rFonts w:ascii="Arial" w:cs="Arial" w:eastAsia="Arial" w:hAnsi="Arial"/>
          <w:b/>
          <w:bCs/>
          <w:color w:val="1ABC9C"/>
          <w:sz w:val="24"/>
          <w:szCs w:val="24"/>
        </w:rPr>
        <w:t xml:space="preserve">Market Research &amp; Best Practices</w:t>
      </w:r>
    </w:p>
    <w:p>
      <w:pPr>
        <w:pStyle w:val="ListParagraph"/>
        <w:numPr>
          <w:ilvl w:val="0"/>
          <w:numId w:val="2"/>
        </w:numPr>
        <w:spacing w:before="60" w:after="60"/>
      </w:pPr>
      <w:r>
        <w:rPr>
          <w:rFonts w:ascii="Arial" w:cs="Arial" w:eastAsia="Arial" w:hAnsi="Arial"/>
          <w:b w:val="false"/>
          <w:bCs w:val="false"/>
          <w:color w:val="1C2833"/>
          <w:sz w:val="22"/>
          <w:szCs w:val="22"/>
        </w:rPr>
        <w:t xml:space="preserve">Supported formats should include: PDF, PPTX, DOCX, MP4, MP3, YouTube embeds, SCORM packages, H5P interactive content.</w:t>
      </w:r>
    </w:p>
    <w:p>
      <w:pPr>
        <w:pStyle w:val="ListParagraph"/>
        <w:numPr>
          <w:ilvl w:val="0"/>
          <w:numId w:val="2"/>
        </w:numPr>
        <w:spacing w:before="60" w:after="60"/>
      </w:pPr>
      <w:r>
        <w:rPr>
          <w:rFonts w:ascii="Arial" w:cs="Arial" w:eastAsia="Arial" w:hAnsi="Arial"/>
          <w:b w:val="false"/>
          <w:bCs w:val="false"/>
          <w:color w:val="1C2833"/>
          <w:sz w:val="22"/>
          <w:szCs w:val="22"/>
        </w:rPr>
        <w:t xml:space="preserve">Video compression on upload (adaptive bitrate streaming via HLS/DASH) reduces bandwidth costs by 60%.</w:t>
      </w:r>
    </w:p>
    <w:p>
      <w:pPr>
        <w:pStyle w:val="ListParagraph"/>
        <w:numPr>
          <w:ilvl w:val="0"/>
          <w:numId w:val="2"/>
        </w:numPr>
        <w:spacing w:before="60" w:after="60"/>
      </w:pPr>
      <w:r>
        <w:rPr>
          <w:rFonts w:ascii="Arial" w:cs="Arial" w:eastAsia="Arial" w:hAnsi="Arial"/>
          <w:b w:val="false"/>
          <w:bCs w:val="false"/>
          <w:color w:val="1C2833"/>
          <w:sz w:val="22"/>
          <w:szCs w:val="22"/>
        </w:rPr>
        <w:t xml:space="preserve">Plagiarism and copyright detection on uploaded PDFs protects platform from legal liability.</w:t>
      </w:r>
    </w:p>
    <w:p>
      <w:pPr>
        <w:pStyle w:val="ListParagraph"/>
        <w:numPr>
          <w:ilvl w:val="0"/>
          <w:numId w:val="2"/>
        </w:numPr>
        <w:spacing w:before="60" w:after="60"/>
      </w:pPr>
      <w:r>
        <w:rPr>
          <w:rFonts w:ascii="Arial" w:cs="Arial" w:eastAsia="Arial" w:hAnsi="Arial"/>
          <w:b w:val="false"/>
          <w:bCs w:val="false"/>
          <w:color w:val="1C2833"/>
          <w:sz w:val="22"/>
          <w:szCs w:val="22"/>
        </w:rPr>
        <w:t xml:space="preserve">Bulk upload with metadata tagging (course, module, topic, skill tag) dramatically reduces content management overhead.</w:t>
      </w:r>
    </w:p>
    <w:p>
      <w:pPr>
        <w:spacing w:before="0" w:after="0"/>
      </w:pPr>
      <w:r>
        <w:rPr>
          <w:sz w:val="20"/>
          <w:szCs w:val="20"/>
        </w:rPr>
        <w:t xml:space="preserve"/>
      </w:r>
    </w:p>
    <w:p>
      <w:pPr>
        <w:pStyle w:val="Heading3"/>
        <w:spacing w:before="200" w:after="80"/>
      </w:pPr>
      <w:r>
        <w:rPr>
          <w:rFonts w:ascii="Arial" w:cs="Arial" w:eastAsia="Arial" w:hAnsi="Arial"/>
          <w:b/>
          <w:bCs/>
          <w:color w:val="1ABC9C"/>
          <w:sz w:val="24"/>
          <w:szCs w:val="24"/>
        </w:rPr>
        <w:t xml:space="preserve">Feature Design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D5D8DC" w:sz="1"/>
              <w:left w:val="single" w:color="D5D8DC" w:sz="1"/>
              <w:bottom w:val="single" w:color="D5D8DC" w:sz="1"/>
              <w:right w:val="single" w:color="D5D8DC" w:sz="1"/>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Sub-Feature</w:t>
            </w:r>
          </w:p>
        </w:tc>
        <w:tc>
          <w:tcPr>
            <w:tcW w:type="dxa" w:w="3560"/>
            <w:tcBorders>
              <w:top w:val="single" w:color="D5D8DC" w:sz="1"/>
              <w:left w:val="single" w:color="D5D8DC" w:sz="1"/>
              <w:bottom w:val="single" w:color="D5D8DC" w:sz="1"/>
              <w:right w:val="single" w:color="D5D8DC" w:sz="1"/>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3000"/>
            <w:tcBorders>
              <w:top w:val="single" w:color="D5D8DC" w:sz="1"/>
              <w:left w:val="single" w:color="D5D8DC" w:sz="1"/>
              <w:bottom w:val="single" w:color="D5D8DC" w:sz="1"/>
              <w:right w:val="single" w:color="D5D8DC" w:sz="1"/>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Key Capability</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2E86C1"/>
                <w:sz w:val="20"/>
                <w:szCs w:val="20"/>
              </w:rPr>
              <w:t xml:space="preserve">Multi-Format Uploader</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Drag-drop uploader for PDF, PPT, video, audio, SCORM, H5P</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Progress bars, format validation</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2E86C1"/>
                <w:sz w:val="20"/>
                <w:szCs w:val="20"/>
              </w:rPr>
              <w:t xml:space="preserve">Video Processing Pipeline</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Auto-compress, transcode, and stream video in HLS format</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720p/1080p/4K auto-quality</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2E86C1"/>
                <w:sz w:val="20"/>
                <w:szCs w:val="20"/>
              </w:rPr>
              <w:t xml:space="preserve">Content Library Manager</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Centralized library with search, tags, and folder structure</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Version history, duplicate detection</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2E86C1"/>
                <w:sz w:val="20"/>
                <w:szCs w:val="20"/>
              </w:rPr>
              <w:t xml:space="preserve">Bulk Upload &amp; Tagging</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Upload 100+ files with CSV metadata mapping</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Auto-tag via AI content analysis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2E86C1"/>
                <w:sz w:val="20"/>
                <w:szCs w:val="20"/>
              </w:rPr>
              <w:t xml:space="preserve">Copyright &amp; Plagiarism Check</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Scan uploaded PDFs/docs for copyright violations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Turnitin-style similarity report</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2E86C1"/>
                <w:sz w:val="20"/>
                <w:szCs w:val="20"/>
              </w:rPr>
              <w:t xml:space="preserve">Embed &amp; Link Support</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Embed YouTube, Vimeo, Google Drive, Notion, Figma links</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Iframe support, link health check</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5276" w:val="clear"/>
            <w:tcMar>
              <w:top w:type="dxa" w:w="120"/>
              <w:left w:type="dxa" w:w="150"/>
              <w:bottom w:type="dxa" w:w="120"/>
              <w:right w:type="dxa" w:w="150"/>
            </w:tcMar>
            <w:vAlign w:val="center"/>
          </w:tcPr>
          <w:p>
            <w:pPr>
              <w:jc w:val="center"/>
            </w:pPr>
            <w:r>
              <w:rPr>
                <w:rFonts w:ascii="Arial" w:cs="Arial" w:eastAsia="Arial" w:hAnsi="Arial"/>
                <w:b/>
                <w:bCs/>
                <w:color w:val="FFFFFF"/>
                <w:sz w:val="28"/>
                <w:szCs w:val="28"/>
              </w:rPr>
              <w:t xml:space="preserve">4.11</w:t>
            </w:r>
          </w:p>
        </w:tc>
        <w:tc>
          <w:tcPr>
            <w:tcW w:type="dxa" w:w="8760"/>
            <w:tcBorders>
              <w:top w:val="none" w:color="FFFFFF" w:sz="0"/>
              <w:left w:val="none" w:color="FFFFFF" w:sz="0"/>
              <w:bottom w:val="none" w:color="FFFFFF" w:sz="0"/>
              <w:right w:val="none" w:color="FFFFFF" w:sz="0"/>
            </w:tcBorders>
            <w:shd w:fill="D6EAF8" w:val="clear"/>
            <w:tcMar>
              <w:top w:type="dxa" w:w="120"/>
              <w:left w:type="dxa" w:w="200"/>
              <w:bottom w:type="dxa" w:w="120"/>
              <w:right w:type="dxa" w:w="150"/>
            </w:tcMar>
          </w:tcPr>
          <w:p>
            <w:r>
              <w:rPr>
                <w:rFonts w:ascii="Arial" w:cs="Arial" w:eastAsia="Arial" w:hAnsi="Arial"/>
                <w:b/>
                <w:bCs/>
                <w:color w:val="1A5276"/>
                <w:sz w:val="28"/>
                <w:szCs w:val="28"/>
              </w:rPr>
              <w:t xml:space="preserve">Assignment Creation</w:t>
            </w:r>
          </w:p>
        </w:tc>
      </w:tr>
    </w:tbl>
    <w:p>
      <w:pPr>
        <w:spacing w:before="0" w:after="0"/>
      </w:pPr>
      <w:r>
        <w:rPr>
          <w:sz w:val="20"/>
          <w:szCs w:val="20"/>
        </w:rPr>
        <w:t xml:space="preserve"/>
      </w:r>
    </w:p>
    <w:p>
      <w:pPr>
        <w:pStyle w:val="Heading3"/>
        <w:spacing w:before="200" w:after="80"/>
      </w:pPr>
      <w:r>
        <w:rPr>
          <w:rFonts w:ascii="Arial" w:cs="Arial" w:eastAsia="Arial" w:hAnsi="Arial"/>
          <w:b/>
          <w:bCs/>
          <w:color w:val="1ABC9C"/>
          <w:sz w:val="24"/>
          <w:szCs w:val="24"/>
        </w:rPr>
        <w:t xml:space="preserve">Overview</w:t>
      </w:r>
    </w:p>
    <w:p>
      <w:pPr>
        <w:spacing w:before="80" w:after="80"/>
      </w:pPr>
      <w:r>
        <w:rPr>
          <w:rFonts w:ascii="Arial" w:cs="Arial" w:eastAsia="Arial" w:hAnsi="Arial"/>
          <w:color w:val="1C2833"/>
          <w:sz w:val="22"/>
          <w:szCs w:val="22"/>
        </w:rPr>
        <w:t xml:space="preserve">Assignment Creation covers the tools trainers use to design, distribute, collect, and evaluate learner work. Well-designed assignments are the highest-impact assessment tool — far more revealing of true competency than multiple-choice quizzes. The system must support diverse assignment types, plagiarism detection, rubric-based grading, peer review, and feedback loops.</w:t>
      </w:r>
    </w:p>
    <w:p>
      <w:pPr>
        <w:spacing w:before="0" w:after="0"/>
      </w:pPr>
      <w:r>
        <w:rPr>
          <w:sz w:val="20"/>
          <w:szCs w:val="20"/>
        </w:rPr>
        <w:t xml:space="preserve"/>
      </w:r>
    </w:p>
    <w:p>
      <w:pPr>
        <w:pStyle w:val="Heading3"/>
        <w:spacing w:before="200" w:after="80"/>
      </w:pPr>
      <w:r>
        <w:rPr>
          <w:rFonts w:ascii="Arial" w:cs="Arial" w:eastAsia="Arial" w:hAnsi="Arial"/>
          <w:b/>
          <w:bCs/>
          <w:color w:val="1ABC9C"/>
          <w:sz w:val="24"/>
          <w:szCs w:val="24"/>
        </w:rPr>
        <w:t xml:space="preserve">Market Research &amp; Best Practices</w:t>
      </w:r>
    </w:p>
    <w:p>
      <w:pPr>
        <w:pStyle w:val="ListParagraph"/>
        <w:numPr>
          <w:ilvl w:val="0"/>
          <w:numId w:val="2"/>
        </w:numPr>
        <w:spacing w:before="60" w:after="60"/>
      </w:pPr>
      <w:r>
        <w:rPr>
          <w:rFonts w:ascii="Arial" w:cs="Arial" w:eastAsia="Arial" w:hAnsi="Arial"/>
          <w:b w:val="false"/>
          <w:bCs w:val="false"/>
          <w:color w:val="1C2833"/>
          <w:sz w:val="22"/>
          <w:szCs w:val="22"/>
        </w:rPr>
        <w:t xml:space="preserve">Canvas LMS and Google Classroom are the benchmarks for assignment management — clear deadlines, submission tracking, inline feedback.</w:t>
      </w:r>
    </w:p>
    <w:p>
      <w:pPr>
        <w:pStyle w:val="ListParagraph"/>
        <w:numPr>
          <w:ilvl w:val="0"/>
          <w:numId w:val="2"/>
        </w:numPr>
        <w:spacing w:before="60" w:after="60"/>
      </w:pPr>
      <w:r>
        <w:rPr>
          <w:rFonts w:ascii="Arial" w:cs="Arial" w:eastAsia="Arial" w:hAnsi="Arial"/>
          <w:b w:val="false"/>
          <w:bCs w:val="false"/>
          <w:color w:val="1C2833"/>
          <w:sz w:val="22"/>
          <w:szCs w:val="22"/>
        </w:rPr>
        <w:t xml:space="preserve">Rubric-based grading (analytic rubrics) ensures consistency across graders and reduces grade disputes by 70%.</w:t>
      </w:r>
    </w:p>
    <w:p>
      <w:pPr>
        <w:pStyle w:val="ListParagraph"/>
        <w:numPr>
          <w:ilvl w:val="0"/>
          <w:numId w:val="2"/>
        </w:numPr>
        <w:spacing w:before="60" w:after="60"/>
      </w:pPr>
      <w:r>
        <w:rPr>
          <w:rFonts w:ascii="Arial" w:cs="Arial" w:eastAsia="Arial" w:hAnsi="Arial"/>
          <w:b w:val="false"/>
          <w:bCs w:val="false"/>
          <w:color w:val="1C2833"/>
          <w:sz w:val="22"/>
          <w:szCs w:val="22"/>
        </w:rPr>
        <w:t xml:space="preserve">Peer assessment (used in Coursera Specializations) scales grading without requiring instructor time for every submission.</w:t>
      </w:r>
    </w:p>
    <w:p>
      <w:pPr>
        <w:pStyle w:val="ListParagraph"/>
        <w:numPr>
          <w:ilvl w:val="0"/>
          <w:numId w:val="2"/>
        </w:numPr>
        <w:spacing w:before="60" w:after="60"/>
      </w:pPr>
      <w:r>
        <w:rPr>
          <w:rFonts w:ascii="Arial" w:cs="Arial" w:eastAsia="Arial" w:hAnsi="Arial"/>
          <w:b w:val="false"/>
          <w:bCs w:val="false"/>
          <w:color w:val="1C2833"/>
          <w:sz w:val="22"/>
          <w:szCs w:val="22"/>
        </w:rPr>
        <w:t xml:space="preserve">Automated plagiarism detection (Turnitin integration or in-house) is expected by all serious educational institutions.</w:t>
      </w:r>
    </w:p>
    <w:p>
      <w:pPr>
        <w:spacing w:before="0" w:after="0"/>
      </w:pPr>
      <w:r>
        <w:rPr>
          <w:sz w:val="20"/>
          <w:szCs w:val="20"/>
        </w:rPr>
        <w:t xml:space="preserve"/>
      </w:r>
    </w:p>
    <w:p>
      <w:pPr>
        <w:pStyle w:val="Heading3"/>
        <w:spacing w:before="200" w:after="80"/>
      </w:pPr>
      <w:r>
        <w:rPr>
          <w:rFonts w:ascii="Arial" w:cs="Arial" w:eastAsia="Arial" w:hAnsi="Arial"/>
          <w:b/>
          <w:bCs/>
          <w:color w:val="1ABC9C"/>
          <w:sz w:val="24"/>
          <w:szCs w:val="24"/>
        </w:rPr>
        <w:t xml:space="preserve">Feature Design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D5D8DC" w:sz="1"/>
              <w:left w:val="single" w:color="D5D8DC" w:sz="1"/>
              <w:bottom w:val="single" w:color="D5D8DC" w:sz="1"/>
              <w:right w:val="single" w:color="D5D8DC" w:sz="1"/>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Sub-Feature</w:t>
            </w:r>
          </w:p>
        </w:tc>
        <w:tc>
          <w:tcPr>
            <w:tcW w:type="dxa" w:w="3560"/>
            <w:tcBorders>
              <w:top w:val="single" w:color="D5D8DC" w:sz="1"/>
              <w:left w:val="single" w:color="D5D8DC" w:sz="1"/>
              <w:bottom w:val="single" w:color="D5D8DC" w:sz="1"/>
              <w:right w:val="single" w:color="D5D8DC" w:sz="1"/>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3000"/>
            <w:tcBorders>
              <w:top w:val="single" w:color="D5D8DC" w:sz="1"/>
              <w:left w:val="single" w:color="D5D8DC" w:sz="1"/>
              <w:bottom w:val="single" w:color="D5D8DC" w:sz="1"/>
              <w:right w:val="single" w:color="D5D8DC" w:sz="1"/>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Key Capability</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2E86C1"/>
                <w:sz w:val="20"/>
                <w:szCs w:val="20"/>
              </w:rPr>
              <w:t xml:space="preserve">Assignment Builder</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Create text, file upload, code submission, or URL-based assignments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Rich instructions, attachments, rubrics</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2E86C1"/>
                <w:sz w:val="20"/>
                <w:szCs w:val="20"/>
              </w:rPr>
              <w:t xml:space="preserve">Rubric Designer</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Build analytic or holistic grading rubrics with weighted criteria</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Reusable rubric library</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2E86C1"/>
                <w:sz w:val="20"/>
                <w:szCs w:val="20"/>
              </w:rPr>
              <w:t xml:space="preserve">Submission Portal</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Learner submission interface with deadline countdown and receipt</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Late submission handling, grace periods</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2E86C1"/>
                <w:sz w:val="20"/>
                <w:szCs w:val="20"/>
              </w:rPr>
              <w:t xml:space="preserve">Plagiarism Detector</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Scan text/code submissions for similarity</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Side-by-side comparison report</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2E86C1"/>
                <w:sz w:val="20"/>
                <w:szCs w:val="20"/>
              </w:rPr>
              <w:t xml:space="preserve">Peer Review System</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Assign submissions to peers for structured feedback</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Anonymous review option, calibration</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2E86C1"/>
                <w:sz w:val="20"/>
                <w:szCs w:val="20"/>
              </w:rPr>
              <w:t xml:space="preserve">Inline Feedback &amp; Annotation</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Trainers annotate PDFs, comment on code, leave audio feedback</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Feedback templates, re-submission trigger</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D6EAF8" w:val="clear"/>
            <w:tcMar>
              <w:top w:type="dxa" w:w="120"/>
              <w:left w:type="dxa" w:w="200"/>
              <w:bottom w:type="dxa" w:w="120"/>
              <w:right w:type="dxa" w:w="200"/>
            </w:tcMar>
          </w:tcPr>
          <w:p>
            <w:pPr>
              <w:spacing w:before="40" w:after="40"/>
            </w:pPr>
            <w:r>
              <w:rPr>
                <w:rFonts w:ascii="Arial" w:cs="Arial" w:eastAsia="Arial" w:hAnsi="Arial"/>
                <w:b/>
                <w:bCs/>
                <w:color w:val="1A5276"/>
                <w:sz w:val="22"/>
                <w:szCs w:val="22"/>
              </w:rPr>
              <w:t xml:space="preserve">Key Insight</w:t>
            </w:r>
          </w:p>
          <w:p>
            <w:pPr>
              <w:spacing w:before="40" w:after="40"/>
            </w:pPr>
            <w:r>
              <w:rPr>
                <w:rFonts w:ascii="Arial" w:cs="Arial" w:eastAsia="Arial" w:hAnsi="Arial"/>
                <w:color w:val="1C2833"/>
                <w:sz w:val="21"/>
                <w:szCs w:val="21"/>
              </w:rPr>
              <w:t xml:space="preserve">For code assignments (critical for tech bootcamps), the platform should integrate a lightweight in-browser IDE or auto-grader that runs learner code against test cases and returns instant feedback — similar to HackerRank or LeetCode.</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5276" w:val="clear"/>
            <w:tcMar>
              <w:top w:type="dxa" w:w="120"/>
              <w:left w:type="dxa" w:w="150"/>
              <w:bottom w:type="dxa" w:w="120"/>
              <w:right w:type="dxa" w:w="150"/>
            </w:tcMar>
            <w:vAlign w:val="center"/>
          </w:tcPr>
          <w:p>
            <w:pPr>
              <w:jc w:val="center"/>
            </w:pPr>
            <w:r>
              <w:rPr>
                <w:rFonts w:ascii="Arial" w:cs="Arial" w:eastAsia="Arial" w:hAnsi="Arial"/>
                <w:b/>
                <w:bCs/>
                <w:color w:val="FFFFFF"/>
                <w:sz w:val="28"/>
                <w:szCs w:val="28"/>
              </w:rPr>
              <w:t xml:space="preserve">4.12</w:t>
            </w:r>
          </w:p>
        </w:tc>
        <w:tc>
          <w:tcPr>
            <w:tcW w:type="dxa" w:w="8760"/>
            <w:tcBorders>
              <w:top w:val="none" w:color="FFFFFF" w:sz="0"/>
              <w:left w:val="none" w:color="FFFFFF" w:sz="0"/>
              <w:bottom w:val="none" w:color="FFFFFF" w:sz="0"/>
              <w:right w:val="none" w:color="FFFFFF" w:sz="0"/>
            </w:tcBorders>
            <w:shd w:fill="D6EAF8" w:val="clear"/>
            <w:tcMar>
              <w:top w:type="dxa" w:w="120"/>
              <w:left w:type="dxa" w:w="200"/>
              <w:bottom w:type="dxa" w:w="120"/>
              <w:right w:type="dxa" w:w="150"/>
            </w:tcMar>
          </w:tcPr>
          <w:p>
            <w:r>
              <w:rPr>
                <w:rFonts w:ascii="Arial" w:cs="Arial" w:eastAsia="Arial" w:hAnsi="Arial"/>
                <w:b/>
                <w:bCs/>
                <w:color w:val="1A5276"/>
                <w:sz w:val="28"/>
                <w:szCs w:val="28"/>
              </w:rPr>
              <w:t xml:space="preserve">Project-Based Learning Setup</w:t>
            </w:r>
          </w:p>
        </w:tc>
      </w:tr>
    </w:tbl>
    <w:p>
      <w:pPr>
        <w:spacing w:before="0" w:after="0"/>
      </w:pPr>
      <w:r>
        <w:rPr>
          <w:sz w:val="20"/>
          <w:szCs w:val="20"/>
        </w:rPr>
        <w:t xml:space="preserve"/>
      </w:r>
    </w:p>
    <w:p>
      <w:pPr>
        <w:pStyle w:val="Heading3"/>
        <w:spacing w:before="200" w:after="80"/>
      </w:pPr>
      <w:r>
        <w:rPr>
          <w:rFonts w:ascii="Arial" w:cs="Arial" w:eastAsia="Arial" w:hAnsi="Arial"/>
          <w:b/>
          <w:bCs/>
          <w:color w:val="1ABC9C"/>
          <w:sz w:val="24"/>
          <w:szCs w:val="24"/>
        </w:rPr>
        <w:t xml:space="preserve">Overview</w:t>
      </w:r>
    </w:p>
    <w:p>
      <w:pPr>
        <w:spacing w:before="80" w:after="80"/>
      </w:pPr>
      <w:r>
        <w:rPr>
          <w:rFonts w:ascii="Arial" w:cs="Arial" w:eastAsia="Arial" w:hAnsi="Arial"/>
          <w:color w:val="1C2833"/>
          <w:sz w:val="22"/>
          <w:szCs w:val="22"/>
        </w:rPr>
        <w:t xml:space="preserve">Project-Based Learning (PBL) is the gold standard for applied skill development. It requires learners to solve real-world problems using the skills they've acquired. PBL setup tools on the platform allow trainers to design complex, multi-stage projects with defined briefs, team formation, milestone tracking, mentor touchpoints, and portfolio-worthy deliverables that enhance employability.</w:t>
      </w:r>
    </w:p>
    <w:p>
      <w:pPr>
        <w:spacing w:before="0" w:after="0"/>
      </w:pPr>
      <w:r>
        <w:rPr>
          <w:sz w:val="20"/>
          <w:szCs w:val="20"/>
        </w:rPr>
        <w:t xml:space="preserve"/>
      </w:r>
    </w:p>
    <w:p>
      <w:pPr>
        <w:pStyle w:val="Heading3"/>
        <w:spacing w:before="200" w:after="80"/>
      </w:pPr>
      <w:r>
        <w:rPr>
          <w:rFonts w:ascii="Arial" w:cs="Arial" w:eastAsia="Arial" w:hAnsi="Arial"/>
          <w:b/>
          <w:bCs/>
          <w:color w:val="1ABC9C"/>
          <w:sz w:val="24"/>
          <w:szCs w:val="24"/>
        </w:rPr>
        <w:t xml:space="preserve">Market Research &amp; Best Practices</w:t>
      </w:r>
    </w:p>
    <w:p>
      <w:pPr>
        <w:pStyle w:val="ListParagraph"/>
        <w:numPr>
          <w:ilvl w:val="0"/>
          <w:numId w:val="2"/>
        </w:numPr>
        <w:spacing w:before="60" w:after="60"/>
      </w:pPr>
      <w:r>
        <w:rPr>
          <w:rFonts w:ascii="Arial" w:cs="Arial" w:eastAsia="Arial" w:hAnsi="Arial"/>
          <w:b w:val="false"/>
          <w:bCs w:val="false"/>
          <w:color w:val="1C2833"/>
          <w:sz w:val="22"/>
          <w:szCs w:val="22"/>
        </w:rPr>
        <w:t xml:space="preserve">PBL graduates are 2.5x more likely to be hired into technical roles than lecture-only program graduates (NASSCOM, 2023).</w:t>
      </w:r>
    </w:p>
    <w:p>
      <w:pPr>
        <w:pStyle w:val="ListParagraph"/>
        <w:numPr>
          <w:ilvl w:val="0"/>
          <w:numId w:val="2"/>
        </w:numPr>
        <w:spacing w:before="60" w:after="60"/>
      </w:pPr>
      <w:r>
        <w:rPr>
          <w:rFonts w:ascii="Arial" w:cs="Arial" w:eastAsia="Arial" w:hAnsi="Arial"/>
          <w:b w:val="false"/>
          <w:bCs w:val="false"/>
          <w:color w:val="1C2833"/>
          <w:sz w:val="22"/>
          <w:szCs w:val="22"/>
        </w:rPr>
        <w:t xml:space="preserve">Team-based projects simulate real workplace conditions — essential for corporate upskilling programs.</w:t>
      </w:r>
    </w:p>
    <w:p>
      <w:pPr>
        <w:pStyle w:val="ListParagraph"/>
        <w:numPr>
          <w:ilvl w:val="0"/>
          <w:numId w:val="2"/>
        </w:numPr>
        <w:spacing w:before="60" w:after="60"/>
      </w:pPr>
      <w:r>
        <w:rPr>
          <w:rFonts w:ascii="Arial" w:cs="Arial" w:eastAsia="Arial" w:hAnsi="Arial"/>
          <w:b w:val="false"/>
          <w:bCs w:val="false"/>
          <w:color w:val="1C2833"/>
          <w:sz w:val="22"/>
          <w:szCs w:val="22"/>
        </w:rPr>
        <w:t xml:space="preserve">GitHub integration for code projects, Figma for design projects, and Google Workspace for business projects are the industry standard.</w:t>
      </w:r>
    </w:p>
    <w:p>
      <w:pPr>
        <w:pStyle w:val="ListParagraph"/>
        <w:numPr>
          <w:ilvl w:val="0"/>
          <w:numId w:val="2"/>
        </w:numPr>
        <w:spacing w:before="60" w:after="60"/>
      </w:pPr>
      <w:r>
        <w:rPr>
          <w:rFonts w:ascii="Arial" w:cs="Arial" w:eastAsia="Arial" w:hAnsi="Arial"/>
          <w:b w:val="false"/>
          <w:bCs w:val="false"/>
          <w:color w:val="1C2833"/>
          <w:sz w:val="22"/>
          <w:szCs w:val="22"/>
        </w:rPr>
        <w:t xml:space="preserve">Employer-sponsored project briefs (real business problems) dramatically increase placement outcomes.</w:t>
      </w:r>
    </w:p>
    <w:p>
      <w:pPr>
        <w:spacing w:before="0" w:after="0"/>
      </w:pPr>
      <w:r>
        <w:rPr>
          <w:sz w:val="20"/>
          <w:szCs w:val="20"/>
        </w:rPr>
        <w:t xml:space="preserve"/>
      </w:r>
    </w:p>
    <w:p>
      <w:pPr>
        <w:pStyle w:val="Heading3"/>
        <w:spacing w:before="200" w:after="80"/>
      </w:pPr>
      <w:r>
        <w:rPr>
          <w:rFonts w:ascii="Arial" w:cs="Arial" w:eastAsia="Arial" w:hAnsi="Arial"/>
          <w:b/>
          <w:bCs/>
          <w:color w:val="1ABC9C"/>
          <w:sz w:val="24"/>
          <w:szCs w:val="24"/>
        </w:rPr>
        <w:t xml:space="preserve">Feature Design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D5D8DC" w:sz="1"/>
              <w:left w:val="single" w:color="D5D8DC" w:sz="1"/>
              <w:bottom w:val="single" w:color="D5D8DC" w:sz="1"/>
              <w:right w:val="single" w:color="D5D8DC" w:sz="1"/>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Sub-Feature</w:t>
            </w:r>
          </w:p>
        </w:tc>
        <w:tc>
          <w:tcPr>
            <w:tcW w:type="dxa" w:w="3560"/>
            <w:tcBorders>
              <w:top w:val="single" w:color="D5D8DC" w:sz="1"/>
              <w:left w:val="single" w:color="D5D8DC" w:sz="1"/>
              <w:bottom w:val="single" w:color="D5D8DC" w:sz="1"/>
              <w:right w:val="single" w:color="D5D8DC" w:sz="1"/>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3000"/>
            <w:tcBorders>
              <w:top w:val="single" w:color="D5D8DC" w:sz="1"/>
              <w:left w:val="single" w:color="D5D8DC" w:sz="1"/>
              <w:bottom w:val="single" w:color="D5D8DC" w:sz="1"/>
              <w:right w:val="single" w:color="D5D8DC" w:sz="1"/>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Key Capability</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2E86C1"/>
                <w:sz w:val="20"/>
                <w:szCs w:val="20"/>
              </w:rPr>
              <w:t xml:space="preserve">Project Brief Builder</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Structured template for problem statement, deliverables, constraints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Employer-sponsored brief import</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2E86C1"/>
                <w:sz w:val="20"/>
                <w:szCs w:val="20"/>
              </w:rPr>
              <w:t xml:space="preserve">Team Formation Engine</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Manual or AI-based team allocation with skill-balancing</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Team size rules, role assignment</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2E86C1"/>
                <w:sz w:val="20"/>
                <w:szCs w:val="20"/>
              </w:rPr>
              <w:t xml:space="preserve">Milestone &amp; Sprint Tracker</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Define project stages with deadlines, deliverables, review checkpoints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Kanban-style tracker</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2E86C1"/>
                <w:sz w:val="20"/>
                <w:szCs w:val="20"/>
              </w:rPr>
              <w:t xml:space="preserve">Repository &amp; Tool Integration</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Connect GitHub, Figma, Notion, Google Workspace per project</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OAuth integration, activity sync</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2E86C1"/>
                <w:sz w:val="20"/>
                <w:szCs w:val="20"/>
              </w:rPr>
              <w:t xml:space="preserve">Mentor Touchpoint Scheduler</w:t>
            </w:r>
          </w:p>
        </w:tc>
        <w:tc>
          <w:tcPr>
            <w:tcW w:type="dxa" w:w="3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Schedule and track mentor check-ins per team</w:t>
            </w:r>
          </w:p>
        </w:tc>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Feedback log, escalation alerts</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2E86C1"/>
                <w:sz w:val="20"/>
                <w:szCs w:val="20"/>
              </w:rPr>
              <w:t xml:space="preserve">Portfolio &amp; Showcase</w:t>
            </w:r>
          </w:p>
        </w:tc>
        <w:tc>
          <w:tcPr>
            <w:tcW w:type="dxa" w:w="35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Publish completed projects to learner portfolio, share externally</w:t>
            </w:r>
          </w:p>
        </w:tc>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Employer-visible showcase gallery</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D6EAF8" w:val="clear"/>
            <w:tcMar>
              <w:top w:type="dxa" w:w="120"/>
              <w:left w:type="dxa" w:w="200"/>
              <w:bottom w:type="dxa" w:w="120"/>
              <w:right w:type="dxa" w:w="200"/>
            </w:tcMar>
          </w:tcPr>
          <w:p>
            <w:pPr>
              <w:spacing w:before="40" w:after="40"/>
            </w:pPr>
            <w:r>
              <w:rPr>
                <w:rFonts w:ascii="Arial" w:cs="Arial" w:eastAsia="Arial" w:hAnsi="Arial"/>
                <w:b/>
                <w:bCs/>
                <w:color w:val="1A5276"/>
                <w:sz w:val="22"/>
                <w:szCs w:val="22"/>
              </w:rPr>
              <w:t xml:space="preserve">Key Insight</w:t>
            </w:r>
          </w:p>
          <w:p>
            <w:pPr>
              <w:spacing w:before="40" w:after="40"/>
            </w:pPr>
            <w:r>
              <w:rPr>
                <w:rFonts w:ascii="Arial" w:cs="Arial" w:eastAsia="Arial" w:hAnsi="Arial"/>
                <w:color w:val="1C2833"/>
                <w:sz w:val="21"/>
                <w:szCs w:val="21"/>
              </w:rPr>
              <w:t xml:space="preserve">Employers want to see what students built — not just what they studied. A public Project Showcase Gallery (opt-in by learner) that employers can browse is a powerful differentiation for EcoSkiller vs. competitor platforms.</w:t>
            </w:r>
          </w:p>
        </w:tc>
      </w:tr>
    </w:tbl>
    <w:p>
      <w:pPr>
        <w:spacing w:before="0" w:after="0"/>
      </w:pPr>
      <w:r>
        <w:rPr>
          <w:sz w:val="20"/>
          <w:szCs w:val="20"/>
        </w:rPr>
        <w:t xml:space="preserve"/>
      </w:r>
    </w:p>
    <w:p>
      <w:r>
        <w:br w:type="page"/>
      </w:r>
    </w:p>
    <w:p>
      <w:pPr>
        <w:pStyle w:val="Heading1"/>
        <w:pBdr>
          <w:bottom w:val="single" w:color="1A5276" w:sz="4" w:space="4"/>
        </w:pBdr>
        <w:spacing w:before="360" w:after="120"/>
      </w:pPr>
      <w:r>
        <w:rPr>
          <w:rFonts w:ascii="Arial" w:cs="Arial" w:eastAsia="Arial" w:hAnsi="Arial"/>
          <w:b/>
          <w:bCs/>
          <w:color w:val="1A5276"/>
          <w:sz w:val="36"/>
          <w:szCs w:val="36"/>
        </w:rPr>
        <w:t xml:space="preserve">Consolidated Feature Summary</w:t>
      </w:r>
    </w:p>
    <w:p>
      <w:pPr>
        <w:spacing w:before="0" w:after="0"/>
      </w:pPr>
      <w:r>
        <w:rPr>
          <w:sz w:val="20"/>
          <w:szCs w:val="20"/>
        </w:rPr>
        <w:t xml:space="preserve"/>
      </w:r>
    </w:p>
    <w:p>
      <w:pPr>
        <w:spacing w:before="80" w:after="80"/>
      </w:pPr>
      <w:r>
        <w:rPr>
          <w:rFonts w:ascii="Arial" w:cs="Arial" w:eastAsia="Arial" w:hAnsi="Arial"/>
          <w:color w:val="1C2833"/>
          <w:sz w:val="22"/>
          <w:szCs w:val="22"/>
        </w:rPr>
        <w:t xml:space="preserve">The table below provides a consolidated view of all 12 Training Program Creation sub-features, their primary purpose, target users, and strategic priority for the EcoSkiller platform.</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500"/>
        <w:gridCol w:w="3000"/>
        <w:gridCol w:w="1760"/>
        <w:gridCol w:w="1800"/>
      </w:tblGrid>
      <w:tr>
        <w:trPr>
          <w:tblHeader/>
        </w:trPr>
        <w:tc>
          <w:tcPr>
            <w:tcW w:type="dxa" w:w="3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Primary Purpose</w:t>
            </w:r>
          </w:p>
        </w:tc>
        <w:tc>
          <w:tcPr>
            <w:tcW w:type="dxa" w:w="176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Target User</w:t>
            </w:r>
          </w:p>
        </w:tc>
        <w:tc>
          <w:tcPr>
            <w:tcW w:type="dxa" w:w="18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4.1</w:t>
            </w:r>
          </w:p>
        </w:tc>
        <w:tc>
          <w:tcPr>
            <w:tcW w:type="dxa" w:w="2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bCs/>
                <w:color w:val="2E86C1"/>
                <w:sz w:val="19"/>
                <w:szCs w:val="19"/>
              </w:rPr>
              <w:t xml:space="preserve">Course Creation Tools</w:t>
            </w:r>
          </w:p>
        </w:tc>
        <w:tc>
          <w:tcPr>
            <w:tcW w:type="dxa" w:w="3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Build individual courses with rich media &amp; quizzes</w:t>
            </w:r>
          </w:p>
        </w:tc>
        <w:tc>
          <w:tcPr>
            <w:tcW w:type="dxa" w:w="17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Trainer / Instructor</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 Critical</w:t>
            </w:r>
          </w:p>
        </w:tc>
      </w:tr>
      <w:tr>
        <w:tc>
          <w:tcPr>
            <w:tcW w:type="dxa" w:w="3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4.2</w:t>
            </w:r>
          </w:p>
        </w:tc>
        <w:tc>
          <w:tcPr>
            <w:tcW w:type="dxa" w:w="2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bCs/>
                <w:color w:val="2E86C1"/>
                <w:sz w:val="19"/>
                <w:szCs w:val="19"/>
              </w:rPr>
              <w:t xml:space="preserve">Training Program Builder</w:t>
            </w:r>
          </w:p>
        </w:tc>
        <w:tc>
          <w:tcPr>
            <w:tcW w:type="dxa" w:w="3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Group courses into structured programs with gating</w:t>
            </w:r>
          </w:p>
        </w:tc>
        <w:tc>
          <w:tcPr>
            <w:tcW w:type="dxa" w:w="17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Institute / L&amp;D Team</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 Critical</w:t>
            </w:r>
          </w:p>
        </w:tc>
      </w:tr>
      <w:tr>
        <w:tc>
          <w:tcPr>
            <w:tcW w:type="dxa" w:w="3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4.3</w:t>
            </w:r>
          </w:p>
        </w:tc>
        <w:tc>
          <w:tcPr>
            <w:tcW w:type="dxa" w:w="2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bCs/>
                <w:color w:val="2E86C1"/>
                <w:sz w:val="19"/>
                <w:szCs w:val="19"/>
              </w:rPr>
              <w:t xml:space="preserve">Workshop Creation System</w:t>
            </w:r>
          </w:p>
        </w:tc>
        <w:tc>
          <w:tcPr>
            <w:tcW w:type="dxa" w:w="3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Design &amp; manage live/hybrid skill workshops</w:t>
            </w:r>
          </w:p>
        </w:tc>
        <w:tc>
          <w:tcPr>
            <w:tcW w:type="dxa" w:w="17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Trainer / Facilitator</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 High</w:t>
            </w:r>
          </w:p>
        </w:tc>
      </w:tr>
      <w:tr>
        <w:tc>
          <w:tcPr>
            <w:tcW w:type="dxa" w:w="3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4.4</w:t>
            </w:r>
          </w:p>
        </w:tc>
        <w:tc>
          <w:tcPr>
            <w:tcW w:type="dxa" w:w="2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bCs/>
                <w:color w:val="2E86C1"/>
                <w:sz w:val="19"/>
                <w:szCs w:val="19"/>
              </w:rPr>
              <w:t xml:space="preserve">Bootcamp Program Creation</w:t>
            </w:r>
          </w:p>
        </w:tc>
        <w:tc>
          <w:tcPr>
            <w:tcW w:type="dxa" w:w="3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Create intensive, time-compressed programs</w:t>
            </w:r>
          </w:p>
        </w:tc>
        <w:tc>
          <w:tcPr>
            <w:tcW w:type="dxa" w:w="17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Bootcamp Operator</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 High</w:t>
            </w:r>
          </w:p>
        </w:tc>
      </w:tr>
      <w:tr>
        <w:tc>
          <w:tcPr>
            <w:tcW w:type="dxa" w:w="3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4.5</w:t>
            </w:r>
          </w:p>
        </w:tc>
        <w:tc>
          <w:tcPr>
            <w:tcW w:type="dxa" w:w="2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bCs/>
                <w:color w:val="2E86C1"/>
                <w:sz w:val="19"/>
                <w:szCs w:val="19"/>
              </w:rPr>
              <w:t xml:space="preserve">Cohort Program Management</w:t>
            </w:r>
          </w:p>
        </w:tc>
        <w:tc>
          <w:tcPr>
            <w:tcW w:type="dxa" w:w="3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Manage batch-based learner groups &amp; pacing</w:t>
            </w:r>
          </w:p>
        </w:tc>
        <w:tc>
          <w:tcPr>
            <w:tcW w:type="dxa" w:w="17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Admin / Trainer</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 Critical</w:t>
            </w:r>
          </w:p>
        </w:tc>
      </w:tr>
      <w:tr>
        <w:tc>
          <w:tcPr>
            <w:tcW w:type="dxa" w:w="3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4.6</w:t>
            </w:r>
          </w:p>
        </w:tc>
        <w:tc>
          <w:tcPr>
            <w:tcW w:type="dxa" w:w="2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bCs/>
                <w:color w:val="2E86C1"/>
                <w:sz w:val="19"/>
                <w:szCs w:val="19"/>
              </w:rPr>
              <w:t xml:space="preserve">Curriculum Design System</w:t>
            </w:r>
          </w:p>
        </w:tc>
        <w:tc>
          <w:tcPr>
            <w:tcW w:type="dxa" w:w="3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Map outcomes to competencies &amp; standards</w:t>
            </w:r>
          </w:p>
        </w:tc>
        <w:tc>
          <w:tcPr>
            <w:tcW w:type="dxa" w:w="17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Instructional Designer</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 High</w:t>
            </w:r>
          </w:p>
        </w:tc>
      </w:tr>
      <w:tr>
        <w:tc>
          <w:tcPr>
            <w:tcW w:type="dxa" w:w="3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4.7</w:t>
            </w:r>
          </w:p>
        </w:tc>
        <w:tc>
          <w:tcPr>
            <w:tcW w:type="dxa" w:w="2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bCs/>
                <w:color w:val="2E86C1"/>
                <w:sz w:val="19"/>
                <w:szCs w:val="19"/>
              </w:rPr>
              <w:t xml:space="preserve">Skill Module Creation</w:t>
            </w:r>
          </w:p>
        </w:tc>
        <w:tc>
          <w:tcPr>
            <w:tcW w:type="dxa" w:w="3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Build reusable micro-learning skill units</w:t>
            </w:r>
          </w:p>
        </w:tc>
        <w:tc>
          <w:tcPr>
            <w:tcW w:type="dxa" w:w="17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SME / Content Creator</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 Medium</w:t>
            </w:r>
          </w:p>
        </w:tc>
      </w:tr>
      <w:tr>
        <w:tc>
          <w:tcPr>
            <w:tcW w:type="dxa" w:w="3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4.8</w:t>
            </w:r>
          </w:p>
        </w:tc>
        <w:tc>
          <w:tcPr>
            <w:tcW w:type="dxa" w:w="2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bCs/>
                <w:color w:val="2E86C1"/>
                <w:sz w:val="19"/>
                <w:szCs w:val="19"/>
              </w:rPr>
              <w:t xml:space="preserve">Training Schedule Builder</w:t>
            </w:r>
          </w:p>
        </w:tc>
        <w:tc>
          <w:tcPr>
            <w:tcW w:type="dxa" w:w="3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Create time-bound calendars with reminders</w:t>
            </w:r>
          </w:p>
        </w:tc>
        <w:tc>
          <w:tcPr>
            <w:tcW w:type="dxa" w:w="17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Admin / Coordinator</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 High</w:t>
            </w:r>
          </w:p>
        </w:tc>
      </w:tr>
      <w:tr>
        <w:tc>
          <w:tcPr>
            <w:tcW w:type="dxa" w:w="3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4.9</w:t>
            </w:r>
          </w:p>
        </w:tc>
        <w:tc>
          <w:tcPr>
            <w:tcW w:type="dxa" w:w="2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bCs/>
                <w:color w:val="2E86C1"/>
                <w:sz w:val="19"/>
                <w:szCs w:val="19"/>
              </w:rPr>
              <w:t xml:space="preserve">Learning Path Creation</w:t>
            </w:r>
          </w:p>
        </w:tc>
        <w:tc>
          <w:tcPr>
            <w:tcW w:type="dxa" w:w="3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Guide learners from current to target skill level</w:t>
            </w:r>
          </w:p>
        </w:tc>
        <w:tc>
          <w:tcPr>
            <w:tcW w:type="dxa" w:w="17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Platform / AI Engine</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 Critical</w:t>
            </w:r>
          </w:p>
        </w:tc>
      </w:tr>
      <w:tr>
        <w:tc>
          <w:tcPr>
            <w:tcW w:type="dxa" w:w="3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4.10</w:t>
            </w:r>
          </w:p>
        </w:tc>
        <w:tc>
          <w:tcPr>
            <w:tcW w:type="dxa" w:w="2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bCs/>
                <w:color w:val="2E86C1"/>
                <w:sz w:val="19"/>
                <w:szCs w:val="19"/>
              </w:rPr>
              <w:t xml:space="preserve">Training Material Upload</w:t>
            </w:r>
          </w:p>
        </w:tc>
        <w:tc>
          <w:tcPr>
            <w:tcW w:type="dxa" w:w="3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Ingest and manage diverse content formats</w:t>
            </w:r>
          </w:p>
        </w:tc>
        <w:tc>
          <w:tcPr>
            <w:tcW w:type="dxa" w:w="17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Trainer / Admin</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 Critical</w:t>
            </w:r>
          </w:p>
        </w:tc>
      </w:tr>
      <w:tr>
        <w:tc>
          <w:tcPr>
            <w:tcW w:type="dxa" w:w="3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4.11</w:t>
            </w:r>
          </w:p>
        </w:tc>
        <w:tc>
          <w:tcPr>
            <w:tcW w:type="dxa" w:w="25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bCs/>
                <w:color w:val="2E86C1"/>
                <w:sz w:val="19"/>
                <w:szCs w:val="19"/>
              </w:rPr>
              <w:t xml:space="preserve">Assignment Creation</w:t>
            </w:r>
          </w:p>
        </w:tc>
        <w:tc>
          <w:tcPr>
            <w:tcW w:type="dxa" w:w="30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Design, distribute, collect &amp; grade learner work</w:t>
            </w:r>
          </w:p>
        </w:tc>
        <w:tc>
          <w:tcPr>
            <w:tcW w:type="dxa" w:w="176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Trainer / Assessor</w:t>
            </w:r>
          </w:p>
        </w:tc>
        <w:tc>
          <w:tcPr>
            <w:tcW w:type="dxa" w:w="1800"/>
            <w:tcBorders>
              <w:top w:val="single" w:color="D5D8DC" w:sz="1"/>
              <w:left w:val="single" w:color="D5D8DC" w:sz="1"/>
              <w:bottom w:val="single" w:color="D5D8DC" w:sz="1"/>
              <w:right w:val="single" w:color="D5D8DC" w:sz="1"/>
            </w:tcBorders>
            <w:shd w:fill="FFFFFF" w:val="clear"/>
            <w:tcMar>
              <w:top w:type="dxa" w:w="70"/>
              <w:left w:type="dxa" w:w="120"/>
              <w:bottom w:type="dxa" w:w="70"/>
              <w:right w:type="dxa" w:w="120"/>
            </w:tcMar>
          </w:tcPr>
          <w:p>
            <w:r>
              <w:rPr>
                <w:rFonts w:ascii="Arial" w:cs="Arial" w:eastAsia="Arial" w:hAnsi="Arial"/>
                <w:b w:val="false"/>
                <w:bCs w:val="false"/>
                <w:color w:val="1C2833"/>
                <w:sz w:val="19"/>
                <w:szCs w:val="19"/>
              </w:rPr>
              <w:t xml:space="preserve">🔴 Critical</w:t>
            </w:r>
          </w:p>
        </w:tc>
      </w:tr>
      <w:tr>
        <w:tc>
          <w:tcPr>
            <w:tcW w:type="dxa" w:w="3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4.12</w:t>
            </w:r>
          </w:p>
        </w:tc>
        <w:tc>
          <w:tcPr>
            <w:tcW w:type="dxa" w:w="25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bCs/>
                <w:color w:val="2E86C1"/>
                <w:sz w:val="19"/>
                <w:szCs w:val="19"/>
              </w:rPr>
              <w:t xml:space="preserve">Project-Based Learning Setup</w:t>
            </w:r>
          </w:p>
        </w:tc>
        <w:tc>
          <w:tcPr>
            <w:tcW w:type="dxa" w:w="30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Design real-world projects with team &amp; mentor tools</w:t>
            </w:r>
          </w:p>
        </w:tc>
        <w:tc>
          <w:tcPr>
            <w:tcW w:type="dxa" w:w="176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Trainer / Employer</w:t>
            </w:r>
          </w:p>
        </w:tc>
        <w:tc>
          <w:tcPr>
            <w:tcW w:type="dxa" w:w="1800"/>
            <w:tcBorders>
              <w:top w:val="single" w:color="D5D8DC" w:sz="1"/>
              <w:left w:val="single" w:color="D5D8DC" w:sz="1"/>
              <w:bottom w:val="single" w:color="D5D8DC" w:sz="1"/>
              <w:right w:val="single" w:color="D5D8DC" w:sz="1"/>
            </w:tcBorders>
            <w:shd w:fill="F2F3F4" w:val="clear"/>
            <w:tcMar>
              <w:top w:type="dxa" w:w="70"/>
              <w:left w:type="dxa" w:w="120"/>
              <w:bottom w:type="dxa" w:w="70"/>
              <w:right w:type="dxa" w:w="120"/>
            </w:tcMar>
          </w:tcPr>
          <w:p>
            <w:r>
              <w:rPr>
                <w:rFonts w:ascii="Arial" w:cs="Arial" w:eastAsia="Arial" w:hAnsi="Arial"/>
                <w:b w:val="false"/>
                <w:bCs w:val="false"/>
                <w:color w:val="1C2833"/>
                <w:sz w:val="19"/>
                <w:szCs w:val="19"/>
              </w:rPr>
              <w:t xml:space="preserve">🟠 High</w:t>
            </w:r>
          </w:p>
        </w:tc>
      </w:tr>
    </w:tbl>
    <w:p>
      <w:pPr>
        <w:spacing w:before="0" w:after="0"/>
      </w:pPr>
      <w:r>
        <w:rPr>
          <w:sz w:val="40"/>
          <w:szCs w:val="40"/>
        </w:rPr>
        <w:t xml:space="preserve"/>
      </w:r>
    </w:p>
    <w:p>
      <w:pPr>
        <w:pStyle w:val="Heading1"/>
        <w:pBdr>
          <w:bottom w:val="single" w:color="1A5276" w:sz="4" w:space="4"/>
        </w:pBdr>
        <w:spacing w:before="360" w:after="120"/>
      </w:pPr>
      <w:r>
        <w:rPr>
          <w:rFonts w:ascii="Arial" w:cs="Arial" w:eastAsia="Arial" w:hAnsi="Arial"/>
          <w:b/>
          <w:bCs/>
          <w:color w:val="1A5276"/>
          <w:sz w:val="36"/>
          <w:szCs w:val="36"/>
        </w:rPr>
        <w:t xml:space="preserve">Implementation Roadmap</w:t>
      </w:r>
    </w:p>
    <w:p>
      <w:pPr>
        <w:spacing w:before="0" w:after="0"/>
      </w:pPr>
      <w:r>
        <w:rPr>
          <w:sz w:val="20"/>
          <w:szCs w:val="20"/>
        </w:rPr>
        <w:t xml:space="preserve"/>
      </w:r>
    </w:p>
    <w:p>
      <w:pPr>
        <w:pStyle w:val="Heading2"/>
        <w:spacing w:before="280" w:after="100"/>
      </w:pPr>
      <w:r>
        <w:rPr>
          <w:rFonts w:ascii="Arial" w:cs="Arial" w:eastAsia="Arial" w:hAnsi="Arial"/>
          <w:b/>
          <w:bCs/>
          <w:color w:val="2E86C1"/>
          <w:sz w:val="28"/>
          <w:szCs w:val="28"/>
        </w:rPr>
        <w:t xml:space="preserve">Phase 1 — Foundation (Month 1–3)</w:t>
      </w:r>
    </w:p>
    <w:p>
      <w:pPr>
        <w:pStyle w:val="ListParagraph"/>
        <w:numPr>
          <w:ilvl w:val="0"/>
          <w:numId w:val="2"/>
        </w:numPr>
        <w:spacing w:before="60" w:after="60"/>
      </w:pPr>
      <w:r>
        <w:rPr>
          <w:rFonts w:ascii="Arial" w:cs="Arial" w:eastAsia="Arial" w:hAnsi="Arial"/>
          <w:b w:val="false"/>
          <w:bCs w:val="false"/>
          <w:color w:val="1C2833"/>
          <w:sz w:val="22"/>
          <w:szCs w:val="22"/>
        </w:rPr>
        <w:t xml:space="preserve">Course Creation Tools (4.1) — Core content authoring capability</w:t>
      </w:r>
    </w:p>
    <w:p>
      <w:pPr>
        <w:pStyle w:val="ListParagraph"/>
        <w:numPr>
          <w:ilvl w:val="0"/>
          <w:numId w:val="2"/>
        </w:numPr>
        <w:spacing w:before="60" w:after="60"/>
      </w:pPr>
      <w:r>
        <w:rPr>
          <w:rFonts w:ascii="Arial" w:cs="Arial" w:eastAsia="Arial" w:hAnsi="Arial"/>
          <w:b w:val="false"/>
          <w:bCs w:val="false"/>
          <w:color w:val="1C2833"/>
          <w:sz w:val="22"/>
          <w:szCs w:val="22"/>
        </w:rPr>
        <w:t xml:space="preserve">Training Material Upload (4.10) — Content ingestion pipeline</w:t>
      </w:r>
    </w:p>
    <w:p>
      <w:pPr>
        <w:pStyle w:val="ListParagraph"/>
        <w:numPr>
          <w:ilvl w:val="0"/>
          <w:numId w:val="2"/>
        </w:numPr>
        <w:spacing w:before="60" w:after="60"/>
      </w:pPr>
      <w:r>
        <w:rPr>
          <w:rFonts w:ascii="Arial" w:cs="Arial" w:eastAsia="Arial" w:hAnsi="Arial"/>
          <w:b w:val="false"/>
          <w:bCs w:val="false"/>
          <w:color w:val="1C2833"/>
          <w:sz w:val="22"/>
          <w:szCs w:val="22"/>
        </w:rPr>
        <w:t xml:space="preserve">Assignment Creation (4.11) — Core assessment layer</w:t>
      </w:r>
    </w:p>
    <w:p>
      <w:pPr>
        <w:pStyle w:val="ListParagraph"/>
        <w:numPr>
          <w:ilvl w:val="0"/>
          <w:numId w:val="2"/>
        </w:numPr>
        <w:spacing w:before="60" w:after="60"/>
      </w:pPr>
      <w:r>
        <w:rPr>
          <w:rFonts w:ascii="Arial" w:cs="Arial" w:eastAsia="Arial" w:hAnsi="Arial"/>
          <w:b w:val="false"/>
          <w:bCs w:val="false"/>
          <w:color w:val="1C2833"/>
          <w:sz w:val="22"/>
          <w:szCs w:val="22"/>
        </w:rPr>
        <w:t xml:space="preserve">Training Schedule Builder (4.8) — Operational scheduling</w:t>
      </w:r>
    </w:p>
    <w:p>
      <w:pPr>
        <w:spacing w:before="0" w:after="0"/>
      </w:pPr>
      <w:r>
        <w:rPr>
          <w:sz w:val="20"/>
          <w:szCs w:val="20"/>
        </w:rPr>
        <w:t xml:space="preserve"/>
      </w:r>
    </w:p>
    <w:p>
      <w:pPr>
        <w:pStyle w:val="Heading2"/>
        <w:spacing w:before="280" w:after="100"/>
      </w:pPr>
      <w:r>
        <w:rPr>
          <w:rFonts w:ascii="Arial" w:cs="Arial" w:eastAsia="Arial" w:hAnsi="Arial"/>
          <w:b/>
          <w:bCs/>
          <w:color w:val="2E86C1"/>
          <w:sz w:val="28"/>
          <w:szCs w:val="28"/>
        </w:rPr>
        <w:t xml:space="preserve">Phase 2 — Program Structure (Month 4–6)</w:t>
      </w:r>
    </w:p>
    <w:p>
      <w:pPr>
        <w:pStyle w:val="ListParagraph"/>
        <w:numPr>
          <w:ilvl w:val="0"/>
          <w:numId w:val="2"/>
        </w:numPr>
        <w:spacing w:before="60" w:after="60"/>
      </w:pPr>
      <w:r>
        <w:rPr>
          <w:rFonts w:ascii="Arial" w:cs="Arial" w:eastAsia="Arial" w:hAnsi="Arial"/>
          <w:b w:val="false"/>
          <w:bCs w:val="false"/>
          <w:color w:val="1C2833"/>
          <w:sz w:val="22"/>
          <w:szCs w:val="22"/>
        </w:rPr>
        <w:t xml:space="preserve">Training Program Builder (4.2) — Program architecture</w:t>
      </w:r>
    </w:p>
    <w:p>
      <w:pPr>
        <w:pStyle w:val="ListParagraph"/>
        <w:numPr>
          <w:ilvl w:val="0"/>
          <w:numId w:val="2"/>
        </w:numPr>
        <w:spacing w:before="60" w:after="60"/>
      </w:pPr>
      <w:r>
        <w:rPr>
          <w:rFonts w:ascii="Arial" w:cs="Arial" w:eastAsia="Arial" w:hAnsi="Arial"/>
          <w:b w:val="false"/>
          <w:bCs w:val="false"/>
          <w:color w:val="1C2833"/>
          <w:sz w:val="22"/>
          <w:szCs w:val="22"/>
        </w:rPr>
        <w:t xml:space="preserve">Cohort Program Management (4.5) — Batch learning operations</w:t>
      </w:r>
    </w:p>
    <w:p>
      <w:pPr>
        <w:pStyle w:val="ListParagraph"/>
        <w:numPr>
          <w:ilvl w:val="0"/>
          <w:numId w:val="2"/>
        </w:numPr>
        <w:spacing w:before="60" w:after="60"/>
      </w:pPr>
      <w:r>
        <w:rPr>
          <w:rFonts w:ascii="Arial" w:cs="Arial" w:eastAsia="Arial" w:hAnsi="Arial"/>
          <w:b w:val="false"/>
          <w:bCs w:val="false"/>
          <w:color w:val="1C2833"/>
          <w:sz w:val="22"/>
          <w:szCs w:val="22"/>
        </w:rPr>
        <w:t xml:space="preserve">Learning Path Creation (4.9) — Personalized journeys</w:t>
      </w:r>
    </w:p>
    <w:p>
      <w:pPr>
        <w:pStyle w:val="ListParagraph"/>
        <w:numPr>
          <w:ilvl w:val="0"/>
          <w:numId w:val="2"/>
        </w:numPr>
        <w:spacing w:before="60" w:after="60"/>
      </w:pPr>
      <w:r>
        <w:rPr>
          <w:rFonts w:ascii="Arial" w:cs="Arial" w:eastAsia="Arial" w:hAnsi="Arial"/>
          <w:b w:val="false"/>
          <w:bCs w:val="false"/>
          <w:color w:val="1C2833"/>
          <w:sz w:val="22"/>
          <w:szCs w:val="22"/>
        </w:rPr>
        <w:t xml:space="preserve">Curriculum Design System (4.6) — Pedagogical framework</w:t>
      </w:r>
    </w:p>
    <w:p>
      <w:pPr>
        <w:spacing w:before="0" w:after="0"/>
      </w:pPr>
      <w:r>
        <w:rPr>
          <w:sz w:val="20"/>
          <w:szCs w:val="20"/>
        </w:rPr>
        <w:t xml:space="preserve"/>
      </w:r>
    </w:p>
    <w:p>
      <w:pPr>
        <w:pStyle w:val="Heading2"/>
        <w:spacing w:before="280" w:after="100"/>
      </w:pPr>
      <w:r>
        <w:rPr>
          <w:rFonts w:ascii="Arial" w:cs="Arial" w:eastAsia="Arial" w:hAnsi="Arial"/>
          <w:b/>
          <w:bCs/>
          <w:color w:val="2E86C1"/>
          <w:sz w:val="28"/>
          <w:szCs w:val="28"/>
        </w:rPr>
        <w:t xml:space="preserve">Phase 3 — Advanced Features (Month 7–9)</w:t>
      </w:r>
    </w:p>
    <w:p>
      <w:pPr>
        <w:pStyle w:val="ListParagraph"/>
        <w:numPr>
          <w:ilvl w:val="0"/>
          <w:numId w:val="2"/>
        </w:numPr>
        <w:spacing w:before="60" w:after="60"/>
      </w:pPr>
      <w:r>
        <w:rPr>
          <w:rFonts w:ascii="Arial" w:cs="Arial" w:eastAsia="Arial" w:hAnsi="Arial"/>
          <w:b w:val="false"/>
          <w:bCs w:val="false"/>
          <w:color w:val="1C2833"/>
          <w:sz w:val="22"/>
          <w:szCs w:val="22"/>
        </w:rPr>
        <w:t xml:space="preserve">Bootcamp Program Creation (4.4) — Intensive program support</w:t>
      </w:r>
    </w:p>
    <w:p>
      <w:pPr>
        <w:pStyle w:val="ListParagraph"/>
        <w:numPr>
          <w:ilvl w:val="0"/>
          <w:numId w:val="2"/>
        </w:numPr>
        <w:spacing w:before="60" w:after="60"/>
      </w:pPr>
      <w:r>
        <w:rPr>
          <w:rFonts w:ascii="Arial" w:cs="Arial" w:eastAsia="Arial" w:hAnsi="Arial"/>
          <w:b w:val="false"/>
          <w:bCs w:val="false"/>
          <w:color w:val="1C2833"/>
          <w:sz w:val="22"/>
          <w:szCs w:val="22"/>
        </w:rPr>
        <w:t xml:space="preserve">Workshop Creation System (4.3) — Live session management</w:t>
      </w:r>
    </w:p>
    <w:p>
      <w:pPr>
        <w:pStyle w:val="ListParagraph"/>
        <w:numPr>
          <w:ilvl w:val="0"/>
          <w:numId w:val="2"/>
        </w:numPr>
        <w:spacing w:before="60" w:after="60"/>
      </w:pPr>
      <w:r>
        <w:rPr>
          <w:rFonts w:ascii="Arial" w:cs="Arial" w:eastAsia="Arial" w:hAnsi="Arial"/>
          <w:b w:val="false"/>
          <w:bCs w:val="false"/>
          <w:color w:val="1C2833"/>
          <w:sz w:val="22"/>
          <w:szCs w:val="22"/>
        </w:rPr>
        <w:t xml:space="preserve">Skill Module Creation (4.7) — Micro-learning library</w:t>
      </w:r>
    </w:p>
    <w:p>
      <w:pPr>
        <w:pStyle w:val="ListParagraph"/>
        <w:numPr>
          <w:ilvl w:val="0"/>
          <w:numId w:val="2"/>
        </w:numPr>
        <w:spacing w:before="60" w:after="60"/>
      </w:pPr>
      <w:r>
        <w:rPr>
          <w:rFonts w:ascii="Arial" w:cs="Arial" w:eastAsia="Arial" w:hAnsi="Arial"/>
          <w:b w:val="false"/>
          <w:bCs w:val="false"/>
          <w:color w:val="1C2833"/>
          <w:sz w:val="22"/>
          <w:szCs w:val="22"/>
        </w:rPr>
        <w:t xml:space="preserve">Project-Based Learning Setup (4.12) — Applied learning capstone</w:t>
      </w:r>
    </w:p>
    <w:p>
      <w:pPr>
        <w:spacing w:before="0" w:after="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D6EAF8" w:val="clear"/>
            <w:tcMar>
              <w:top w:type="dxa" w:w="120"/>
              <w:left w:type="dxa" w:w="200"/>
              <w:bottom w:type="dxa" w:w="120"/>
              <w:right w:type="dxa" w:w="200"/>
            </w:tcMar>
          </w:tcPr>
          <w:p>
            <w:pPr>
              <w:spacing w:before="40" w:after="40"/>
            </w:pPr>
            <w:r>
              <w:rPr>
                <w:rFonts w:ascii="Arial" w:cs="Arial" w:eastAsia="Arial" w:hAnsi="Arial"/>
                <w:b/>
                <w:bCs/>
                <w:color w:val="1A5276"/>
                <w:sz w:val="22"/>
                <w:szCs w:val="22"/>
              </w:rPr>
              <w:t xml:space="preserve">Strategic Note for EcoSkiller</w:t>
            </w:r>
          </w:p>
          <w:p>
            <w:pPr>
              <w:spacing w:before="40" w:after="40"/>
            </w:pPr>
            <w:r>
              <w:rPr>
                <w:rFonts w:ascii="Arial" w:cs="Arial" w:eastAsia="Arial" w:hAnsi="Arial"/>
                <w:color w:val="1C2833"/>
                <w:sz w:val="21"/>
                <w:szCs w:val="21"/>
              </w:rPr>
              <w:t xml:space="preserve">Training Program Creation is the highest-leverage feature set on the EcoSkiller platform. It directly enables institutes, corporates, and bootcamp operators to build world-class training products. Investment in intuitive UX, AI assistance (auto-outlines, adaptive paths), and outcome tracking will be the primary differentiators against legacy LMS platforms in the Indian market. Prioritize mobile-first design, vernacular language support, and offline access for tier-2/3 market penetration.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4"/>
      </w:pBdr>
      <w:tabs>
        <w:tab w:val="right" w:pos="9026"/>
      </w:tabs>
    </w:pPr>
    <w:r>
      <w:rPr>
        <w:rFonts w:ascii="Arial" w:cs="Arial" w:eastAsia="Arial" w:hAnsi="Arial"/>
        <w:color w:val="888888"/>
        <w:sz w:val="18"/>
        <w:szCs w:val="18"/>
      </w:rPr>
      <w:t xml:space="preserve">Confidential  |  EcoSkiller Research  |  2025</w:t>
    </w:r>
    <w:r>
      <w:rPr>
        <w:rFonts w:ascii="Arial" w:cs="Arial" w:eastAsia="Arial" w:hAnsi="Arial"/>
        <w:color w:val="888888"/>
        <w:sz w:val="18"/>
        <w:szCs w:val="18"/>
      </w:rPr>
      <w:t xml:space="preserve">	Page </w:t>
    </w:r>
    <w:r>
      <w:rPr>
        <w:rFonts w:ascii="Arial" w:cs="Arial" w:eastAsia="Arial" w:hAnsi="Arial"/>
        <w:color w:val="888888"/>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4"/>
      </w:pBdr>
    </w:pPr>
    <w:r>
      <w:rPr>
        <w:rFonts w:ascii="Arial" w:cs="Arial" w:eastAsia="Arial" w:hAnsi="Arial"/>
        <w:color w:val="888888"/>
        <w:sz w:val="18"/>
        <w:szCs w:val="18"/>
      </w:rPr>
      <w:t xml:space="preserve">EcoSkiller Platform  |  Feature 4: Training Program Creation</w:t>
    </w:r>
    <w:r>
      <w:rPr>
        <w:rFonts w:ascii="Arial" w:cs="Arial" w:eastAsia="Arial" w:hAnsi="Arial"/>
        <w:color w:val="1ABC9C"/>
        <w:sz w:val="18"/>
        <w:szCs w:val="18"/>
      </w:rPr>
      <w:t xml:space="preserve">  |  In-Depth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5276"/>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BC9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2026-03-09T08:26:44.219Z</dcterms:created>
  <dcterms:modified xsi:type="dcterms:W3CDTF">2026-03-09T08:26:44.219Z</dcterms:modified>
</cp:coreProperties>
</file>

<file path=docProps/custom.xml><?xml version="1.0" encoding="utf-8"?>
<Properties xmlns="http://schemas.openxmlformats.org/officeDocument/2006/custom-properties" xmlns:vt="http://schemas.openxmlformats.org/officeDocument/2006/docPropsVTypes"/>
</file>