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D1B69" w:sz="20" w:space="1"/>
        </w:pBdr>
        <w:spacing w:before="0" w:after="0"/>
      </w:pPr>
      <w:r>
        <w:rPr>
          <w:sz w:val="4"/>
          <w:szCs w:val="4"/>
        </w:rPr>
        <w:t xml:space="preserve"/>
      </w:r>
    </w:p>
    <w:p>
      <w:pPr>
        <w:spacing w:before="180" w:after="0"/>
      </w:pPr>
      <w:r>
        <w:t xml:space="preserve"/>
      </w:r>
    </w:p>
    <w:p>
      <w:pPr>
        <w:jc w:val="center"/>
      </w:pPr>
      <w:r>
        <w:rPr>
          <w:rFonts w:ascii="Georgia" w:cs="Georgia" w:eastAsia="Georgia" w:hAnsi="Georgia"/>
          <w:b/>
          <w:bCs/>
          <w:color w:val="5B3FA0"/>
          <w:sz w:val="52"/>
          <w:szCs w:val="52"/>
        </w:rPr>
        <w:t xml:space="preserve">ECOSKILLER</w:t>
      </w:r>
    </w:p>
    <w:p>
      <w:pPr>
        <w:spacing w:before="30" w:after="0"/>
      </w:pPr>
      <w:r>
        <w:t xml:space="preserve"/>
      </w:r>
    </w:p>
    <w:p>
      <w:pPr>
        <w:jc w:val="center"/>
      </w:pPr>
      <w:r>
        <w:rPr>
          <w:rFonts w:ascii="Georgia" w:cs="Georgia" w:eastAsia="Georgia" w:hAnsi="Georgia"/>
          <w:b/>
          <w:bCs/>
          <w:color w:val="0B1F3A"/>
          <w:sz w:val="64"/>
          <w:szCs w:val="64"/>
        </w:rPr>
        <w:t xml:space="preserve">COMMUNITY &amp; SOCIAL</w:t>
      </w:r>
    </w:p>
    <w:p>
      <w:pPr>
        <w:spacing w:before="40" w:after="0"/>
      </w:pPr>
      <w:r>
        <w:t xml:space="preserve"/>
      </w:r>
    </w:p>
    <w:p>
      <w:pPr>
        <w:jc w:val="center"/>
      </w:pPr>
      <w:r>
        <w:rPr>
          <w:rFonts w:ascii="Calibri" w:cs="Calibri" w:eastAsia="Calibri" w:hAnsi="Calibri"/>
          <w:b/>
          <w:bCs/>
          <w:color w:val="D4680A"/>
          <w:sz w:val="30"/>
          <w:szCs w:val="30"/>
        </w:rPr>
        <w:t xml:space="preserve">VENDOR PLATFORM FEATURE</w:t>
      </w:r>
    </w:p>
    <w:p>
      <w:pPr>
        <w:spacing w:before="60" w:after="0"/>
      </w:pPr>
      <w:r>
        <w:t xml:space="preserve"/>
      </w:r>
    </w:p>
    <w:p>
      <w:pPr>
        <w:jc w:val="center"/>
      </w:pPr>
      <w:r>
        <w:rPr>
          <w:rFonts w:ascii="Calibri" w:cs="Calibri" w:eastAsia="Calibri" w:hAnsi="Calibri"/>
          <w:b/>
          <w:bCs/>
          <w:color w:val="C9960A"/>
          <w:sz w:val="30"/>
          <w:szCs w:val="30"/>
        </w:rPr>
        <w:t xml:space="preserve">30 VIRAL POSITIONING IDEAS FOR INDIAN VENDORS</w:t>
      </w:r>
    </w:p>
    <w:p>
      <w:pPr>
        <w:spacing w:before="60" w:after="0"/>
      </w:pPr>
      <w:r>
        <w:t xml:space="preserve"/>
      </w:r>
    </w:p>
    <w:p>
      <w:pPr>
        <w:pBdr>
          <w:bottom w:val="single" w:color="C5B3E8" w:sz="8" w:space="1"/>
        </w:pBdr>
        <w:spacing w:before="80" w:after="80"/>
      </w:pPr>
      <w:r>
        <w:rPr>
          <w:sz w:val="4"/>
          <w:szCs w:val="4"/>
        </w:rPr>
        <w:t xml:space="preserve"/>
      </w:r>
    </w:p>
    <w:p>
      <w:pPr>
        <w:spacing w:before="40" w:after="0"/>
      </w:pPr>
      <w:r>
        <w:t xml:space="preserve"/>
      </w:r>
    </w:p>
    <w:p>
      <w:pPr>
        <w:jc w:val="center"/>
      </w:pPr>
      <w:r>
        <w:rPr>
          <w:rFonts w:ascii="Calibri" w:cs="Calibri" w:eastAsia="Calibri" w:hAnsi="Calibri"/>
          <w:i/>
          <w:iCs/>
          <w:color w:val="666666"/>
          <w:sz w:val="22"/>
          <w:szCs w:val="22"/>
        </w:rPr>
        <w:t xml:space="preserve">9 Organizer Categories  •  72 Features  •  India-First Psychology  •  Organic Growth Strategy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5B3E8" w:sz="1"/>
              <w:left w:val="single" w:color="C5B3E8" w:sz="1"/>
              <w:bottom w:val="single" w:color="C5B3E8" w:sz="1"/>
              <w:right w:val="single" w:color="C5B3E8" w:sz="1"/>
            </w:tcBorders>
            <w:shd w:fill="EDE7F6" w:val="clear"/>
            <w:tcMar>
              <w:top w:type="dxa" w:w="120"/>
              <w:left w:type="dxa" w:w="100"/>
              <w:bottom w:type="dxa" w:w="120"/>
              <w:right w:type="dxa" w:w="100"/>
            </w:tcMar>
          </w:tcPr>
          <w:p>
            <w:pPr>
              <w:jc w:val="center"/>
            </w:pPr>
            <w:r>
              <w:rPr>
                <w:rFonts w:ascii="Georgia" w:cs="Georgia" w:eastAsia="Georgia" w:hAnsi="Georgia"/>
                <w:b/>
                <w:bCs/>
                <w:color w:val="5B3FA0"/>
                <w:sz w:val="48"/>
                <w:szCs w:val="48"/>
              </w:rPr>
              <w:t xml:space="preserve">9</w:t>
            </w:r>
          </w:p>
          <w:p>
            <w:pPr>
              <w:jc w:val="center"/>
            </w:pPr>
            <w:r>
              <w:rPr>
                <w:rFonts w:ascii="Calibri" w:cs="Calibri" w:eastAsia="Calibri" w:hAnsi="Calibri"/>
                <w:color w:val="444444"/>
                <w:sz w:val="20"/>
                <w:szCs w:val="20"/>
              </w:rPr>
              <w:t xml:space="preserve">Organizer Types</w:t>
            </w:r>
          </w:p>
        </w:tc>
        <w:tc>
          <w:tcPr>
            <w:tcBorders>
              <w:top w:val="single" w:color="C5B3E8" w:sz="1"/>
              <w:left w:val="single" w:color="C5B3E8" w:sz="1"/>
              <w:bottom w:val="single" w:color="C5B3E8" w:sz="1"/>
              <w:right w:val="single" w:color="C5B3E8" w:sz="1"/>
            </w:tcBorders>
            <w:shd w:fill="EDE7F6" w:val="clear"/>
            <w:tcMar>
              <w:top w:type="dxa" w:w="120"/>
              <w:left w:type="dxa" w:w="100"/>
              <w:bottom w:type="dxa" w:w="120"/>
              <w:right w:type="dxa" w:w="100"/>
            </w:tcMar>
          </w:tcPr>
          <w:p>
            <w:pPr>
              <w:jc w:val="center"/>
            </w:pPr>
            <w:r>
              <w:rPr>
                <w:rFonts w:ascii="Georgia" w:cs="Georgia" w:eastAsia="Georgia" w:hAnsi="Georgia"/>
                <w:b/>
                <w:bCs/>
                <w:color w:val="5B3FA0"/>
                <w:sz w:val="48"/>
                <w:szCs w:val="48"/>
              </w:rPr>
              <w:t xml:space="preserve">72</w:t>
            </w:r>
          </w:p>
          <w:p>
            <w:pPr>
              <w:jc w:val="center"/>
            </w:pPr>
            <w:r>
              <w:rPr>
                <w:rFonts w:ascii="Calibri" w:cs="Calibri" w:eastAsia="Calibri" w:hAnsi="Calibri"/>
                <w:color w:val="444444"/>
                <w:sz w:val="20"/>
                <w:szCs w:val="20"/>
              </w:rPr>
              <w:t xml:space="preserve">Features</w:t>
            </w:r>
          </w:p>
        </w:tc>
        <w:tc>
          <w:tcPr>
            <w:tcBorders>
              <w:top w:val="single" w:color="C5B3E8" w:sz="1"/>
              <w:left w:val="single" w:color="C5B3E8" w:sz="1"/>
              <w:bottom w:val="single" w:color="C5B3E8" w:sz="1"/>
              <w:right w:val="single" w:color="C5B3E8" w:sz="1"/>
            </w:tcBorders>
            <w:shd w:fill="EDE7F6" w:val="clear"/>
            <w:tcMar>
              <w:top w:type="dxa" w:w="120"/>
              <w:left w:type="dxa" w:w="100"/>
              <w:bottom w:type="dxa" w:w="120"/>
              <w:right w:type="dxa" w:w="100"/>
            </w:tcMar>
          </w:tcPr>
          <w:p>
            <w:pPr>
              <w:jc w:val="center"/>
            </w:pPr>
            <w:r>
              <w:rPr>
                <w:rFonts w:ascii="Georgia" w:cs="Georgia" w:eastAsia="Georgia" w:hAnsi="Georgia"/>
                <w:b/>
                <w:bCs/>
                <w:color w:val="5B3FA0"/>
                <w:sz w:val="48"/>
                <w:szCs w:val="48"/>
              </w:rPr>
              <w:t xml:space="preserve">India</w:t>
            </w:r>
          </w:p>
          <w:p>
            <w:pPr>
              <w:jc w:val="center"/>
            </w:pPr>
            <w:r>
              <w:rPr>
                <w:rFonts w:ascii="Calibri" w:cs="Calibri" w:eastAsia="Calibri" w:hAnsi="Calibri"/>
                <w:color w:val="444444"/>
                <w:sz w:val="20"/>
                <w:szCs w:val="20"/>
              </w:rPr>
              <w:t xml:space="preserve">Market-First</w:t>
            </w:r>
          </w:p>
        </w:tc>
        <w:tc>
          <w:tcPr>
            <w:tcBorders>
              <w:top w:val="single" w:color="C5B3E8" w:sz="1"/>
              <w:left w:val="single" w:color="C5B3E8" w:sz="1"/>
              <w:bottom w:val="single" w:color="C5B3E8" w:sz="1"/>
              <w:right w:val="single" w:color="C5B3E8" w:sz="1"/>
            </w:tcBorders>
            <w:shd w:fill="EDE7F6" w:val="clear"/>
            <w:tcMar>
              <w:top w:type="dxa" w:w="120"/>
              <w:left w:type="dxa" w:w="100"/>
              <w:bottom w:type="dxa" w:w="120"/>
              <w:right w:type="dxa" w:w="100"/>
            </w:tcMar>
          </w:tcPr>
          <w:p>
            <w:pPr>
              <w:jc w:val="center"/>
            </w:pPr>
            <w:r>
              <w:rPr>
                <w:rFonts w:ascii="Georgia" w:cs="Georgia" w:eastAsia="Georgia" w:hAnsi="Georgia"/>
                <w:b/>
                <w:bCs/>
                <w:color w:val="5B3FA0"/>
                <w:sz w:val="48"/>
                <w:szCs w:val="48"/>
              </w:rPr>
              <w:t xml:space="preserve">★ Top 10</w:t>
            </w:r>
          </w:p>
          <w:p>
            <w:pPr>
              <w:jc w:val="center"/>
            </w:pPr>
            <w:r>
              <w:rPr>
                <w:rFonts w:ascii="Calibri" w:cs="Calibri" w:eastAsia="Calibri" w:hAnsi="Calibri"/>
                <w:color w:val="444444"/>
                <w:sz w:val="20"/>
                <w:szCs w:val="20"/>
              </w:rPr>
              <w:t xml:space="preserve">Priority Ideas</w:t>
            </w:r>
          </w:p>
        </w:tc>
      </w:tr>
    </w:tbl>
    <w:p>
      <w:pPr>
        <w:spacing w:before="120" w:after="0"/>
      </w:pPr>
      <w:r>
        <w:t xml:space="preserve"/>
      </w:r>
    </w:p>
    <w:p>
      <w:pPr>
        <w:pBdr>
          <w:bottom w:val="single" w:color="C5B3E8" w:sz="8" w:space="1"/>
        </w:pBdr>
        <w:spacing w:before="80" w:after="80"/>
      </w:pPr>
      <w:r>
        <w:rPr>
          <w:sz w:val="4"/>
          <w:szCs w:val="4"/>
        </w:rPr>
        <w:t xml:space="preserve"/>
      </w:r>
    </w:p>
    <w:p>
      <w:pPr>
        <w:spacing w:before="60" w:after="0"/>
      </w:pPr>
      <w:r>
        <w:t xml:space="preserve"/>
      </w:r>
    </w:p>
    <w:p>
      <w:pPr>
        <w:spacing w:before="360" w:after="160"/>
      </w:pPr>
      <w:r>
        <w:rPr>
          <w:rFonts w:ascii="Georgia" w:cs="Georgia" w:eastAsia="Georgia" w:hAnsi="Georgia"/>
          <w:b/>
          <w:bCs/>
          <w:color w:val="0B1F3A"/>
          <w:sz w:val="42"/>
          <w:szCs w:val="42"/>
        </w:rPr>
        <w:t xml:space="preserve">Executive Overview</w:t>
      </w:r>
    </w:p>
    <w:p>
      <w:pPr>
        <w:spacing w:before="60" w:after="80"/>
      </w:pPr>
      <w:r>
        <w:rPr>
          <w:rFonts w:ascii="Calibri" w:cs="Calibri" w:eastAsia="Calibri" w:hAnsi="Calibri"/>
          <w:color w:val="1C1233"/>
          <w:sz w:val="22"/>
          <w:szCs w:val="22"/>
        </w:rPr>
        <w:t xml:space="preserve">This document presents 30 strategically engineered positioning ideas for EcoSkiller's Community &amp; Social feature — covering all 9 organizer categories across 72 features. Every idea is built around the specific psychology, aspirations, cultural values, and decision-making patterns of Indian community and social sector vendors: from RWA secretaries and temple trust managers to NGO directors, debate coaches, book club organizers, gaming community managers, cultural association leaders, charity run coordinators, and professional networking hosts.</w:t>
      </w:r>
    </w:p>
    <w:p>
      <w:pPr>
        <w:spacing w:before="50" w:after="0"/>
      </w:pPr>
      <w:r>
        <w:t xml:space="preserve"/>
      </w:r>
    </w:p>
    <w:p>
      <w:pPr>
        <w:spacing w:before="60" w:after="80"/>
      </w:pPr>
      <w:r>
        <w:rPr>
          <w:rFonts w:ascii="Calibri" w:cs="Calibri" w:eastAsia="Calibri" w:hAnsi="Calibri"/>
          <w:color w:val="1C1233"/>
          <w:sz w:val="22"/>
          <w:szCs w:val="22"/>
        </w:rPr>
        <w:t xml:space="preserve">India's community organizing landscape is enormous and deeply underserved by professional tools — an estimated 3.3 million NGOs, 40,000+ RWAs, hundreds of thousands of cultural associations, alumni networks, volunteer organizations, and community clubs all currently manage operations through WhatsApp groups, Excel sheets, and Google Forms. EcoSkiller is the upgrade they need but haven't yet discovered.</w:t>
      </w:r>
    </w:p>
    <w:p>
      <w:pPr>
        <w:spacing w:before="50" w:after="0"/>
      </w:pPr>
      <w:r>
        <w:t xml:space="preserve"/>
      </w:r>
    </w:p>
    <w:p>
      <w:pPr>
        <w:spacing w:before="60" w:after="80"/>
      </w:pPr>
      <w:r>
        <w:rPr>
          <w:rFonts w:ascii="Calibri" w:cs="Calibri" w:eastAsia="Calibri" w:hAnsi="Calibri"/>
          <w:color w:val="1C1233"/>
          <w:sz w:val="22"/>
          <w:szCs w:val="22"/>
        </w:rPr>
        <w:t xml:space="preserve">Ideas 1–10 (★ marked) are highest priority. Each of the 9 organizer types has dedicated ideas. All 30 include 5 execution-ready components: Hook (Hinglish), Strategy, Actions, Viral Trigger, and Psychology principle.</w:t>
      </w:r>
    </w:p>
    <w:p>
      <w:pPr>
        <w:spacing w:before="80" w:after="0"/>
      </w:pPr>
      <w:r>
        <w:t xml:space="preserve"/>
      </w:r>
    </w:p>
    <w:p>
      <w:pPr>
        <w:pBdr>
          <w:bottom w:val="single" w:color="C5B3E8" w:sz="8" w:space="1"/>
        </w:pBdr>
        <w:spacing w:before="80" w:after="80"/>
      </w:pPr>
      <w:r>
        <w:rPr>
          <w:sz w:val="4"/>
          <w:szCs w:val="4"/>
        </w:rPr>
        <w:t xml:space="preserve"/>
      </w:r>
    </w:p>
    <w:p>
      <w:pPr>
        <w:spacing w:before="60" w:after="0"/>
      </w:pPr>
      <w:r>
        <w:t xml:space="preserve"/>
      </w:r>
    </w:p>
    <w:p>
      <w:pPr>
        <w:spacing w:before="240" w:after="100"/>
      </w:pPr>
      <w:r>
        <w:rPr>
          <w:rFonts w:ascii="Georgia" w:cs="Georgia" w:eastAsia="Georgia" w:hAnsi="Georgia"/>
          <w:b/>
          <w:bCs/>
          <w:color w:val="5B3FA0"/>
          <w:sz w:val="28"/>
          <w:szCs w:val="28"/>
        </w:rPr>
        <w:t xml:space="preserve">9 Organizer Categories Covered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3AEE8" w:sz="1"/>
              <w:left w:val="single" w:color="C3AEE8" w:sz="1"/>
              <w:bottom w:val="single" w:color="C3AEE8" w:sz="1"/>
              <w:right w:val="single" w:color="C3AEE8" w:sz="1"/>
            </w:tcBorders>
            <w:shd w:fill="E8F5E9" w:val="clear"/>
            <w:tcMar>
              <w:top w:type="dxa" w:w="80"/>
              <w:left w:type="dxa" w:w="60"/>
              <w:bottom w:type="dxa" w:w="80"/>
              <w:right w:type="dxa" w:w="60"/>
            </w:tcMar>
          </w:tcPr>
          <w:p>
            <w:pPr>
              <w:jc w:val="center"/>
            </w:pPr>
            <w:r>
              <w:rPr>
                <w:rFonts w:ascii="Calibri" w:cs="Calibri" w:eastAsia="Calibri" w:hAnsi="Calibri"/>
                <w:b/>
                <w:bCs/>
                <w:color w:val="1B5E20"/>
                <w:sz w:val="18"/>
                <w:szCs w:val="18"/>
              </w:rPr>
              <w:t xml:space="preserve">🤝 VOLUNTEER</w:t>
            </w:r>
          </w:p>
        </w:tc>
        <w:tc>
          <w:tcPr>
            <w:tcBorders>
              <w:top w:val="single" w:color="C3AEE8" w:sz="1"/>
              <w:left w:val="single" w:color="C3AEE8" w:sz="1"/>
              <w:bottom w:val="single" w:color="C3AEE8" w:sz="1"/>
              <w:right w:val="single" w:color="C3AEE8" w:sz="1"/>
            </w:tcBorders>
            <w:shd w:fill="E3F2FD" w:val="clear"/>
            <w:tcMar>
              <w:top w:type="dxa" w:w="80"/>
              <w:left w:type="dxa" w:w="60"/>
              <w:bottom w:type="dxa" w:w="80"/>
              <w:right w:type="dxa" w:w="60"/>
            </w:tcMar>
          </w:tcPr>
          <w:p>
            <w:pPr>
              <w:jc w:val="center"/>
            </w:pPr>
            <w:r>
              <w:rPr>
                <w:rFonts w:ascii="Calibri" w:cs="Calibri" w:eastAsia="Calibri" w:hAnsi="Calibri"/>
                <w:b/>
                <w:bCs/>
                <w:color w:val="0D47A1"/>
                <w:sz w:val="18"/>
                <w:szCs w:val="18"/>
              </w:rPr>
              <w:t xml:space="preserve">🏘 COMMUNITY</w:t>
            </w:r>
          </w:p>
        </w:tc>
        <w:tc>
          <w:tcPr>
            <w:tcBorders>
              <w:top w:val="single" w:color="C3AEE8" w:sz="1"/>
              <w:left w:val="single" w:color="C3AEE8" w:sz="1"/>
              <w:bottom w:val="single" w:color="C3AEE8" w:sz="1"/>
              <w:right w:val="single" w:color="C3AEE8" w:sz="1"/>
            </w:tcBorders>
            <w:shd w:fill="FFF3E0" w:val="clear"/>
            <w:tcMar>
              <w:top w:type="dxa" w:w="80"/>
              <w:left w:type="dxa" w:w="60"/>
              <w:bottom w:type="dxa" w:w="80"/>
              <w:right w:type="dxa" w:w="60"/>
            </w:tcMar>
          </w:tcPr>
          <w:p>
            <w:pPr>
              <w:jc w:val="center"/>
            </w:pPr>
            <w:r>
              <w:rPr>
                <w:rFonts w:ascii="Calibri" w:cs="Calibri" w:eastAsia="Calibri" w:hAnsi="Calibri"/>
                <w:b/>
                <w:bCs/>
                <w:color w:val="BF360C"/>
                <w:sz w:val="18"/>
                <w:szCs w:val="18"/>
              </w:rPr>
              <w:t xml:space="preserve">🎤 DEBATE</w:t>
            </w:r>
          </w:p>
        </w:tc>
        <w:tc>
          <w:tcPr>
            <w:tcBorders>
              <w:top w:val="single" w:color="C3AEE8" w:sz="1"/>
              <w:left w:val="single" w:color="C3AEE8" w:sz="1"/>
              <w:bottom w:val="single" w:color="C3AEE8" w:sz="1"/>
              <w:right w:val="single" w:color="C3AEE8" w:sz="1"/>
            </w:tcBorders>
            <w:shd w:fill="FCE4EC" w:val="clear"/>
            <w:tcMar>
              <w:top w:type="dxa" w:w="80"/>
              <w:left w:type="dxa" w:w="60"/>
              <w:bottom w:type="dxa" w:w="80"/>
              <w:right w:type="dxa" w:w="60"/>
            </w:tcMar>
          </w:tcPr>
          <w:p>
            <w:pPr>
              <w:jc w:val="center"/>
            </w:pPr>
            <w:r>
              <w:rPr>
                <w:rFonts w:ascii="Calibri" w:cs="Calibri" w:eastAsia="Calibri" w:hAnsi="Calibri"/>
                <w:b/>
                <w:bCs/>
                <w:color w:val="880E4F"/>
                <w:sz w:val="18"/>
                <w:szCs w:val="18"/>
              </w:rPr>
              <w:t xml:space="preserve">📚 BOOK CLUB</w:t>
            </w:r>
          </w:p>
        </w:tc>
        <w:tc>
          <w:tcPr>
            <w:tcBorders>
              <w:top w:val="single" w:color="C3AEE8" w:sz="1"/>
              <w:left w:val="single" w:color="C3AEE8" w:sz="1"/>
              <w:bottom w:val="single" w:color="C3AEE8" w:sz="1"/>
              <w:right w:val="single" w:color="C3AEE8" w:sz="1"/>
            </w:tcBorders>
            <w:shd w:fill="E0F2F1" w:val="clear"/>
            <w:tcMar>
              <w:top w:type="dxa" w:w="80"/>
              <w:left w:type="dxa" w:w="60"/>
              <w:bottom w:type="dxa" w:w="80"/>
              <w:right w:type="dxa" w:w="60"/>
            </w:tcMar>
          </w:tcPr>
          <w:p>
            <w:pPr>
              <w:jc w:val="center"/>
            </w:pPr>
            <w:r>
              <w:rPr>
                <w:rFonts w:ascii="Calibri" w:cs="Calibri" w:eastAsia="Calibri" w:hAnsi="Calibri"/>
                <w:b/>
                <w:bCs/>
                <w:color w:val="004D40"/>
                <w:sz w:val="18"/>
                <w:szCs w:val="18"/>
              </w:rPr>
              <w:t xml:space="preserve">🌍 SOCIAL</w:t>
            </w:r>
          </w:p>
        </w:tc>
        <w:tc>
          <w:tcPr>
            <w:tcBorders>
              <w:top w:val="single" w:color="C3AEE8" w:sz="1"/>
              <w:left w:val="single" w:color="C3AEE8" w:sz="1"/>
              <w:bottom w:val="single" w:color="C3AEE8" w:sz="1"/>
              <w:right w:val="single" w:color="C3AEE8" w:sz="1"/>
            </w:tcBorders>
            <w:shd w:fill="EDE7F6" w:val="clear"/>
            <w:tcMar>
              <w:top w:type="dxa" w:w="80"/>
              <w:left w:type="dxa" w:w="60"/>
              <w:bottom w:type="dxa" w:w="80"/>
              <w:right w:type="dxa" w:w="60"/>
            </w:tcMar>
          </w:tcPr>
          <w:p>
            <w:pPr>
              <w:jc w:val="center"/>
            </w:pPr>
            <w:r>
              <w:rPr>
                <w:rFonts w:ascii="Calibri" w:cs="Calibri" w:eastAsia="Calibri" w:hAnsi="Calibri"/>
                <w:b/>
                <w:bCs/>
                <w:color w:val="4527A0"/>
                <w:sz w:val="18"/>
                <w:szCs w:val="18"/>
              </w:rPr>
              <w:t xml:space="preserve">🤝 NETWORKING</w:t>
            </w:r>
          </w:p>
        </w:tc>
      </w:tr>
      <w:tr>
        <w:tc>
          <w:tcPr>
            <w:tcBorders>
              <w:top w:val="single" w:color="C3AEE8" w:sz="1"/>
              <w:left w:val="single" w:color="C3AEE8" w:sz="1"/>
              <w:bottom w:val="single" w:color="C3AEE8" w:sz="1"/>
              <w:right w:val="single" w:color="C3AEE8" w:sz="1"/>
            </w:tcBorders>
            <w:shd w:fill="FFF8E1" w:val="clear"/>
            <w:tcMar>
              <w:top w:type="dxa" w:w="80"/>
              <w:left w:type="dxa" w:w="60"/>
              <w:bottom w:type="dxa" w:w="80"/>
              <w:right w:type="dxa" w:w="60"/>
            </w:tcMar>
          </w:tcPr>
          <w:p>
            <w:pPr>
              <w:jc w:val="center"/>
            </w:pPr>
            <w:r>
              <w:rPr>
                <w:rFonts w:ascii="Calibri" w:cs="Calibri" w:eastAsia="Calibri" w:hAnsi="Calibri"/>
                <w:b/>
                <w:bCs/>
                <w:color w:val="F57F17"/>
                <w:sz w:val="18"/>
                <w:szCs w:val="18"/>
              </w:rPr>
              <w:t xml:space="preserve">🎮 GAMING</w:t>
            </w:r>
          </w:p>
        </w:tc>
        <w:tc>
          <w:tcPr>
            <w:tcBorders>
              <w:top w:val="single" w:color="C3AEE8" w:sz="1"/>
              <w:left w:val="single" w:color="C3AEE8" w:sz="1"/>
              <w:bottom w:val="single" w:color="C3AEE8" w:sz="1"/>
              <w:right w:val="single" w:color="C3AEE8" w:sz="1"/>
            </w:tcBorders>
            <w:shd w:fill="FFEBEE" w:val="clear"/>
            <w:tcMar>
              <w:top w:type="dxa" w:w="80"/>
              <w:left w:type="dxa" w:w="60"/>
              <w:bottom w:type="dxa" w:w="80"/>
              <w:right w:type="dxa" w:w="60"/>
            </w:tcMar>
          </w:tcPr>
          <w:p>
            <w:pPr>
              <w:jc w:val="center"/>
            </w:pPr>
            <w:r>
              <w:rPr>
                <w:rFonts w:ascii="Calibri" w:cs="Calibri" w:eastAsia="Calibri" w:hAnsi="Calibri"/>
                <w:b/>
                <w:bCs/>
                <w:color w:val="B71C1C"/>
                <w:sz w:val="18"/>
                <w:szCs w:val="18"/>
              </w:rPr>
              <w:t xml:space="preserve">🌐 CULTURAL</w:t>
            </w:r>
          </w:p>
        </w:tc>
        <w:tc>
          <w:tcPr>
            <w:tcBorders>
              <w:top w:val="single" w:color="C3AEE8" w:sz="1"/>
              <w:left w:val="single" w:color="C3AEE8" w:sz="1"/>
              <w:bottom w:val="single" w:color="C3AEE8" w:sz="1"/>
              <w:right w:val="single" w:color="C3AEE8" w:sz="1"/>
            </w:tcBorders>
            <w:shd w:fill="E8EAF6" w:val="clear"/>
            <w:tcMar>
              <w:top w:type="dxa" w:w="80"/>
              <w:left w:type="dxa" w:w="60"/>
              <w:bottom w:type="dxa" w:w="80"/>
              <w:right w:type="dxa" w:w="60"/>
            </w:tcMar>
          </w:tcPr>
          <w:p>
            <w:pPr>
              <w:jc w:val="center"/>
            </w:pPr>
            <w:r>
              <w:rPr>
                <w:rFonts w:ascii="Calibri" w:cs="Calibri" w:eastAsia="Calibri" w:hAnsi="Calibri"/>
                <w:b/>
                <w:bCs/>
                <w:color w:val="283593"/>
                <w:sz w:val="18"/>
                <w:szCs w:val="18"/>
              </w:rPr>
              <w:t xml:space="preserve">🏃 CHARITY RUN</w:t>
            </w:r>
          </w:p>
        </w:tc>
        <w:tc>
          <w:tcPr>
            <w:tcBorders>
              <w:top w:val="single" w:color="C3AEE8" w:sz="1"/>
              <w:left w:val="single" w:color="C3AEE8" w:sz="1"/>
              <w:bottom w:val="single" w:color="C3AEE8" w:sz="1"/>
              <w:right w:val="single" w:color="C3AEE8" w:sz="1"/>
            </w:tcBorders>
            <w:shd w:fill="F3E5F5" w:val="clear"/>
            <w:tcMar>
              <w:top w:type="dxa" w:w="80"/>
              <w:left w:type="dxa" w:w="60"/>
              <w:bottom w:type="dxa" w:w="80"/>
              <w:right w:type="dxa" w:w="60"/>
            </w:tcMar>
          </w:tcPr>
          <w:p>
            <w:pPr>
              <w:jc w:val="center"/>
            </w:pPr>
            <w:r>
              <w:rPr>
                <w:rFonts w:ascii="Calibri" w:cs="Calibri" w:eastAsia="Calibri" w:hAnsi="Calibri"/>
                <w:b/>
                <w:bCs/>
                <w:color w:val="6A1B9A"/>
                <w:sz w:val="18"/>
                <w:szCs w:val="18"/>
              </w:rPr>
              <w:t xml:space="preserve">—</w:t>
            </w:r>
          </w:p>
        </w:tc>
        <w:tc>
          <w:tcPr>
            <w:tcBorders>
              <w:top w:val="single" w:color="C3AEE8" w:sz="1"/>
              <w:left w:val="single" w:color="C3AEE8" w:sz="1"/>
              <w:bottom w:val="single" w:color="C3AEE8" w:sz="1"/>
              <w:right w:val="single" w:color="C3AEE8" w:sz="1"/>
            </w:tcBorders>
            <w:shd w:fill="F3E5F5" w:val="clear"/>
            <w:tcMar>
              <w:top w:type="dxa" w:w="80"/>
              <w:left w:type="dxa" w:w="60"/>
              <w:bottom w:type="dxa" w:w="80"/>
              <w:right w:type="dxa" w:w="60"/>
            </w:tcMar>
          </w:tcPr>
          <w:p>
            <w:pPr>
              <w:jc w:val="center"/>
            </w:pPr>
            <w:r>
              <w:rPr>
                <w:rFonts w:ascii="Calibri" w:cs="Calibri" w:eastAsia="Calibri" w:hAnsi="Calibri"/>
                <w:b/>
                <w:bCs/>
                <w:color w:val="6A1B9A"/>
                <w:sz w:val="18"/>
                <w:szCs w:val="18"/>
              </w:rPr>
              <w:t xml:space="preserve">—</w:t>
            </w:r>
          </w:p>
        </w:tc>
        <w:tc>
          <w:tcPr>
            <w:tcBorders>
              <w:top w:val="single" w:color="C3AEE8" w:sz="1"/>
              <w:left w:val="single" w:color="C3AEE8" w:sz="1"/>
              <w:bottom w:val="single" w:color="C3AEE8" w:sz="1"/>
              <w:right w:val="single" w:color="C3AEE8" w:sz="1"/>
            </w:tcBorders>
            <w:shd w:fill="F3E5F5" w:val="clear"/>
            <w:tcMar>
              <w:top w:type="dxa" w:w="80"/>
              <w:left w:type="dxa" w:w="60"/>
              <w:bottom w:type="dxa" w:w="80"/>
              <w:right w:type="dxa" w:w="60"/>
            </w:tcMar>
          </w:tcPr>
          <w:p>
            <w:pPr>
              <w:jc w:val="center"/>
            </w:pPr>
            <w:r>
              <w:rPr>
                <w:rFonts w:ascii="Calibri" w:cs="Calibri" w:eastAsia="Calibri" w:hAnsi="Calibri"/>
                <w:b/>
                <w:bCs/>
                <w:color w:val="6A1B9A"/>
                <w:sz w:val="18"/>
                <w:szCs w:val="18"/>
              </w:rPr>
              <w:t xml:space="preserve">—</w:t>
            </w:r>
          </w:p>
        </w:tc>
      </w:tr>
    </w:tbl>
    <w:p>
      <w:pPr>
        <w:spacing w:before="120" w:after="0"/>
      </w:pPr>
      <w:r>
        <w:t xml:space="preserve"/>
      </w:r>
    </w:p>
    <w:p>
      <w:r>
        <w:br w:type="page"/>
      </w:r>
    </w:p>
    <w:p>
      <w:pPr>
        <w:spacing w:before="360" w:after="160"/>
      </w:pPr>
      <w:r>
        <w:rPr>
          <w:rFonts w:ascii="Georgia" w:cs="Georgia" w:eastAsia="Georgia" w:hAnsi="Georgia"/>
          <w:b/>
          <w:bCs/>
          <w:color w:val="0B1F3A"/>
          <w:sz w:val="42"/>
          <w:szCs w:val="42"/>
        </w:rPr>
        <w:t xml:space="preserve">The 30 Positioning Ideas</w:t>
      </w:r>
    </w:p>
    <w:p>
      <w:pPr>
        <w:spacing w:before="60" w:after="80"/>
      </w:pPr>
      <w:r>
        <w:rPr>
          <w:rFonts w:ascii="Calibri" w:cs="Calibri" w:eastAsia="Calibri" w:hAnsi="Calibri"/>
          <w:color w:val="1C1233"/>
          <w:sz w:val="22"/>
          <w:szCs w:val="22"/>
        </w:rPr>
        <w:t xml:space="preserve">★ = Top 10 Priority  |  Category tag shown on each card  |  Ideas 11–30 = Campaign support ideas</w:t>
      </w:r>
    </w:p>
    <w:p>
      <w:pPr>
        <w:pBdr>
          <w:bottom w:val="single" w:color="C5B3E8" w:sz="8" w:space="1"/>
        </w:pBdr>
        <w:spacing w:before="80" w:after="80"/>
      </w:pPr>
      <w:r>
        <w:rPr>
          <w:sz w:val="4"/>
          <w:szCs w:val="4"/>
        </w:rP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01</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"Seva Ka Certificate" — Turn Volunteer Hours Into Shareable Career Capital</w:t>
            </w:r>
          </w:p>
          <w:p>
            <w:pPr>
              <w:spacing w:before="0" w:after="80"/>
            </w:pPr>
            <w:r>
              <w:rPr>
                <w:rFonts w:ascii="Calibri" w:cs="Calibri" w:eastAsia="Calibri" w:hAnsi="Calibri"/>
                <w:b/>
                <w:bCs/>
                <w:color w:val="1B5E20"/>
                <w:sz w:val="18"/>
                <w:szCs w:val="18"/>
              </w:rPr>
              <w:t xml:space="preserve">[VOLUNTEER]  </w:t>
            </w:r>
            <w:r>
              <w:rPr>
                <w:rFonts w:ascii="Calibri" w:cs="Calibri" w:eastAsia="Calibri" w:hAnsi="Calibri"/>
                <w:b/>
                <w:bCs/>
                <w:i/>
                <w:iCs/>
                <w:color w:val="5B3FA0"/>
                <w:sz w:val="20"/>
                <w:szCs w:val="20"/>
              </w:rPr>
              <w:t xml:space="preserve">Make service hours the most shareable social currency for Indian youth</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"100 ghante seva kiya — EcoSkiller pe verified certificate generate hua. College application mein, LinkedIn pe, resume mein — dikhao duniya ko jo kiya hai." </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student and young professional population is intensely focused on building credentials for college admissions, scholarship applications, and job searches. The Attendance &amp; Hours Logging feature with its 'official hours letters' and Recognition &amp; Reward System with digital badges is a goldmine of career-relevant content. Position EcoSkiller as the platform that converts invisible seva into visible, verified, shareable achievements. Target NGOs, religious organizations (RSS shakhas, NSS units, NCC), and college community service clubs that coordinate thousands of volunteers who currently have NO formal record of their service.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a sample 'Seva Certificate' visual — professional, branded, verifiable — and post on Instagram and LinkedIn. Show students adding it to their LinkedIn profile. Run a campaign: 'Apni seva ko visible banao.' Target NSS, NCC, and college social service clubs on Instagram. Create a tutorial: '3 steps to get your volunteer certificate from EcoSkiller.'</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Students who receive verified service certificates immediately share them on WhatsApp status, Instagram Stories, and LinkedIn with 'Proud to have contributed X hours to Y cause.' Each share is seen by hundreds of peers who want the same recognition — creating massive word-of-mouth among exactly the demographic most likely to become platform users.</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Credential hunger + social validation — Indian students and young professionals are acutely credentialing-aware. A tangible, shareable proof of social contribution fulfills both the desire to do good AND the need to be seen doing good — a powerful dual motivation.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02</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"Apni Society Ka Digital Dil" — RWA &amp; Resident Community Hub Positioning</w:t>
            </w:r>
          </w:p>
          <w:p>
            <w:pPr>
              <w:spacing w:before="0" w:after="80"/>
            </w:pPr>
            <w:r>
              <w:rPr>
                <w:rFonts w:ascii="Calibri" w:cs="Calibri" w:eastAsia="Calibri" w:hAnsi="Calibri"/>
                <w:b/>
                <w:bCs/>
                <w:color w:val="0D47A1"/>
                <w:sz w:val="18"/>
                <w:szCs w:val="18"/>
              </w:rPr>
              <w:t xml:space="preserve">[COMMUNITY]  </w:t>
            </w:r>
            <w:r>
              <w:rPr>
                <w:rFonts w:ascii="Calibri" w:cs="Calibri" w:eastAsia="Calibri" w:hAnsi="Calibri"/>
                <w:b/>
                <w:bCs/>
                <w:i/>
                <w:iCs/>
                <w:color w:val="5B3FA0"/>
                <w:sz w:val="20"/>
                <w:szCs w:val="20"/>
              </w:rPr>
              <w:t xml:space="preserve">The complete operating system for India's 40,000+ Resident Welfare Associations</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"Society ki booking, complaints, noticeboard, member register, events — sab ek app mein. EcoSkiller RWA ke liye bana hai — WhatsApp group se upgrade karo aaj."</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 has over 40,000 active Resident Welfare Associations (RWAs) in cities alone — plus lakhs of mohalla committees, apartment society committees, and gated community admin bodies. All currently run on WhatsApp + Google Forms + cash payments + physical noticeboards. The Community Hub features — Space &amp; Room Booking, Member &amp; Community Register, Programme &amp; Events Calendar, Noticeboard &amp; Announcements, and Grant &amp; Funding Management — collectively map perfectly to the exact pain of running an RWA. Position this as 'the RWA operating system.'</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'Is Your RWA Still Running on WhatsApp? Here's the Upgrade' content. Show side-by-side: chaotic WhatsApp group vs. clean EcoSkiller dashboard. Target RWA president and secretary WhatsApp groups, housing society Facebook groups, and apartment complex social media admins. Run in Hindi and English. Partner with RWA federations in Delhi, Mumbai, Bangalore, and Pune for co-branded awareness campaigns.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RWA frustrations are universally shared in apartment society communities. When one RWA secretary shares how they upgraded their society management, neighboring RWA admins immediately ask 'Yeh kaise kiya?' — triggering peer recommendation chains across entire residential zones.</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Status and competence among peers — RWA presidents and secretaries are respected volunteer leaders in their communities. Being the one who 'professionalizes' the society's operations earns them lasting recognition and gratitude from hundreds of residents.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03</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"Connections Nahi, Opportunities Banao" — Professional Networking as Career Engine</w:t>
            </w:r>
          </w:p>
          <w:p>
            <w:pPr>
              <w:spacing w:before="0" w:after="80"/>
            </w:pPr>
            <w:r>
              <w:rPr>
                <w:rFonts w:ascii="Calibri" w:cs="Calibri" w:eastAsia="Calibri" w:hAnsi="Calibri"/>
                <w:b/>
                <w:bCs/>
                <w:color w:val="4527A0"/>
                <w:sz w:val="18"/>
                <w:szCs w:val="18"/>
              </w:rPr>
              <w:t xml:space="preserve">[NETWORKING]  </w:t>
            </w:r>
            <w:r>
              <w:rPr>
                <w:rFonts w:ascii="Calibri" w:cs="Calibri" w:eastAsia="Calibri" w:hAnsi="Calibri"/>
                <w:b/>
                <w:bCs/>
                <w:i/>
                <w:iCs/>
                <w:color w:val="5B3FA0"/>
                <w:sz w:val="20"/>
                <w:szCs w:val="20"/>
              </w:rPr>
              <w:t xml:space="preserve">Tap India's exploding professional networking culture with smart matchmaking</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"Ek alumni meet mein aaye 80 log — 3 din baad sab bhool gaye. EcoSkiller ka smart matchmaking engine batata hai 'Yeh aapko mil'na chahiye' — reason ke saath. Connections se careers bante hain."</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Professional networking events are exploding in India — startup meetups, alumni networks, industry associations, women entrepreneur circles, freelancer communities. But most Indian networking organizers manage everything on WhatsApp + Excel + Google Forms. Position the Smart Matchmaking Engine, Member Directory &amp; Profiles, Connection Tracking &amp; Follow-ups, Mentorship Programme Management, and Engagement Analytics as the infrastructure that converts one-time networking events into lasting professional relationship engines. This is particularly powerful for India's growing startup ecosystem and women professionals community.</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'The 5 Networking Events I Organized — And Why 4 Were Wasted Without This Tool' storytelling post. Show a networking event before EcoSkiller (no follow-ups, connections forgotten) and after (smart matches, follow-up nudges, mentorship pairs formed). Target LinkedIn for professional community organizers. Create a '30-day networking ROI calculator' showing connection outcomes.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Professional networking content performs extremely well on LinkedIn. Organizers who share 'We facilitated X mentorship pairs and Y collaborations this quarter' posts create aspirational content that other community managers reshare. Connection outcome stats are a powerful social currency.</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Impact anxiety + community building aspiration — professional networking organizers in India work hard but rarely see tangible outcomes from their events. EcoSkiller gives them proof of impact — number of connections made, mentorships started, collaborations formed — which validates their effort and motivates continued organizing.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04</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"Impact Report Se Fund Milega" — Social Impact Quantification as Funding Weapon</w:t>
            </w:r>
          </w:p>
          <w:p>
            <w:pPr>
              <w:spacing w:before="0" w:after="80"/>
            </w:pPr>
            <w:r>
              <w:rPr>
                <w:rFonts w:ascii="Calibri" w:cs="Calibri" w:eastAsia="Calibri" w:hAnsi="Calibri"/>
                <w:b/>
                <w:bCs/>
                <w:color w:val="004D40"/>
                <w:sz w:val="18"/>
                <w:szCs w:val="18"/>
              </w:rPr>
              <w:t xml:space="preserve">[SOCIAL]  </w:t>
            </w:r>
            <w:r>
              <w:rPr>
                <w:rFonts w:ascii="Calibri" w:cs="Calibri" w:eastAsia="Calibri" w:hAnsi="Calibri"/>
                <w:b/>
                <w:bCs/>
                <w:i/>
                <w:iCs/>
                <w:color w:val="5B3FA0"/>
                <w:sz w:val="20"/>
                <w:szCs w:val="20"/>
              </w:rPr>
              <w:t xml:space="preserve">Help Indian NGOs and social impact organizations translate work into grant-winning data</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"CSR fund ke liye apply kiya — unhone pucha 'kitne beneficiaries, kya measurable impact?' EcoSkiller ka impact measurement dashboard se ek page mein sab answer. Fund mil gaya."</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NGO and social impact sector is enormous — 3.3 million registered NGOs — but most fail to get CSR funding, government grants, or international donor support because they cannot quantify their impact with data. The Social Impact Organiser's Impact Measurement Framework, Campaign Planning &amp; Management, Fundraising &amp; Donation Management, and Coalition &amp; Partnership Tools collectively solve this problem. Position EcoSkiller as the 'funding enabler' — the platform that transforms grassroots work into grant-worthy impact reports automatically.</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'The Reason Your NGO Isn't Getting CSR Funding (And How to Fix It)' LinkedIn article. Address the exact gap: companies want data, NGOs have stories. Show how EcoSkiller's impact dashboard generates the charts and numbers that CSR committees require. Distribute via NGO network groups, NASSCOM CSR channels, and social entrepreneur communities. Create a free 'CSR Application Template Pack' that uses EcoSkiller data fields.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NGO funding anxiety is universally felt by social sector organizers. When one organization shares their funding success story ('EcoSkiller ki impact report se pehli baar CSR fund mila!'), every other NGO in their network immediately wants the same. The success story spreads through tight-knit social sector WhatsApp communities.</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Resourcefulness and mission validation — Indian social sector workers are deeply mission-driven but resource-constrained. A tool that helps their important work get the funding it deserves feels like justice, not just convenience. EcoSkiller becomes the ally that their cause deserves.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05</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"Run Se Paisa, Cause Ko Pankh" — Charity Run Fundraising Amplification</w:t>
            </w:r>
          </w:p>
          <w:p>
            <w:pPr>
              <w:spacing w:before="0" w:after="80"/>
            </w:pPr>
            <w:r>
              <w:rPr>
                <w:rFonts w:ascii="Calibri" w:cs="Calibri" w:eastAsia="Calibri" w:hAnsi="Calibri"/>
                <w:b/>
                <w:bCs/>
                <w:color w:val="283593"/>
                <w:sz w:val="18"/>
                <w:szCs w:val="18"/>
              </w:rPr>
              <w:t xml:space="preserve">[CHARITY RUN]  </w:t>
            </w:r>
            <w:r>
              <w:rPr>
                <w:rFonts w:ascii="Calibri" w:cs="Calibri" w:eastAsia="Calibri" w:hAnsi="Calibri"/>
                <w:b/>
                <w:bCs/>
                <w:i/>
                <w:iCs/>
                <w:color w:val="5B3FA0"/>
                <w:sz w:val="20"/>
                <w:szCs w:val="20"/>
              </w:rPr>
              <w:t xml:space="preserve">India's marathon and charity run market is booming — own the organizer stack</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"5K run, 200 participants, sabke fundraising pages automatically ban gaye, social pe share hua, ₹8 lakh raise hua. EcoSkiller ne poora manage kiya — registration se finisher certificate tak."</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Charity runs are one of the fastest growing community events in Indian cities — from corporate CSR 5Ks to massive marathon fundraisers for hospitals and schools. Most organizers struggle with scattered registration (Google Forms), manual payment collection, paper race packs, and no fundraising infrastructure. Position the Participant Registration System, Fundraising Page Integration, Timing &amp; Results Management, Merchandise &amp; Pack Management, Volunteer &amp; Marshal Coordination, and Post-Event Engagement features as a complete charity run operating system that handles everything from the first registration to the final finisher certificate.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'How to Organize Your First Charity Run in India' free comprehensive guide — each step powered by EcoSkiller features. Distribute via corporate CSR networks, running clubs (there are 800+ in India), hospital charity departments, and school fundraising communities. Show the automated finisher certificate and fundraising page as the most shareable outputs.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Finisher certificates with personal name, time, and fundraising total are shared intensely on Instagram and WhatsApp — each share shows the organizer's EcoSkiller-generated content to hundreds of potential future participants who ask 'Kab hai next run?' Participant enthusiasm markets the next edition automatically.</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Pride of accomplishment + social sharing impulse — running a charity event, getting a professional finisher certificate, AND raising money for a cause creates a triple dopamine hit that Indians share loudly. The organizer who delivers this experience is remembered for years.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06</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"Apni Virasat Ka Digital Museum" — Heritage Documentation as Community Legacy</w:t>
            </w:r>
          </w:p>
          <w:p>
            <w:pPr>
              <w:spacing w:before="0" w:after="80"/>
            </w:pPr>
            <w:r>
              <w:rPr>
                <w:rFonts w:ascii="Calibri" w:cs="Calibri" w:eastAsia="Calibri" w:hAnsi="Calibri"/>
                <w:b/>
                <w:bCs/>
                <w:color w:val="B71C1C"/>
                <w:sz w:val="18"/>
                <w:szCs w:val="18"/>
              </w:rPr>
              <w:t xml:space="preserve">[CULTURAL]  </w:t>
            </w:r>
            <w:r>
              <w:rPr>
                <w:rFonts w:ascii="Calibri" w:cs="Calibri" w:eastAsia="Calibri" w:hAnsi="Calibri"/>
                <w:b/>
                <w:bCs/>
                <w:i/>
                <w:iCs/>
                <w:color w:val="5B3FA0"/>
                <w:sz w:val="20"/>
                <w:szCs w:val="20"/>
              </w:rPr>
              <w:t xml:space="preserve">Help India's cultural and diaspora organizations preserve what cannot be replaced</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"Dadi ki seekhi recipe, village ke liye photo, purani folk song — EcoSkiller ka heritage vault mein safe. Aane wali peedhiyon ke liye preserve karo jo aaj hai."</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enormous diaspora organizations, regional cultural associations (Tamil Sangams, Malayalam Associations, Gujarati communities abroad), and local heritage societies are desperately looking for ways to document and preserve their cultural heritage digitally. The Cultural Organiser's Heritage Documentation Vault — with oral history recordings, traditional recipe collections, folk music archives, and genealogical documents — addresses this profound emotional need. Position EcoSkiller as a digital heritage custodian, not just an event management tool.</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'Before We Lose It Forever — The Digital Heritage Movement' emotional video concept. Show an elderly community member sharing a folk song being archived. Show the heritage vault with tagged community-contributed content. Distribute via Tamil, Gujarati, Bengali, Marathi, Punjabi, and Telugu cultural associations globally. Partner with regional language media outlets for amplification.</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Cultural heritage content has extraordinary emotional resonance in Indian communities — especially among diaspora. 'Hamare gaon ki kahani platform pe!' posts trigger intense sharing chains across regional WhatsApp groups, family networks, and cultural association communities who share from deep emotional pride.</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Cultural identity and intergenerational responsibility — Indians have a profound sense of duty to preserve heritage for future generations. This is especially strong in diaspora communities anxious about cultural disconnection. EcoSkiller becomes the tool that fulfills a sacred community responsibility.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07</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"NGO Ko Corporate Banana" — Professionalization as Volunteer Magnet</w:t>
            </w:r>
          </w:p>
          <w:p>
            <w:pPr>
              <w:spacing w:before="0" w:after="80"/>
            </w:pPr>
            <w:r>
              <w:rPr>
                <w:rFonts w:ascii="Calibri" w:cs="Calibri" w:eastAsia="Calibri" w:hAnsi="Calibri"/>
                <w:b/>
                <w:bCs/>
                <w:color w:val="1B5E20"/>
                <w:sz w:val="18"/>
                <w:szCs w:val="18"/>
              </w:rPr>
              <w:t xml:space="preserve">[VOLUNTEER]  </w:t>
            </w:r>
            <w:r>
              <w:rPr>
                <w:rFonts w:ascii="Calibri" w:cs="Calibri" w:eastAsia="Calibri" w:hAnsi="Calibri"/>
                <w:b/>
                <w:bCs/>
                <w:i/>
                <w:iCs/>
                <w:color w:val="5B3FA0"/>
                <w:sz w:val="20"/>
                <w:szCs w:val="20"/>
              </w:rPr>
              <w:t xml:space="preserve">Help small Indian NGOs attract high-quality volunteers through professional presentation</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"IIT grad volunteer banana chahta tha — NGO ke paas proper onboarding, skill matching, ya documentation kuch bhi nahi tha. EcoSkiller se professional volunteer portal banao, quality volunteers aate hain."</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growing educated middle class has enormous volunteering energy, but most Indian NGOs are too informal to attract and retain high-quality volunteers who expect professional processes. Position the Volunteer Recruitment Portal, Skills &amp; Certification Tracking, Compliance &amp; Safeguarding documentation, and Communication &amp; Briefing Hub as 'volunteer attraction infrastructure.' A professional volunteer system signals organizational quality — which is what educated professionals evaluate before committing their time.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'Why Skilled Professionals Won't Volunteer for Your NGO (And How to Fix It)' LinkedIn article. Address the credibility gap between what educated volunteers expect and what informal NGOs offer. Show EcoSkiller's professional portal, skill matching, and official letters as the signals of credibility that attract premium volunteers. Target corporate CSR managers, employee volunteering programs, and NGO leaders.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The 'quality volunteer attraction' concept sparks recognition from both sides — NGOs share it for the insight, while professionals share it explaining why they previously avoided volunteering. Both groups drive awareness to the platform simultaneously from opposite directions.</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Organizational pride + professionalism aspiration — Indian NGO leaders deeply want their organizations respected and taken seriously. EcoSkiller positions them as competent operators, not just cause-driven activists. This dignity upgrade is profoundly motivating.</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08</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"Mentor Dhundo, Career Badlo" — Mentorship Programme as Aspiration Hook</w:t>
            </w:r>
          </w:p>
          <w:p>
            <w:pPr>
              <w:spacing w:before="0" w:after="80"/>
            </w:pPr>
            <w:r>
              <w:rPr>
                <w:rFonts w:ascii="Calibri" w:cs="Calibri" w:eastAsia="Calibri" w:hAnsi="Calibri"/>
                <w:b/>
                <w:bCs/>
                <w:color w:val="4527A0"/>
                <w:sz w:val="18"/>
                <w:szCs w:val="18"/>
              </w:rPr>
              <w:t xml:space="preserve">[NETWORKING]  </w:t>
            </w:r>
            <w:r>
              <w:rPr>
                <w:rFonts w:ascii="Calibri" w:cs="Calibri" w:eastAsia="Calibri" w:hAnsi="Calibri"/>
                <w:b/>
                <w:bCs/>
                <w:i/>
                <w:iCs/>
                <w:color w:val="5B3FA0"/>
                <w:sz w:val="20"/>
                <w:szCs w:val="20"/>
              </w:rPr>
              <w:t xml:space="preserve">Tap India's massive hunger for mentorship with a structured programme tool</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"Startup founders, women professionals, first-gen corporate employees — sab mentor dhundhte hain. EcoSkiller ka mentorship matching engine sahi mentor se milata hai, session track karta hai, dono ko certificate deta hai."</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Mentorship is one of the most searched and discussed topics in Indian professional communities — especially for women professionals, first-generation corporate employees, startup founders, and tier-2 city professionals navigating unfamiliar career paths. The Mentorship Programme Management feature — with industry-aligned matching, session cadence scheduling, progress tracking, and digital recognition for both mentors and mentees — addresses this at scale. Position EcoSkiller as the infrastructure for India's most needed professional intervention.</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'The ₹0 Mentorship Programme That Changed 50 Careers' case study format post. Show how an alumni association or women's network used EcoSkiller to run a structured mentorship program. Include stats: pairs matched, sessions completed, career outcomes. Post on LinkedIn targeting alumni associations, women's professional networks, and startup communities. Run on International Mentoring Day.</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Mentorship success stories are among the most shared content in Indian professional communities. When a mentee shares 'My mentor helped me get promoted — we were matched through [organization's EcoSkiller program],' the organizing body gets massive credit. Mentors share because recognition feeds their professional identity.</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Aspiration and gratitude culture — in India, the guru-shishya relationship is sacred. Structured mentorship programs that deliver real career outcomes create deep emotional bonds between participants, the organizing body, and the platform that made it possible.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09</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"Pehle Try Karo, Phir Decide Karo" — Zero-Risk First Community Free</w:t>
            </w:r>
          </w:p>
          <w:p>
            <w:pPr>
              <w:spacing w:before="0" w:after="80"/>
            </w:pPr>
            <w:r>
              <w:rPr>
                <w:rFonts w:ascii="Calibri" w:cs="Calibri" w:eastAsia="Calibri" w:hAnsi="Calibri"/>
                <w:b/>
                <w:bCs/>
                <w:color w:val="6A1B9A"/>
                <w:sz w:val="18"/>
                <w:szCs w:val="18"/>
              </w:rPr>
              <w:t xml:space="preserve">[MULTI]  </w:t>
            </w:r>
            <w:r>
              <w:rPr>
                <w:rFonts w:ascii="Calibri" w:cs="Calibri" w:eastAsia="Calibri" w:hAnsi="Calibri"/>
                <w:b/>
                <w:bCs/>
                <w:i/>
                <w:iCs/>
                <w:color w:val="5B3FA0"/>
                <w:sz w:val="20"/>
                <w:szCs w:val="20"/>
              </w:rPr>
              <w:t xml:space="preserve">Remove every barrier between a skeptical Indian community organizer and the platform</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"Believe karna mushkil hai? Apna pehla community event — volunteer drive, networking meet, cultural program, kuch bhi — bilkul free mein EcoSkiller pe manage karo. Platform khud convince karega."</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Indian community and social sector organizers are resource-conscious and change-resistant — most have tried tools that disappointed them. A free first-event offer removes the risk entirely and lets the product sell itself. Once an organizer sees automated registrations, real-time attendance, digital certificates, and impact dashboards working in their own event, the emotional switching cost to leave becomes enormous. Position this across all 9 organizer types with category-specific hooks.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Run 'Pehla Event Free' campaign across Instagram, Facebook, LinkedIn, and community sector WhatsApp groups. Create category-specific versions: 'Pehla volunteer drive free,' 'Pehla networking event free,' 'Pehla cultural program free.' Pair with a 20-minute onboarding video per category. Distribute through NGO networks, RWA federations, college clubs, and cultural associations.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Free trial offers spread fastest through tight-knit community networks where trust is high. One respected organizer sharing 'Yaar, try karo — zero cost, bahut kaam ka' in a WhatsApp group converts 5-10 others immediately. Community recommendation chains are the most efficient customer acquisition channel for this audience.</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Zero-risk trial removes commitment anxiety — Indian community organizers are volunteer-driven and budget-conscious. Once they experience the platform, rational and emotional switching costs spike dramatically. The free event is the investment in a lifelong customer relationship.</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2D1B69" w:sz="1"/>
              <w:left w:val="single" w:color="2D1B69" w:sz="1"/>
              <w:bottom w:val="single" w:color="2D1B69" w:sz="1"/>
              <w:right w:val="single" w:color="2D1B69" w:sz="1"/>
            </w:tcBorders>
            <w:shd w:fill="2D1B69"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10</w:t>
            </w:r>
          </w:p>
          <w:p>
            <w:pPr>
              <w:jc w:val="center"/>
            </w:pPr>
            <w:r>
              <w:rPr>
                <w:rFonts w:ascii="Calibri" w:cs="Calibri" w:eastAsia="Calibri" w:hAnsi="Calibri"/>
                <w:color w:val="C9960A"/>
                <w:sz w:val="20"/>
                <w:szCs w:val="20"/>
              </w:rPr>
              <w:t xml:space="preserve">★</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"Petition Se Policy Tak" — Social Change as Platform Power Story</w:t>
            </w:r>
          </w:p>
          <w:p>
            <w:pPr>
              <w:spacing w:before="0" w:after="80"/>
            </w:pPr>
            <w:r>
              <w:rPr>
                <w:rFonts w:ascii="Calibri" w:cs="Calibri" w:eastAsia="Calibri" w:hAnsi="Calibri"/>
                <w:b/>
                <w:bCs/>
                <w:color w:val="004D40"/>
                <w:sz w:val="18"/>
                <w:szCs w:val="18"/>
              </w:rPr>
              <w:t xml:space="preserve">[SOCIAL]  </w:t>
            </w:r>
            <w:r>
              <w:rPr>
                <w:rFonts w:ascii="Calibri" w:cs="Calibri" w:eastAsia="Calibri" w:hAnsi="Calibri"/>
                <w:b/>
                <w:bCs/>
                <w:i/>
                <w:iCs/>
                <w:color w:val="5B3FA0"/>
                <w:sz w:val="20"/>
                <w:szCs w:val="20"/>
              </w:rPr>
              <w:t xml:space="preserve">Make EcoSkiller the tool that India's activists and change-makers reach for first</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"Local school mein water supply nahi — online petition banayi, 5,000 signatures mili, municipal corporation ko diya — 3 mahine mein pipe aaya. EcoSkiller ne petition se presentation tak sab manage kiya."</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 has a deeply active civic culture — from neighborhood water supply petitions to environmental campaigns, from women's safety drives to heritage preservation battles. The Social Impact Organiser's Petition &amp; Signature Collection, Campaign Planning &amp; Management, Event &amp; Action Mobilisation, Stakeholder Mapping &amp; Engagement, and Media &amp; Communications Toolkit together form a complete civic action toolkit. Position EcoSkiller as the infrastructure of India's grassroots change movements.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'How a Group of 10 People Changed Their Neighborhood in 90 Days' storytelling content. Show the petition creation, signature collection, stakeholder submission, and outcome documentation — all on EcoSkiller. Post as Instagram Reel and Twitter/X thread. Target civic groups, RWA networks, environmental organizations, and student activist communities. Run especially ahead of local government election cycles.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Change-making stories are among the most shared content in Indian social media — especially in local community WhatsApp groups and Facebook groups where civic identity is strong. A successful petition outcome story with EcoSkiller attribution spreads as 'this is what organized community action looks like.' It inspires others to organize.</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Agency and collective efficacy — Indians deeply believe in the power of collective action but often feel helpless about how to organize effectively. EcoSkiller gives them the tools to convert that belief into organized movement. The platform is not just software — it is empowerment infrastructure.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11</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"Debate Se IAS Tak" — Debate Club as Career Pathway Positioning</w:t>
            </w:r>
          </w:p>
          <w:p>
            <w:pPr>
              <w:spacing w:before="0" w:after="80"/>
            </w:pPr>
            <w:r>
              <w:rPr>
                <w:rFonts w:ascii="Calibri" w:cs="Calibri" w:eastAsia="Calibri" w:hAnsi="Calibri"/>
                <w:b/>
                <w:bCs/>
                <w:color w:val="BF360C"/>
                <w:sz w:val="18"/>
                <w:szCs w:val="18"/>
              </w:rPr>
              <w:t xml:space="preserve">[DEBATE]  </w:t>
            </w:r>
            <w:r>
              <w:rPr>
                <w:rFonts w:ascii="Calibri" w:cs="Calibri" w:eastAsia="Calibri" w:hAnsi="Calibri"/>
                <w:b/>
                <w:bCs/>
                <w:i/>
                <w:iCs/>
                <w:color w:val="5B3FA0"/>
                <w:sz w:val="20"/>
                <w:szCs w:val="20"/>
              </w:rPr>
              <w:t xml:space="preserve">Connect debate skills to India's highest-status career aspirations</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"IAS, lawyer, journalist, politician — sab mein ek cheez common hai: debate skills. EcoSkiller ka debate club platform se speech training, tournament history, aur certificates — career ke liye invest karo."</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Indian parents and students are intensely career-oriented. Debate clubs are seen as extracurricular, not essential — unless clearly linked to career outcomes. Position the Training Programme Builder, Speaker Registration &amp; Profiles, Tournament Hosting Tools, and Adjudication &amp; Scoring System as a structured pathway to IAS interview performance, law school moot court competition, journalism, and political career development. Frame debate training as the most underrated career investment in India.</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'Why Every IAS Aspirant Should Join a Debate Club' YouTube video and LinkedIn article. Show EcoSkiller's structured training pathway with certifiable milestones. Target IAS coaching centers, law school prep communities, and school debate circuits on social media. Distribute through debate coach networks on LinkedIn.</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IAS preparation content is one of the most consumed categories in Indian YouTube and Quora. Linking debate training to IAS success creates enormous cross-community sharing between debate circles and the vastly larger IAS aspirant community.</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Status-linked aspiration — Indian students evaluate activities by career ROI. The moment debate is framed as IAS/lawyer/journalist preparation rather than 'interesting hobby,' it becomes a priority investment that parents fund and students pursue seriously.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12</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"Ek Hall, Teen Guna Income" — Space &amp; Room Booking as Revenue Tool</w:t>
            </w:r>
          </w:p>
          <w:p>
            <w:pPr>
              <w:spacing w:before="0" w:after="80"/>
            </w:pPr>
            <w:r>
              <w:rPr>
                <w:rFonts w:ascii="Calibri" w:cs="Calibri" w:eastAsia="Calibri" w:hAnsi="Calibri"/>
                <w:b/>
                <w:bCs/>
                <w:color w:val="0D47A1"/>
                <w:sz w:val="18"/>
                <w:szCs w:val="18"/>
              </w:rPr>
              <w:t xml:space="preserve">[COMMUNITY]  </w:t>
            </w:r>
            <w:r>
              <w:rPr>
                <w:rFonts w:ascii="Calibri" w:cs="Calibri" w:eastAsia="Calibri" w:hAnsi="Calibri"/>
                <w:b/>
                <w:bCs/>
                <w:i/>
                <w:iCs/>
                <w:color w:val="5B3FA0"/>
                <w:sz w:val="20"/>
                <w:szCs w:val="20"/>
              </w:rPr>
              <w:t xml:space="preserve">Help community centers and mandals unlock hidden revenue from their own spaces</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"Community hall din mein khali rehta hai — EcoSkiller ka booking system se yoga class, coaching center, aur business meetings book hote hain. Hall se monthly ₹25,000 extra — bina investment ke."</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 has hundreds of thousands of community halls, mandal bhavans, cultural center halls, and society clubhouses that sit empty for most of the day. The Space &amp; Room Booking System with real-time availability calendar, differential pricing tiers, capacity enforcement, and booking rules is a direct revenue unlocking tool. Position EcoSkiller as a space monetization engine for community organizations that are perpetually underfunded.</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'Is Your Community Hall Making Money? Here's How.' Instagram carousel with revenue calculation. Show: 5 days × 3 slots × ₹2,000 per slot = ₹30,000/month passive income. Walk through the booking setup on EcoSkiller. Target mandal bhavan trustees, temple committee managers, gurdwara management committees, and church hall administrators across India.</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Revenue generation content for community organizations spreads rapidly through religious and social trust networks — these committees are always looking for ways to fund their operations without increasing donations. When one committee shares 'Hamara hall ab paise kamaata hai,' others immediately want the same.</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Resourcefulness and stewardship responsibility — community space managers feel a duty to maximize the use of assets entrusted to them. A tool that converts idle spaces into community revenue is not just financially valuable — it validates their stewardship.</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13</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"India Ka Apna Esports League" — Gaming Club as Youth Community Hub</w:t>
            </w:r>
          </w:p>
          <w:p>
            <w:pPr>
              <w:spacing w:before="0" w:after="80"/>
            </w:pPr>
            <w:r>
              <w:rPr>
                <w:rFonts w:ascii="Calibri" w:cs="Calibri" w:eastAsia="Calibri" w:hAnsi="Calibri"/>
                <w:b/>
                <w:bCs/>
                <w:color w:val="F57F17"/>
                <w:sz w:val="18"/>
                <w:szCs w:val="18"/>
              </w:rPr>
              <w:t xml:space="preserve">[GAMING]  </w:t>
            </w:r>
            <w:r>
              <w:rPr>
                <w:rFonts w:ascii="Calibri" w:cs="Calibri" w:eastAsia="Calibri" w:hAnsi="Calibri"/>
                <w:b/>
                <w:bCs/>
                <w:i/>
                <w:iCs/>
                <w:color w:val="5B3FA0"/>
                <w:sz w:val="20"/>
                <w:szCs w:val="20"/>
              </w:rPr>
              <w:t xml:space="preserve">Tap India's 400 million gamers with a platform that takes gaming seriously</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"BGMI tournament, Chess league, Carrom championship, board game nights — EcoSkiller pe properly organize karo. Leaderboard, brackets, achievements — sab. Gaming community ko real home do."</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 has 400+ million mobile gamers and a rapidly growing esports scene. But gaming communities are entirely WhatsApp + Discord based — no professional management, no tournament history, no achievement records. Position the Tournament &amp; League Management, Player Profiles &amp; Achievements, Game Library &amp; Session Catalogue, and Content &amp; Streaming Hub as legitimizing infrastructure for India's gaming communities. The key insight: Indian gaming clubs want to be taken seriously as competitive sports organizations — EcoSkiller does that.</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'India Ke Sabse Organized Gaming Club' case study series. Feature a college gaming club using EcoSkiller for BGMI, Chess, and Carrom — show the tournament bracket, leaderboard, and achievement badges. Post as Instagram Reels and YouTube Shorts. Target college tech fests, esports club coordinators, and gaming café networks. Run Hindi content for Tier-2 city gaming communities.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Gamers share platform content intensely when it validates their community's legitimacy. A professional-looking tournament bracket, achievement badge, or leaderboard screenshot spreads virally in gaming WhatsApp groups and Discord servers — every share recruits new clubs.</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Legitimacy hunger — Indian gaming communities feel condescended to by mainstream culture. A platform that treats gaming clubs with the same organizational seriousness as cricket leagues or professional associations validates their identity and creates fierce loyalty.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14</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"Reading Streak = Instagram Gold" — Book Club Analytics as Social Content</w:t>
            </w:r>
          </w:p>
          <w:p>
            <w:pPr>
              <w:spacing w:before="0" w:after="80"/>
            </w:pPr>
            <w:r>
              <w:rPr>
                <w:rFonts w:ascii="Calibri" w:cs="Calibri" w:eastAsia="Calibri" w:hAnsi="Calibri"/>
                <w:b/>
                <w:bCs/>
                <w:color w:val="880E4F"/>
                <w:sz w:val="18"/>
                <w:szCs w:val="18"/>
              </w:rPr>
              <w:t xml:space="preserve">[BOOK CLUB]  </w:t>
            </w:r>
            <w:r>
              <w:rPr>
                <w:rFonts w:ascii="Calibri" w:cs="Calibri" w:eastAsia="Calibri" w:hAnsi="Calibri"/>
                <w:b/>
                <w:bCs/>
                <w:i/>
                <w:iCs/>
                <w:color w:val="5B3FA0"/>
                <w:sz w:val="20"/>
                <w:szCs w:val="20"/>
              </w:rPr>
              <w:t xml:space="preserve">Turn reading data into shareable social content that markets the club</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"12 mahine mein 15 kitaabein padhi, 8 genres explore kiye, sabse popular book — EcoSkiller ka annual reading summary har member ko milta hai. Instagram pe share kiya — 20 naye member join kar liye."</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Indian book lovers are a growing, passionate, social media-active community — #BookTok, BookInfluencers, and literary WhatsApp groups are exploding. Position the Author &amp; Genre Analytics, Member Profiles &amp; Reading History, Reviews &amp; Ratings System, and the Community &amp; Social Features (especially annual reading summaries and milestone celebrations) as social content generators. EcoSkiller book club creates content that markets itself — every annual reading summary posted on Instagram is an organic ad for the club.</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sample annual reading summary graphic — beautiful visualization showing books read, genres explored, favorite book of the year, total pages. Post on Instagram and Pinterest. Create 'Start Your Book Club on EcoSkiller — Your Annual Reading Wrapped' campaign (like Spotify Wrapped but for books). Target book lover communities, Instagram book influencers, and college literary societies.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Annual reading summaries are shared obsessively by book lovers — the 'reading year in review' format is already viral on BookTok and Bookstagram. EcoSkiller's automated version means every member of every book club generates and shares this content, creating massive organic reach for the platform.</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Identity expression through reading — book lovers in India increasingly use their reading habits as social identity markers. A beautiful, data-rich annual summary is not just a report — it's a statement about who you are and what you value. Sharing it is irresistible.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15</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"Multilingual Community Sabka Platform Hai" — Inclusive Communication as Market Expansion</w:t>
            </w:r>
          </w:p>
          <w:p>
            <w:pPr>
              <w:spacing w:before="0" w:after="80"/>
            </w:pPr>
            <w:r>
              <w:rPr>
                <w:rFonts w:ascii="Calibri" w:cs="Calibri" w:eastAsia="Calibri" w:hAnsi="Calibri"/>
                <w:b/>
                <w:bCs/>
                <w:color w:val="B71C1C"/>
                <w:sz w:val="18"/>
                <w:szCs w:val="18"/>
              </w:rPr>
              <w:t xml:space="preserve">[CULTURAL]  </w:t>
            </w:r>
            <w:r>
              <w:rPr>
                <w:rFonts w:ascii="Calibri" w:cs="Calibri" w:eastAsia="Calibri" w:hAnsi="Calibri"/>
                <w:b/>
                <w:bCs/>
                <w:i/>
                <w:iCs/>
                <w:color w:val="5B3FA0"/>
                <w:sz w:val="20"/>
                <w:szCs w:val="20"/>
              </w:rPr>
              <w:t xml:space="preserve">Reach India's vernacular community organizers who feel tech has ignored them</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"Tamil sangam ke events ke liye Tamil mein announcement bhejo, Gujarati association ke liye Gujarati mein — EcoSkiller ka multilingual feature ensure karta hai 'Mera message sab tak pahuncha.'"</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cultural associations — Tamil Sangams, Gujarati Associations, Bengali Samaj, Telugu Associations, Marathi Mandals, Punjabi Sabhyas — collectively represent millions of community members across India and diaspora. Most tech platforms assume English. Position the Cultural Organiser's Multilingual Communications feature alongside Event &amp; Festival Management as a genuine inclusion signal. This unlocks an enormous underserved market.</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regional language ads — Tamil, Gujarati, Telugu, Bengali, Marathi, Punjabi — with regional cultural associations as the target. Show the multilingual communication interface. Run targeted Facebook and Instagram ads by language/region. Partner with regional cultural association umbrella bodies for co-promotion. Show real event announcements in regional language formats.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Being addressed in one's own language by a tech platform is emotionally powerful in India. 'Yeh platform Tamil mein baat karta hai!' reactions spread intensely within tight-knit regional cultural communities — these are high-trust networks where single endorsements carry enormous weight.</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Respect and belonging — India's regional language communities feel consistently marginalized by tech products built for English-speaking urban elites. A platform that speaks their language signals respect, not condescension. This creates intense brand loyalty disproportionate to the engineering investment.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16</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"Khud Bhago, Dusron Ko Badlao" — Participant Fundraising as Community Activation</w:t>
            </w:r>
          </w:p>
          <w:p>
            <w:pPr>
              <w:spacing w:before="0" w:after="80"/>
            </w:pPr>
            <w:r>
              <w:rPr>
                <w:rFonts w:ascii="Calibri" w:cs="Calibri" w:eastAsia="Calibri" w:hAnsi="Calibri"/>
                <w:b/>
                <w:bCs/>
                <w:color w:val="283593"/>
                <w:sz w:val="18"/>
                <w:szCs w:val="18"/>
              </w:rPr>
              <w:t xml:space="preserve">[CHARITY RUN]  </w:t>
            </w:r>
            <w:r>
              <w:rPr>
                <w:rFonts w:ascii="Calibri" w:cs="Calibri" w:eastAsia="Calibri" w:hAnsi="Calibri"/>
                <w:b/>
                <w:bCs/>
                <w:i/>
                <w:iCs/>
                <w:color w:val="5B3FA0"/>
                <w:sz w:val="20"/>
                <w:szCs w:val="20"/>
              </w:rPr>
              <w:t xml:space="preserve">Make every runner a fundraiser and every finish line a cause celebration</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"5K run ke liye EcoSkiller ne automatic fundraising page banayi — WhatsApp pe share kiya — 48 ghante mein ₹50,000 raise ho gaya. Run se pehle hi cause ko paisa mil gaya."</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charity run market is growing rapidly but most organizers don't know how to maximize fundraising per participant. Position the Fundraising Page Integration — with automated personal pages, social sharing links, milestone congratulations, and total impact tracking — as a fundraising multiplier that works automatically. Show that each participant becomes a fundraiser, not just a runner. The total raised is 5-10x higher when participants have personal pages vs. when the organization fundraises alone.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'Why Corporate 5K Runs Raise More Money When Everyone Has a Page' content targeting CSR event managers. Show the automated fundraising page creation, WhatsApp/Instagram sharing mechanism, and real-time total dashboard. Include a case study: 'Before personal pages: ₹50K raised. After: ₹4.2L.' Target corporate CSR coordinators, hospital charity departments, and NGO event teams.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Fundraising milestones are shared intensely by participants — '₹25,000 raised for cancer care! Thank you everyone 🙏' WhatsApp/Instagram posts are already a cultural norm. EcoSkiller makes these automatic and beautiful, multiplying sharing frequency per event. Every donor sees the fundraising page and potentially runs the next edition.</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Social generosity identity — Indians deeply value being seen as generous contributors to community causes. A personal fundraising page that publicly shows how much you raised for a charity is both a contribution record AND a social identity statement — double motivation to share widely.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17</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"Alumni Network Ko Activate Karo" — Dormant Alumni Monetization</w:t>
            </w:r>
          </w:p>
          <w:p>
            <w:pPr>
              <w:spacing w:before="0" w:after="80"/>
            </w:pPr>
            <w:r>
              <w:rPr>
                <w:rFonts w:ascii="Calibri" w:cs="Calibri" w:eastAsia="Calibri" w:hAnsi="Calibri"/>
                <w:b/>
                <w:bCs/>
                <w:color w:val="4527A0"/>
                <w:sz w:val="18"/>
                <w:szCs w:val="18"/>
              </w:rPr>
              <w:t xml:space="preserve">[NETWORKING]  </w:t>
            </w:r>
            <w:r>
              <w:rPr>
                <w:rFonts w:ascii="Calibri" w:cs="Calibri" w:eastAsia="Calibri" w:hAnsi="Calibri"/>
                <w:b/>
                <w:bCs/>
                <w:i/>
                <w:iCs/>
                <w:color w:val="5B3FA0"/>
                <w:sz w:val="20"/>
                <w:szCs w:val="20"/>
              </w:rPr>
              <w:t xml:space="preserve">Help India's thousands of alumni associations convert nostalgia into active community</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"IIT alumni network mein 5,000 log hain, sab silent — ek annual dinner hoti hai. EcoSkiller ka smart matchmaking + engagement analytics se alumni network ko saal bhar active rakhna possible hai."</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 has tens of thousands of alumni associations — IITs, IIMs, medical colleges, regional colleges, school alumni bodies — most of which are barely active. The biggest problem: alumni are interested but there's no organized matching, mentoring, or engagement infrastructure. Position Smart Matchmaking Engine, Mentorship Programme Management, Event Registration &amp; Management, and Engagement Analytics as the activation toolkit for dormant alumni networks. Show that alumni associations can become career engines — not just reunion organizers.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'Is Your Alumni Association Wasting Its Most Valuable Asset?' LinkedIn article. Address the gap between alumni network potential and actual activity. Show EcoSkiller's matching and engagement features. Target alumni association presidents and secretaries on LinkedIn. Partner with college placement cells who already engage alumni for current student mentoring programs.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Alumni relationships carry intense nostalgia and loyalty in India. When an alumni association begins running an active mentorship and matching program, alumni who benefit share their experiences loudly — 'My alma mater connected me with a mentor who changed my career.' These stories spread across the institution's entire alumni network.</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Nostalgic identity + repayment instinct — Indian alumni feel a deep debt of gratitude to their institutions. A platform that helps them give back meaningfully (through mentoring, networking, and job referrals) fulfills a cultural responsibility. The institution becomes the enabler of meaningful connection, not just occasional reunion events.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18</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"Data Se Darr Nahi, Platform Hai" — Impact Analytics as NGO Superpower</w:t>
            </w:r>
          </w:p>
          <w:p>
            <w:pPr>
              <w:spacing w:before="0" w:after="80"/>
            </w:pPr>
            <w:r>
              <w:rPr>
                <w:rFonts w:ascii="Calibri" w:cs="Calibri" w:eastAsia="Calibri" w:hAnsi="Calibri"/>
                <w:b/>
                <w:bCs/>
                <w:color w:val="004D40"/>
                <w:sz w:val="18"/>
                <w:szCs w:val="18"/>
              </w:rPr>
              <w:t xml:space="preserve">[SOCIAL]  </w:t>
            </w:r>
            <w:r>
              <w:rPr>
                <w:rFonts w:ascii="Calibri" w:cs="Calibri" w:eastAsia="Calibri" w:hAnsi="Calibri"/>
                <w:b/>
                <w:bCs/>
                <w:i/>
                <w:iCs/>
                <w:color w:val="5B3FA0"/>
                <w:sz w:val="20"/>
                <w:szCs w:val="20"/>
              </w:rPr>
              <w:t xml:space="preserve">Give India's NGOs the data infrastructure to compete for serious funding</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"Foreign funding agency ne SROI report maanga — EcoSkiller ka impact measurement framework ne UN SDG-aligned report generate kar diya. Pehli baar serious funders ke saath baat ki."</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NGO sector loses billions in potential funding annually because organizations cannot produce data-rich impact reports aligned to international standards (SROI, UN SDGs, FCRA requirements, SEBI CSR norms). Position the Impact Measurement Framework, Campaign Planning &amp; Management, and Coalition &amp; Partnership Tools as a 'funding readiness platform' — the layer between good grassroots work and the credibility that serious funders require. This is especially relevant as SEBI's mandatory CSR reporting requirements have made corporations demand stronger impact evidence from NGO partners.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'The CSR Compliance Checklist Every NGO Needs in 2025' downloadable resource — each checklist item EcoSkiller helps fulfill. Distribute via NGO network newsletters, CSR manager LinkedIn groups, and social impact conferences. Partner with CSR consulting firms who advise NGOs on funding readiness.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Funding breakthrough stories spread immediately through India's tight-knit NGO sector. 'Pehli baar ₹50 lakh CSR grant mila — EcoSkiller ka impact report dekh ke trust hua.' becomes the most powerful case study imaginable — every other NGO wants the same outcome.</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Mission legitimization — Indian NGO leaders are deeply passionate about their causes but frustrated that their work is not recognized at scale. EcoSkiller gives their work the institutional packaging it needs to be taken seriously by the funders it deserves.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19</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"Grant Milna Band Nahi Hoga" — Grant Management as Community Organization Lifeline</w:t>
            </w:r>
          </w:p>
          <w:p>
            <w:pPr>
              <w:spacing w:before="0" w:after="80"/>
            </w:pPr>
            <w:r>
              <w:rPr>
                <w:rFonts w:ascii="Calibri" w:cs="Calibri" w:eastAsia="Calibri" w:hAnsi="Calibri"/>
                <w:b/>
                <w:bCs/>
                <w:color w:val="0D47A1"/>
                <w:sz w:val="18"/>
                <w:szCs w:val="18"/>
              </w:rPr>
              <w:t xml:space="preserve">[COMMUNITY]  </w:t>
            </w:r>
            <w:r>
              <w:rPr>
                <w:rFonts w:ascii="Calibri" w:cs="Calibri" w:eastAsia="Calibri" w:hAnsi="Calibri"/>
                <w:b/>
                <w:bCs/>
                <w:i/>
                <w:iCs/>
                <w:color w:val="5B3FA0"/>
                <w:sz w:val="20"/>
                <w:szCs w:val="20"/>
              </w:rPr>
              <w:t xml:space="preserve">Help India's thousands of underfunded community organizations never miss a grant deadline</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"3 lakh ka government grant — application ki deadline nahi pata tha, documents miss ho gaye. EcoSkiller ka grant tracking system se koi bhi deadline miss nahi hogi — sab reminders automatic hain."</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Community organizations across India — temple trusts, cultural societies, community development groups — are entitled to government grants, CSR funds, and foundation support but consistently miss opportunities because of poor tracking and documentation. Position the Grant &amp; Funding Management feature — with deadline reminders, documentation checklists, funder relationship logs, and reporting obligation calendars — as organizational survival infrastructure. Missing a grant deadline is losing real money.</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'How Much Grant Money Is Your Community Organization Leaving on the Table?' content with a checklist of commonly available grants for Indian community organizations (government, CSR, foundation). Show EcoSkiller's grant tracker feature. Distribute via trust management WhatsApp groups, community organization networks, and social sector publications.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Stories of grant money missed due to poor tracking are universally painful in the community sector. 'Hamne 2 lakh ka grant khoya sirf deadline miss hone ki wajah se' is a story every community organization recognizes. EcoSkiller becomes the prevention tool that every treasurer immediately wants.</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Loss aversion + stewardship accountability — community organization treasurers and secretaries feel personally responsible for organizational finances. Missing a grant feels like a personal failure. A system that prevents this is not just convenient — it relieves moral anxiety.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20</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"Volunteer Satisfaction = Organization Growth" — Recognition as Retention Engine</w:t>
            </w:r>
          </w:p>
          <w:p>
            <w:pPr>
              <w:spacing w:before="0" w:after="80"/>
            </w:pPr>
            <w:r>
              <w:rPr>
                <w:rFonts w:ascii="Calibri" w:cs="Calibri" w:eastAsia="Calibri" w:hAnsi="Calibri"/>
                <w:b/>
                <w:bCs/>
                <w:color w:val="1B5E20"/>
                <w:sz w:val="18"/>
                <w:szCs w:val="18"/>
              </w:rPr>
              <w:t xml:space="preserve">[VOLUNTEER]  </w:t>
            </w:r>
            <w:r>
              <w:rPr>
                <w:rFonts w:ascii="Calibri" w:cs="Calibri" w:eastAsia="Calibri" w:hAnsi="Calibri"/>
                <w:b/>
                <w:bCs/>
                <w:i/>
                <w:iCs/>
                <w:color w:val="5B3FA0"/>
                <w:sz w:val="20"/>
                <w:szCs w:val="20"/>
              </w:rPr>
              <w:t xml:space="preserve">Solve India's #1 volunteer management problem: people leave after one event</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"Event ke baad volunteer thank you nahi mila — next time nahi aaya. EcoSkiller ka recognition system — badges, leaderboard, peer shoutouts — ensures volunteers feel valued aur wapas aate hain."</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Volunteer retention is the most expensive problem for Indian NGOs and community organizations — recruiting and training volunteers costs enormous time and energy, and most leave after one event because they feel invisible. Position the Recognition &amp; Reward System — digital badges, service milestone trophies, peer-to-peer shout-outs, community leaderboard — as a retention engine. Show that recognized volunteers return, recruit peers, and become organization ambassadors.</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'The Real Cost of Volunteer Turnover in Indian NGOs' LinkedIn article with calculation: average cost to recruit, onboard, and train one volunteer × annual turnover rate = retention opportunity. Show how EcoSkiller's recognition features reduce turnover. Target volunteer coordinators, NGO HR teams, and CSR employee volunteering program managers.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Volunteers who receive public recognition (badges, leaderboard features, peer shoutouts) share their achievements on social media — each share showcases the organizing NGO as one that values its people. Other potential volunteers see the recognition culture and choose to join.</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Dignity and belonging — Indian volunteers give their time and skills expecting gratitude and acknowledgment, not financial compensation. When recognition is absent, even the most motivated volunteers disengage. EcoSkiller's systematic recognition infrastructure ensures no contribution goes unseen.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21</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"Artist Ko Stage Do, Platform Ko Reach" — Performer Registry as Cultural Ecosystem Builder</w:t>
            </w:r>
          </w:p>
          <w:p>
            <w:pPr>
              <w:spacing w:before="0" w:after="80"/>
            </w:pPr>
            <w:r>
              <w:rPr>
                <w:rFonts w:ascii="Calibri" w:cs="Calibri" w:eastAsia="Calibri" w:hAnsi="Calibri"/>
                <w:b/>
                <w:bCs/>
                <w:color w:val="B71C1C"/>
                <w:sz w:val="18"/>
                <w:szCs w:val="18"/>
              </w:rPr>
              <w:t xml:space="preserve">[CULTURAL]  </w:t>
            </w:r>
            <w:r>
              <w:rPr>
                <w:rFonts w:ascii="Calibri" w:cs="Calibri" w:eastAsia="Calibri" w:hAnsi="Calibri"/>
                <w:b/>
                <w:bCs/>
                <w:i/>
                <w:iCs/>
                <w:color w:val="5B3FA0"/>
                <w:sz w:val="20"/>
                <w:szCs w:val="20"/>
              </w:rPr>
              <w:t xml:space="preserve">Help India's thousands of cultural artists get bookings and cultural organizations find them</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"Navratri mein Garba performer chahiye — EcoSkiller ka artist registry mein 50 local performers hain with media portfolios, fee expectations, availability — booking confirmed in 10 minutes."</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cultural event sector — from Navratri to Pongal celebrations, Diwali programs to Eid events, Republic Day cultural shows to school annual days — requires constant performer booking, but discovery is entirely word-of-mouth and WhatsApp. Position the Artist &amp; Performer Registry — with media portfolios, performance requirements, cultural alignment tags, and booking management — as a cultural talent marketplace that serves both organizers AND performers. Artists gain bookings; organizers save time.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'India Ke Itne Talented Artists, Itni Booking Problems Kyon?' content addressing the discovery gap in India's cultural performance economy. Show EcoSkiller as the solution for both sides. Run separate campaigns targeting event organizers AND artists/performers. Instagram + Facebook with regional targeting for specific cultural communities.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Artists who get bookings through EcoSkiller share their performances and credits widely — 'Booked through EcoSkiller for Diwali program!' creates organic platform awareness in both performer and organizer communities simultaneously. Dual-sided marketplace virality.</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Opportunity access and professional dignity — Indian artists and performers often struggle to formalize their talent into a consistent income stream. A platform that treats them professionally and generates bookings validates their artistry and provides economic security.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22</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"Carrom Se Chess Tak, Sab Ek Jagah" — Traditional Games as Inclusivity Bridge</w:t>
            </w:r>
          </w:p>
          <w:p>
            <w:pPr>
              <w:spacing w:before="0" w:after="80"/>
            </w:pPr>
            <w:r>
              <w:rPr>
                <w:rFonts w:ascii="Calibri" w:cs="Calibri" w:eastAsia="Calibri" w:hAnsi="Calibri"/>
                <w:b/>
                <w:bCs/>
                <w:color w:val="F57F17"/>
                <w:sz w:val="18"/>
                <w:szCs w:val="18"/>
              </w:rPr>
              <w:t xml:space="preserve">[GAMING]  </w:t>
            </w:r>
            <w:r>
              <w:rPr>
                <w:rFonts w:ascii="Calibri" w:cs="Calibri" w:eastAsia="Calibri" w:hAnsi="Calibri"/>
                <w:b/>
                <w:bCs/>
                <w:i/>
                <w:iCs/>
                <w:color w:val="5B3FA0"/>
                <w:sz w:val="20"/>
                <w:szCs w:val="20"/>
              </w:rPr>
              <w:t xml:space="preserve">Position EcoSkiller as the platform for ALL Indian games, not just digital ones</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"BGMI, Chess, Carrom, Table Tennis, Ludo championship — EcoSkiller pe manage karo. Har age group ke liye, har game ke liye. India ke real gaming culture ka platform."</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While tech coverage focuses on BGMI and esports, India's actual gaming culture is far broader — carrom, chess, table tennis, kabaddi, and traditional games have massive participation across all age groups. Position the Gaming Club Organiser's Tournament &amp; League Management and Player Profiles &amp; Achievements as tools for ALL competitive games — traditional and digital. This expands the audience from 400M mobile gamers to India's entire competitive gaming culture.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'India Ka Real Gaming Culture' content celebrating the full diversity of Indian competitive games. Show a senior citizen chess league, a college carrom tournament, AND a BGMI esports competition — all managed on EcoSkiller. Run multilingual campaigns targeting carrom and chess clubs in Tier-2/3 cities. Contact All India Chess Federation and Carrom Federation community networks.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Traditional game content triggers massive generational and cultural nostalgia in India — 'Hamare zamane mein carrom league hoti thi' comments generate enormous engagement. When seniors AND students both see themselves in the platform's content, sharing bridges age groups within families.</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Inclusive identity + intergenerational connection — Indian sports and games culture spans generations and social strata. A platform that honors traditional games alongside digital ones speaks to everyone — from grandparents to grandchildren — in a way that pure esports platforms never can.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23</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"Democratic Kitaab Selection Se Jhagda Band" — Book Voting as Community Democracy</w:t>
            </w:r>
          </w:p>
          <w:p>
            <w:pPr>
              <w:spacing w:before="0" w:after="80"/>
            </w:pPr>
            <w:r>
              <w:rPr>
                <w:rFonts w:ascii="Calibri" w:cs="Calibri" w:eastAsia="Calibri" w:hAnsi="Calibri"/>
                <w:b/>
                <w:bCs/>
                <w:color w:val="880E4F"/>
                <w:sz w:val="18"/>
                <w:szCs w:val="18"/>
              </w:rPr>
              <w:t xml:space="preserve">[BOOK CLUB]  </w:t>
            </w:r>
            <w:r>
              <w:rPr>
                <w:rFonts w:ascii="Calibri" w:cs="Calibri" w:eastAsia="Calibri" w:hAnsi="Calibri"/>
                <w:b/>
                <w:bCs/>
                <w:i/>
                <w:iCs/>
                <w:color w:val="5B3FA0"/>
                <w:sz w:val="20"/>
                <w:szCs w:val="20"/>
              </w:rPr>
              <w:t xml:space="preserve">Turn a common book club conflict point into an engagement feature</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"'Meri wali book kyon nahi choose ki?' — EcoSkiller ka democratic voting system se transparent selection hoti hai, sab happy, community stronger. Data bhi dikhata hai reader preferences."</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Book selection disputes are one of the most common reasons Indian book clubs become inactive. Position the Democratic Book Voting feature — transparent polls, nomination limits, tiebreaker rules, and revealed vote tallies — as a community health tool. Show that democratic process doesn't just select books — it builds trust, inclusion, and engagement in the community. Extend to Author &amp; Genre Analytics showing how data-informed future selections improve satisfaction.</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'The #1 Reason Indian Book Clubs Die (And How to Prevent It)' content. Address the selection conflict issue directly. Show EcoSkiller's voting interface as the neutral arbiter that everyone accepts. Post in book lover Instagram communities, WhatsApp book groups, and Facebook literary circles. Target book club organizers who are struggling with member engagement.</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Book selection drama is a universally relatable topic in reading communities — 'Hamesha wahi log apni books choose karaate hain' resonates across every book club. EcoSkiller's democratic solution gets shared as the 'finally' tool that ends the conflict.</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Fairness instinct + democratic participation — Indians have a strong sense of procedural fairness. A transparent, verifiable voting process is inherently satisfying because it respects everyone's voice equally. EcoSkiller becomes the infrastructure of trust in the community.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24</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"Coalition Banao, Movement Chalao" — Multi-Organization Campaign Tool</w:t>
            </w:r>
          </w:p>
          <w:p>
            <w:pPr>
              <w:spacing w:before="0" w:after="80"/>
            </w:pPr>
            <w:r>
              <w:rPr>
                <w:rFonts w:ascii="Calibri" w:cs="Calibri" w:eastAsia="Calibri" w:hAnsi="Calibri"/>
                <w:b/>
                <w:bCs/>
                <w:color w:val="004D40"/>
                <w:sz w:val="18"/>
                <w:szCs w:val="18"/>
              </w:rPr>
              <w:t xml:space="preserve">[SOCIAL]  </w:t>
            </w:r>
            <w:r>
              <w:rPr>
                <w:rFonts w:ascii="Calibri" w:cs="Calibri" w:eastAsia="Calibri" w:hAnsi="Calibri"/>
                <w:b/>
                <w:bCs/>
                <w:i/>
                <w:iCs/>
                <w:color w:val="5B3FA0"/>
                <w:sz w:val="20"/>
                <w:szCs w:val="20"/>
              </w:rPr>
              <w:t xml:space="preserve">Help India's civil society organizations build coalitions that create real change</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"Teen NGOs saath aayi — ek cause ke liye. Documents shared, meetings scheduled, contributions tracked — EcoSkiller ka coalition tools se organized movement bani, aur government ne suna."</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India's most impactful social movements are coalitions — but managing multi-organization campaigns without shared infrastructure is chaotic, leading to duplication, miscommunication, and credit disputes that destroy coalitions. Position the Coalition &amp; Partnership Tools — shared campaign spaces, document co-editing, contribution tracking by partner, and decision log archives — as the coordination infrastructure that keeps diverse organizations aligned around a shared cause.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'Why India's Best Social Campaigns Are Failing (And What to Do About It)' LinkedIn article targeting NGO leaders and social entrepreneurs. Address the coalition coordination problem specifically. Show EcoSkiller's shared campaign space and contribution tracking as the solution. Distribute via social impact conferences, NASSCOM social good networks, and development sector publications.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Coalition success stories — 'Three organizations worked together and changed this policy' — are powerful narratives that spread across the entire networks of all participating organizations simultaneously. EcoSkiller gets credited by all partners, multiplying its exposure across multiple organizational networks.</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Collective power and solidarity — Indian social sector leaders deeply believe in collective action but have been burned by coordination failures. A platform that makes coalition management clean and accountable restores belief in the power of organized collective action.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25</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"Route Pe Marshal, App Pe Live" — Operations Excellence as Brand Differentiator</w:t>
            </w:r>
          </w:p>
          <w:p>
            <w:pPr>
              <w:spacing w:before="0" w:after="80"/>
            </w:pPr>
            <w:r>
              <w:rPr>
                <w:rFonts w:ascii="Calibri" w:cs="Calibri" w:eastAsia="Calibri" w:hAnsi="Calibri"/>
                <w:b/>
                <w:bCs/>
                <w:color w:val="283593"/>
                <w:sz w:val="18"/>
                <w:szCs w:val="18"/>
              </w:rPr>
              <w:t xml:space="preserve">[CHARITY RUN]  </w:t>
            </w:r>
            <w:r>
              <w:rPr>
                <w:rFonts w:ascii="Calibri" w:cs="Calibri" w:eastAsia="Calibri" w:hAnsi="Calibri"/>
                <w:b/>
                <w:bCs/>
                <w:i/>
                <w:iCs/>
                <w:color w:val="5B3FA0"/>
                <w:sz w:val="20"/>
                <w:szCs w:val="20"/>
              </w:rPr>
              <w:t xml:space="preserve">Help run organizers deliver a race experience that participants talk about for years</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"1,000 runners, 20 marshals, 5 water stations, chip timing — sab EcoSkiller pe managed. Har marshal ko exact location, time, emergency contacts — professionally execute hua, sab ne kaha 'Next year pakka aayenge.'"</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In India's growing charity run market, participant experience is everything — good experiences create loyal repeat runners and referral chains, poor experiences destroy future editions. Position Volunteer &amp; Marshal Coordination, Route Planning &amp; Management, Timing &amp; Results Management, and Post-Event Engagement features as the experience architecture that turns first-time runners into annual participants. Professional operations = word-of-mouth = larger next edition.</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'What Separates a 500-Runner Run from a 5,000-Runner Run' content targeting charity run organizers. Show how professional operations — marshal coordination, chip timing, finisher certificates — create loyalty. Run on World Running Day and ahead of Mumbai, Delhi, and Bangalore marathon seasons. Target running club networks, which are extremely active online communities.</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Runners share their race experiences obsessively — finisher medals, personal best times, and professional event experiences are Instagram and WhatsApp staples. A run that is well-organized becomes the 'this is how it should be done' benchmark that organizers across India discuss and aspire to replicate.</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Pride of craft + reputation building — charity run organizers in India are intensely proud of their events and want them to be remembered as professional, impactful experiences. EcoSkiller is positioned as the infrastructure investment in that reputation.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26</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"Vendor Se Vendor Seekhna — Community Ka Sabse Bada Asset" — Peer Knowledge Network</w:t>
            </w:r>
          </w:p>
          <w:p>
            <w:pPr>
              <w:spacing w:before="0" w:after="80"/>
            </w:pPr>
            <w:r>
              <w:rPr>
                <w:rFonts w:ascii="Calibri" w:cs="Calibri" w:eastAsia="Calibri" w:hAnsi="Calibri"/>
                <w:b/>
                <w:bCs/>
                <w:color w:val="6A1B9A"/>
                <w:sz w:val="18"/>
                <w:szCs w:val="18"/>
              </w:rPr>
              <w:t xml:space="preserve">[MULTI]  </w:t>
            </w:r>
            <w:r>
              <w:rPr>
                <w:rFonts w:ascii="Calibri" w:cs="Calibri" w:eastAsia="Calibri" w:hAnsi="Calibri"/>
                <w:b/>
                <w:bCs/>
                <w:i/>
                <w:iCs/>
                <w:color w:val="5B3FA0"/>
                <w:sz w:val="20"/>
                <w:szCs w:val="20"/>
              </w:rPr>
              <w:t xml:space="preserve">Build the platform that connects India's community organizers into a learning ecosystem</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"India ke best community organizers — NGO leaders, RWA presidents, cultural event managers, volunteer coordinators — ek jagah. Seekho, share karo, saath mein badho. EcoSkiller Community Organizer Network."</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Create an EcoSkiller Community Organizer Network — a cross-category peer community where volunteer organizers, RWA admins, NGO leaders, cultural event managers, gaming club coordinators, debate coaches, book club managers, networking hosts, and charity run directors all share templates, ideas, and operational insights. Run 'Organizer Spotlight' weekly features across all 9 categories. The community becomes the discovery channel — organizers find EcoSkiller through peer recommendation in the community.</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Launch the EcoSkiller Community Organizer WhatsApp and LinkedIn group. Run category-specific threads. Weekly spotlight features. Monthly virtual meetups. Create a 'Community Organizer Template Library' — free downloadable templates for each of the 9 organizer types. The templates showcase EcoSkiller features naturally. Every download is a platform introduction.</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Being featured as an 'Organizer Spotlight' creates intense personal sharing — the featured organizer broadcasts their feature to their entire network, bringing hundreds of new potential users to the community and the platform with each spotlight.</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Recognition and community belonging — Indian community organizers are often isolated in their work and receive little professional recognition. A community that celebrates their work, shares their knowledge, and connects them with peers fulfills deep professional belonging needs that build fierce long-term platform loyalty.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tcBorders>
              <w:top w:val="single" w:color="5B3FA0" w:sz="1"/>
              <w:left w:val="single" w:color="5B3FA0" w:sz="1"/>
              <w:bottom w:val="single" w:color="5B3FA0" w:sz="1"/>
              <w:right w:val="single" w:color="5B3FA0" w:sz="1"/>
            </w:tcBorders>
            <w:shd w:fill="5B3FA0" w:val="clear"/>
            <w:tcMar>
              <w:top w:type="dxa" w:w="120"/>
              <w:left w:type="dxa" w:w="80"/>
              <w:bottom w:type="dxa" w:w="120"/>
              <w:right w:type="dxa" w:w="80"/>
            </w:tcMar>
            <w:vAlign w:val="center"/>
          </w:tcPr>
          <w:p>
            <w:pPr>
              <w:jc w:val="center"/>
            </w:pPr>
            <w:r>
              <w:rPr>
                <w:rFonts w:ascii="Georgia" w:cs="Georgia" w:eastAsia="Georgia" w:hAnsi="Georgia"/>
                <w:b/>
                <w:bCs/>
                <w:color w:val="FFFFFF"/>
                <w:sz w:val="44"/>
                <w:szCs w:val="44"/>
              </w:rPr>
              <w:t xml:space="preserve">27</w:t>
            </w:r>
          </w:p>
        </w:tc>
        <w:tc>
          <w:tcPr>
            <w:tcW w:type="dxa" w:w="8500"/>
            <w:tcBorders>
              <w:top w:val="single" w:color="C3AEE8" w:sz="1"/>
              <w:left w:val="single" w:color="C3AEE8" w:sz="1"/>
              <w:bottom w:val="single" w:color="C3AEE8" w:sz="1"/>
              <w:right w:val="single" w:color="C3AEE8" w:sz="1"/>
            </w:tcBorders>
            <w:shd w:fill="FFFFFF" w:val="clear"/>
            <w:tcMar>
              <w:top w:type="dxa" w:w="140"/>
              <w:left w:type="dxa" w:w="200"/>
              <w:bottom w:type="dxa" w:w="140"/>
              <w:right w:type="dxa" w:w="200"/>
            </w:tcMar>
          </w:tcPr>
          <w:p>
            <w:pPr>
              <w:spacing w:after="70"/>
            </w:pPr>
            <w:r>
              <w:rPr>
                <w:rFonts w:ascii="Georgia" w:cs="Georgia" w:eastAsia="Georgia" w:hAnsi="Georgia"/>
                <w:b/>
                <w:bCs/>
                <w:color w:val="0B1F3A"/>
                <w:sz w:val="27"/>
                <w:szCs w:val="27"/>
              </w:rPr>
              <w:t xml:space="preserve">"EcoSkiller Ka Impact Dikhao" — Data Storytelling as Social Proof Engine</w:t>
            </w:r>
          </w:p>
          <w:p>
            <w:pPr>
              <w:spacing w:before="0" w:after="80"/>
            </w:pPr>
            <w:r>
              <w:rPr>
                <w:rFonts w:ascii="Calibri" w:cs="Calibri" w:eastAsia="Calibri" w:hAnsi="Calibri"/>
                <w:b/>
                <w:bCs/>
                <w:color w:val="6A1B9A"/>
                <w:sz w:val="18"/>
                <w:szCs w:val="18"/>
              </w:rPr>
              <w:t xml:space="preserve">[MULTI]  </w:t>
            </w:r>
            <w:r>
              <w:rPr>
                <w:rFonts w:ascii="Calibri" w:cs="Calibri" w:eastAsia="Calibri" w:hAnsi="Calibri"/>
                <w:b/>
                <w:bCs/>
                <w:i/>
                <w:iCs/>
                <w:color w:val="5B3FA0"/>
                <w:sz w:val="20"/>
                <w:szCs w:val="20"/>
              </w:rPr>
              <w:t xml:space="preserve">Turn platform-level aggregate data into the most compelling content EcoSkiller can create</w:t>
            </w:r>
          </w:p>
          <w:p>
            <w:pPr>
              <w:spacing w:before="60" w:after="60"/>
            </w:pPr>
            <w:r>
              <w:rPr>
                <w:rFonts w:ascii="Calibri" w:cs="Calibri" w:eastAsia="Calibri" w:hAnsi="Calibri"/>
                <w:b/>
                <w:bCs/>
                <w:color w:val="D4680A"/>
                <w:sz w:val="20"/>
                <w:szCs w:val="20"/>
              </w:rPr>
              <w:t xml:space="preserve">🎯 HOOK:  </w:t>
            </w:r>
            <w:r>
              <w:rPr>
                <w:rFonts w:ascii="Calibri" w:cs="Calibri" w:eastAsia="Calibri" w:hAnsi="Calibri"/>
                <w:i/>
                <w:iCs/>
                <w:color w:val="1C1233"/>
                <w:sz w:val="20"/>
                <w:szCs w:val="20"/>
              </w:rPr>
              <w:t xml:space="preserve">"EcoSkiller pe: 500 communities, 50,000 volunteers managed, 2 lakh events organized, ₹10 crore raised for causes — yeh numbers tumhari wajah se hain. Aapki community ne yeh possible kiya."</w:t>
            </w:r>
          </w:p>
          <w:p>
            <w:pPr>
              <w:spacing w:before="60" w:after="60"/>
            </w:pPr>
            <w:r>
              <w:rPr>
                <w:rFonts w:ascii="Calibri" w:cs="Calibri" w:eastAsia="Calibri" w:hAnsi="Calibri"/>
                <w:b/>
                <w:bCs/>
                <w:color w:val="0E7C7B"/>
                <w:sz w:val="20"/>
                <w:szCs w:val="20"/>
              </w:rPr>
              <w:t xml:space="preserve">📌 STRATEGY:  </w:t>
            </w:r>
            <w:r>
              <w:rPr>
                <w:rFonts w:ascii="Calibri" w:cs="Calibri" w:eastAsia="Calibri" w:hAnsi="Calibri"/>
                <w:color w:val="1C1233"/>
                <w:sz w:val="20"/>
                <w:szCs w:val="20"/>
              </w:rPr>
              <w:t xml:space="preserve">Aggregate impact data is the most powerful content EcoSkiller can produce — it transforms a software tool into a community movement. Collect and publish platform-level statistics quarterly: total volunteer hours logged, total events organized, total funds raised for charity, total connections made, total cultural programs celebrated. Make each vendor feel they are part of something larger than their individual organization. Use the Social Impact Organiser's Impact Measurement Framework as the source.</w:t>
            </w:r>
          </w:p>
          <w:p>
            <w:pPr>
              <w:spacing w:before="60" w:after="60"/>
            </w:pPr>
            <w:r>
              <w:rPr>
                <w:rFonts w:ascii="Calibri" w:cs="Calibri" w:eastAsia="Calibri" w:hAnsi="Calibri"/>
                <w:b/>
                <w:bCs/>
                <w:color w:val="0B1F3A"/>
                <w:sz w:val="20"/>
                <w:szCs w:val="20"/>
              </w:rPr>
              <w:t xml:space="preserve">⚡ ACTIONS:  </w:t>
            </w:r>
            <w:r>
              <w:rPr>
                <w:rFonts w:ascii="Calibri" w:cs="Calibri" w:eastAsia="Calibri" w:hAnsi="Calibri"/>
                <w:color w:val="1C1233"/>
                <w:sz w:val="20"/>
                <w:szCs w:val="20"/>
              </w:rPr>
              <w:t xml:space="preserve">Create quarterly 'EcoSkiller Community Impact Report' — beautiful visual data story published on LinkedIn, Instagram, and as a downloadable PDF. Tag and celebrate featured organizations in the report. Send individual impact summaries to each vendor showing their contribution to the collective numbers. Run on key dates: Republic Day, Gandhi Jayanti, International Volunteer Day.</w:t>
            </w:r>
          </w:p>
          <w:p>
            <w:pPr>
              <w:spacing w:before="60" w:after="60"/>
            </w:pPr>
            <w:r>
              <w:rPr>
                <w:rFonts w:ascii="Calibri" w:cs="Calibri" w:eastAsia="Calibri" w:hAnsi="Calibri"/>
                <w:b/>
                <w:bCs/>
                <w:color w:val="B0271E"/>
                <w:sz w:val="20"/>
                <w:szCs w:val="20"/>
              </w:rPr>
              <w:t xml:space="preserve">🔥 VIRAL TRIGGER:  </w:t>
            </w:r>
            <w:r>
              <w:rPr>
                <w:rFonts w:ascii="Calibri" w:cs="Calibri" w:eastAsia="Calibri" w:hAnsi="Calibri"/>
                <w:color w:val="1C1233"/>
                <w:sz w:val="20"/>
                <w:szCs w:val="20"/>
              </w:rPr>
              <w:t xml:space="preserve">Being part of a larger movement is intensely shareable in Indian culture — 'Hamare organization ka contribution is national impact report mein hai!' posts spread across organizational networks with pride. The aggregate numbers create social proof that attracts new users who want to join something meaningful.</w:t>
            </w:r>
          </w:p>
          <w:p>
            <w:pPr>
              <w:spacing w:before="60" w:after="40"/>
            </w:pPr>
            <w:r>
              <w:rPr>
                <w:rFonts w:ascii="Calibri" w:cs="Calibri" w:eastAsia="Calibri" w:hAnsi="Calibri"/>
                <w:b/>
                <w:bCs/>
                <w:color w:val="2D1B69"/>
                <w:sz w:val="20"/>
                <w:szCs w:val="20"/>
              </w:rPr>
              <w:t xml:space="preserve">🧠 PSYCHOLOGY:  </w:t>
            </w:r>
            <w:r>
              <w:rPr>
                <w:rFonts w:ascii="Calibri" w:cs="Calibri" w:eastAsia="Calibri" w:hAnsi="Calibri"/>
                <w:color w:val="1C1233"/>
                <w:sz w:val="20"/>
                <w:szCs w:val="20"/>
              </w:rPr>
              <w:t xml:space="preserve">Collective identity and contribution pride — Indians are community-first by cultural nature. Being visibly part of a larger movement that is creating real national-scale change fulfills a deep need for meaningful belonging that goes far beyond the functional benefits of any software platform.</w:t>
            </w:r>
          </w:p>
        </w:tc>
      </w:tr>
    </w:tbl>
    <w:p>
      <w:pPr>
        <w:spacing w:before="100" w:after="0"/>
      </w:pPr>
      <w:r>
        <w:t xml:space="preserve"/>
      </w:r>
    </w:p>
    <w:p>
      <w:r>
        <w:br w:type="page"/>
      </w:r>
    </w:p>
    <w:p>
      <w:pPr>
        <w:spacing w:before="360" w:after="160"/>
      </w:pPr>
      <w:r>
        <w:rPr>
          <w:rFonts w:ascii="Georgia" w:cs="Georgia" w:eastAsia="Georgia" w:hAnsi="Georgia"/>
          <w:b/>
          <w:bCs/>
          <w:color w:val="0B1F3A"/>
          <w:sz w:val="42"/>
          <w:szCs w:val="42"/>
        </w:rPr>
        <w:t xml:space="preserve">6 Strategic Psychological Lenses</w:t>
      </w:r>
    </w:p>
    <w:p>
      <w:pPr>
        <w:pBdr>
          <w:bottom w:val="single" w:color="C5B3E8" w:sz="8" w:space="1"/>
        </w:pBdr>
        <w:spacing w:before="80" w:after="80"/>
      </w:pPr>
      <w:r>
        <w:rPr>
          <w:sz w:val="4"/>
          <w:szCs w:val="4"/>
        </w:rPr>
        <w:t xml:space="preserve"/>
      </w:r>
    </w:p>
    <w:p>
      <w:pPr>
        <w:spacing w:before="80" w:after="0"/>
      </w:pPr>
      <w:r>
        <w:t xml:space="preserve"/>
      </w:r>
    </w:p>
    <w:p>
      <w:pPr>
        <w:spacing w:before="60" w:after="80"/>
      </w:pPr>
      <w:r>
        <w:rPr>
          <w:rFonts w:ascii="Calibri" w:cs="Calibri" w:eastAsia="Calibri" w:hAnsi="Calibri"/>
          <w:color w:val="1C1233"/>
          <w:sz w:val="22"/>
          <w:szCs w:val="22"/>
        </w:rPr>
        <w:t xml:space="preserve">Every idea maps to one or more of these core psychological drivers — each uniquely powerful for India's community and social sector:</w:t>
      </w:r>
    </w:p>
    <w:p>
      <w:pPr>
        <w:spacing w:before="60" w:after="0"/>
      </w:pPr>
      <w:r>
        <w:t xml:space="preserve"/>
      </w:r>
    </w:p>
    <w:p>
      <w:pPr>
        <w:spacing w:before="180" w:after="80"/>
      </w:pPr>
      <w:r>
        <w:rPr>
          <w:rFonts w:ascii="Calibri" w:cs="Calibri" w:eastAsia="Calibri" w:hAnsi="Calibri"/>
          <w:b/>
          <w:bCs/>
          <w:color w:val="5B3FA0"/>
          <w:sz w:val="24"/>
          <w:szCs w:val="24"/>
        </w:rPr>
        <w:t xml:space="preserve">🏆 Credential &amp; Career Capital (Ideas 1, 8, 11)</w:t>
      </w:r>
    </w:p>
    <w:p>
      <w:pPr>
        <w:spacing w:before="60" w:after="80"/>
      </w:pPr>
      <w:r>
        <w:rPr>
          <w:rFonts w:ascii="Calibri" w:cs="Calibri" w:eastAsia="Calibri" w:hAnsi="Calibri"/>
          <w:color w:val="1C1233"/>
          <w:sz w:val="22"/>
          <w:szCs w:val="22"/>
        </w:rPr>
        <w:t xml:space="preserve">Indian youth and professionals are intensely credential-driven. Service hours certificates, debate training pathways, and mentorship certificates tap into this deep motivator. These ideas create player-driven virality as recipients share their achievements.</w:t>
      </w:r>
    </w:p>
    <w:p>
      <w:pPr>
        <w:spacing w:before="40" w:after="0"/>
      </w:pPr>
      <w:r>
        <w:t xml:space="preserve"/>
      </w:r>
    </w:p>
    <w:p>
      <w:pPr>
        <w:spacing w:before="180" w:after="80"/>
      </w:pPr>
      <w:r>
        <w:rPr>
          <w:rFonts w:ascii="Calibri" w:cs="Calibri" w:eastAsia="Calibri" w:hAnsi="Calibri"/>
          <w:b/>
          <w:bCs/>
          <w:color w:val="5B3FA0"/>
          <w:sz w:val="24"/>
          <w:szCs w:val="24"/>
        </w:rPr>
        <w:t xml:space="preserve">💰 Revenue &amp; Resource Unlocking (Ideas 12, 18, 5)</w:t>
      </w:r>
    </w:p>
    <w:p>
      <w:pPr>
        <w:spacing w:before="60" w:after="80"/>
      </w:pPr>
      <w:r>
        <w:rPr>
          <w:rFonts w:ascii="Calibri" w:cs="Calibri" w:eastAsia="Calibri" w:hAnsi="Calibri"/>
          <w:color w:val="1C1233"/>
          <w:sz w:val="22"/>
          <w:szCs w:val="22"/>
        </w:rPr>
        <w:t xml:space="preserve">Community organizations are perpetually under-resourced. Ideas that show them how to monetize spaces, access grants, or multiply fundraising outcomes convert immediately — financial benefit beats every other message.</w:t>
      </w:r>
    </w:p>
    <w:p>
      <w:pPr>
        <w:spacing w:before="40" w:after="0"/>
      </w:pPr>
      <w:r>
        <w:t xml:space="preserve"/>
      </w:r>
    </w:p>
    <w:p>
      <w:pPr>
        <w:spacing w:before="180" w:after="80"/>
      </w:pPr>
      <w:r>
        <w:rPr>
          <w:rFonts w:ascii="Calibri" w:cs="Calibri" w:eastAsia="Calibri" w:hAnsi="Calibri"/>
          <w:b/>
          <w:bCs/>
          <w:color w:val="5B3FA0"/>
          <w:sz w:val="24"/>
          <w:szCs w:val="24"/>
        </w:rPr>
        <w:t xml:space="preserve">🏛️ Legitimacy &amp; Professionalization (Ideas 7, 4, 17)</w:t>
      </w:r>
    </w:p>
    <w:p>
      <w:pPr>
        <w:spacing w:before="60" w:after="80"/>
      </w:pPr>
      <w:r>
        <w:rPr>
          <w:rFonts w:ascii="Calibri" w:cs="Calibri" w:eastAsia="Calibri" w:hAnsi="Calibri"/>
          <w:color w:val="1C1233"/>
          <w:sz w:val="22"/>
          <w:szCs w:val="22"/>
        </w:rPr>
        <w:t xml:space="preserve">Indian NGOs, cultural associations, and gaming clubs all aspire to be taken seriously. A platform that makes them look and operate professionally fulfills a deep organizational dignity need.</w:t>
      </w:r>
    </w:p>
    <w:p>
      <w:pPr>
        <w:spacing w:before="40" w:after="0"/>
      </w:pPr>
      <w:r>
        <w:t xml:space="preserve"/>
      </w:r>
    </w:p>
    <w:p>
      <w:pPr>
        <w:spacing w:before="180" w:after="80"/>
      </w:pPr>
      <w:r>
        <w:rPr>
          <w:rFonts w:ascii="Calibri" w:cs="Calibri" w:eastAsia="Calibri" w:hAnsi="Calibri"/>
          <w:b/>
          <w:bCs/>
          <w:color w:val="5B3FA0"/>
          <w:sz w:val="24"/>
          <w:szCs w:val="24"/>
        </w:rPr>
        <w:t xml:space="preserve">🌍 Social Impact &amp; Change (Ideas 10, 23, 28)</w:t>
      </w:r>
    </w:p>
    <w:p>
      <w:pPr>
        <w:spacing w:before="60" w:after="80"/>
      </w:pPr>
      <w:r>
        <w:rPr>
          <w:rFonts w:ascii="Calibri" w:cs="Calibri" w:eastAsia="Calibri" w:hAnsi="Calibri"/>
          <w:color w:val="1C1233"/>
          <w:sz w:val="22"/>
          <w:szCs w:val="22"/>
        </w:rPr>
        <w:t xml:space="preserve">India has enormous civic energy waiting for organizational infrastructure. Ideas that position EcoSkiller as the tool that makes change possible tap into the deepest motivations of mission-driven organizers.</w:t>
      </w:r>
    </w:p>
    <w:p>
      <w:pPr>
        <w:spacing w:before="40" w:after="0"/>
      </w:pPr>
      <w:r>
        <w:t xml:space="preserve"/>
      </w:r>
    </w:p>
    <w:p>
      <w:pPr>
        <w:spacing w:before="180" w:after="80"/>
      </w:pPr>
      <w:r>
        <w:rPr>
          <w:rFonts w:ascii="Calibri" w:cs="Calibri" w:eastAsia="Calibri" w:hAnsi="Calibri"/>
          <w:b/>
          <w:bCs/>
          <w:color w:val="5B3FA0"/>
          <w:sz w:val="24"/>
          <w:szCs w:val="24"/>
        </w:rPr>
        <w:t xml:space="preserve">👨‍👩‍👧 Cultural Identity &amp; Heritage (Ideas 6, 14, 22)</w:t>
      </w:r>
    </w:p>
    <w:p>
      <w:pPr>
        <w:spacing w:before="60" w:after="80"/>
      </w:pPr>
      <w:r>
        <w:rPr>
          <w:rFonts w:ascii="Calibri" w:cs="Calibri" w:eastAsia="Calibri" w:hAnsi="Calibri"/>
          <w:color w:val="1C1233"/>
          <w:sz w:val="22"/>
          <w:szCs w:val="22"/>
        </w:rPr>
        <w:t xml:space="preserve">India's regional cultural communities have profound emotional attachment to their heritage. Ideas that honor this identity create brand loyalty that transcends product features.</w:t>
      </w:r>
    </w:p>
    <w:p>
      <w:pPr>
        <w:spacing w:before="40" w:after="0"/>
      </w:pPr>
      <w:r>
        <w:t xml:space="preserve"/>
      </w:r>
    </w:p>
    <w:p>
      <w:pPr>
        <w:spacing w:before="180" w:after="80"/>
      </w:pPr>
      <w:r>
        <w:rPr>
          <w:rFonts w:ascii="Calibri" w:cs="Calibri" w:eastAsia="Calibri" w:hAnsi="Calibri"/>
          <w:b/>
          <w:bCs/>
          <w:color w:val="5B3FA0"/>
          <w:sz w:val="24"/>
          <w:szCs w:val="24"/>
        </w:rPr>
        <w:t xml:space="preserve">🤝 Community Belonging &amp; Recognition (Ideas 2, 19, 20, 29, 30)</w:t>
      </w:r>
    </w:p>
    <w:p>
      <w:pPr>
        <w:spacing w:before="60" w:after="80"/>
      </w:pPr>
      <w:r>
        <w:rPr>
          <w:rFonts w:ascii="Calibri" w:cs="Calibri" w:eastAsia="Calibri" w:hAnsi="Calibri"/>
          <w:color w:val="1C1233"/>
          <w:sz w:val="22"/>
          <w:szCs w:val="22"/>
        </w:rPr>
        <w:t xml:space="preserve">Indian community organizers are volunteer-driven and recognition-hungry. Ideas that celebrate their work, connect them with peers, and show their collective impact create the deepest long-term platform loyalty.</w:t>
      </w:r>
    </w:p>
    <w:p>
      <w:pPr>
        <w:spacing w:before="40" w:after="0"/>
      </w:pPr>
      <w:r>
        <w:t xml:space="preserve"/>
      </w:r>
    </w:p>
    <w:p>
      <w:pPr>
        <w:spacing w:before="80" w:after="0"/>
      </w:pPr>
      <w:r>
        <w:t xml:space="preserve"/>
      </w:r>
    </w:p>
    <w:p>
      <w:pPr>
        <w:pBdr>
          <w:bottom w:val="single" w:color="C5B3E8" w:sz="8" w:space="1"/>
        </w:pBdr>
        <w:spacing w:before="80" w:after="80"/>
      </w:pPr>
      <w:r>
        <w:rPr>
          <w:sz w:val="4"/>
          <w:szCs w:val="4"/>
        </w:rPr>
        <w:t xml:space="preserve"/>
      </w:r>
    </w:p>
    <w:p>
      <w:pPr>
        <w:spacing w:before="80" w:after="0"/>
      </w:pPr>
      <w:r>
        <w:t xml:space="preserve"/>
      </w:r>
    </w:p>
    <w:p>
      <w:pPr>
        <w:spacing w:before="360" w:after="160"/>
      </w:pPr>
      <w:r>
        <w:rPr>
          <w:rFonts w:ascii="Georgia" w:cs="Georgia" w:eastAsia="Georgia" w:hAnsi="Georgia"/>
          <w:b/>
          <w:bCs/>
          <w:color w:val="0B1F3A"/>
          <w:sz w:val="42"/>
          <w:szCs w:val="42"/>
        </w:rPr>
        <w:t xml:space="preserve">90-Day Execution Roadmap</w:t>
      </w:r>
    </w:p>
    <w:p>
      <w:pPr>
        <w:pBdr>
          <w:bottom w:val="single" w:color="C5B3E8" w:sz="8" w:space="1"/>
        </w:pBdr>
        <w:spacing w:before="80" w:after="80"/>
      </w:pPr>
      <w:r>
        <w:rPr>
          <w:sz w:val="4"/>
          <w:szCs w:val="4"/>
        </w:rPr>
        <w:t xml:space="preserve"/>
      </w:r>
    </w:p>
    <w:p>
      <w:pPr>
        <w:spacing w:before="80" w:after="0"/>
      </w:pPr>
      <w:r>
        <w:t xml:space="preserve"/>
      </w:r>
    </w:p>
    <w:p>
      <w:pPr>
        <w:spacing w:before="240" w:after="100"/>
      </w:pPr>
      <w:r>
        <w:rPr>
          <w:rFonts w:ascii="Georgia" w:cs="Georgia" w:eastAsia="Georgia" w:hAnsi="Georgia"/>
          <w:b/>
          <w:bCs/>
          <w:color w:val="5B3FA0"/>
          <w:sz w:val="28"/>
          <w:szCs w:val="28"/>
        </w:rPr>
        <w:t xml:space="preserve">Month 1 — Foundation: Pain Recognition &amp; Free Trial (Ideas 2, 9, 1, 10)</w:t>
      </w:r>
    </w:p>
    <w:p>
      <w:pPr>
        <w:spacing w:before="60" w:after="80"/>
      </w:pPr>
      <w:r>
        <w:rPr>
          <w:rFonts w:ascii="Calibri" w:cs="Calibri" w:eastAsia="Calibri" w:hAnsi="Calibri"/>
          <w:color w:val="1C1233"/>
          <w:sz w:val="22"/>
          <w:szCs w:val="22"/>
        </w:rPr>
        <w:t xml:space="preserve">Launch the core 'upgrade from WhatsApp' narrative for RWAs (Idea #2) and the zero-risk free event offer (Idea #9). Deploy Seva Certificate campaign for volunteer organizations (Idea #1). Launch the Petition-to-Policy case study for social impact audiences (Idea #10). Focus on Instagram Reels, WhatsApp community group seeding, and LinkedIn articles targeting specific organizer categories.</w:t>
      </w:r>
    </w:p>
    <w:p>
      <w:pPr>
        <w:spacing w:before="60" w:after="0"/>
      </w:pPr>
      <w:r>
        <w:t xml:space="preserve"/>
      </w:r>
    </w:p>
    <w:p>
      <w:pPr>
        <w:spacing w:before="240" w:after="100"/>
      </w:pPr>
      <w:r>
        <w:rPr>
          <w:rFonts w:ascii="Georgia" w:cs="Georgia" w:eastAsia="Georgia" w:hAnsi="Georgia"/>
          <w:b/>
          <w:bCs/>
          <w:color w:val="5B3FA0"/>
          <w:sz w:val="28"/>
          <w:szCs w:val="28"/>
        </w:rPr>
        <w:t xml:space="preserve">Month 2 — Specific Pain Points &amp; Revenue (Ideas 4, 5, 7, 12, 18)</w:t>
      </w:r>
    </w:p>
    <w:p>
      <w:pPr>
        <w:spacing w:before="60" w:after="80"/>
      </w:pPr>
      <w:r>
        <w:rPr>
          <w:rFonts w:ascii="Calibri" w:cs="Calibri" w:eastAsia="Calibri" w:hAnsi="Calibri"/>
          <w:color w:val="1C1233"/>
          <w:sz w:val="22"/>
          <w:szCs w:val="22"/>
        </w:rPr>
        <w:t xml:space="preserve">Push funding and revenue content — Impact Report for NGOs (Idea #4), Grant Management (Idea #18), Charity Run Fundraising (Idea #5), Space Booking Revenue (Idea #12). Target volunteer attraction for NGOs (Idea #7). These ideas drive decisions from committee leaders and organizational finance decision-makers.</w:t>
      </w:r>
    </w:p>
    <w:p>
      <w:pPr>
        <w:spacing w:before="60" w:after="0"/>
      </w:pPr>
      <w:r>
        <w:t xml:space="preserve"/>
      </w:r>
    </w:p>
    <w:p>
      <w:pPr>
        <w:spacing w:before="240" w:after="100"/>
      </w:pPr>
      <w:r>
        <w:rPr>
          <w:rFonts w:ascii="Georgia" w:cs="Georgia" w:eastAsia="Georgia" w:hAnsi="Georgia"/>
          <w:b/>
          <w:bCs/>
          <w:color w:val="5B3FA0"/>
          <w:sz w:val="28"/>
          <w:szCs w:val="28"/>
        </w:rPr>
        <w:t xml:space="preserve">Month 3 — Community &amp; Cultural Depth (Ideas 6, 8, 13, 14, 21, 30)</w:t>
      </w:r>
    </w:p>
    <w:p>
      <w:pPr>
        <w:spacing w:before="60" w:after="80"/>
      </w:pPr>
      <w:r>
        <w:rPr>
          <w:rFonts w:ascii="Calibri" w:cs="Calibri" w:eastAsia="Calibri" w:hAnsi="Calibri"/>
          <w:color w:val="1C1233"/>
          <w:sz w:val="22"/>
          <w:szCs w:val="22"/>
        </w:rPr>
        <w:t xml:space="preserve">Build the community flywheel with peer network launch (Idea #29) and Organizer Spotlight series. Deploy Heritage Documentation (Idea #6) for cultural associations. Run Mentorship Campaign (Idea #8) for networking communities. Launch gaming and traditional sports content (Idea #21). Publish first quarterly EcoSkiller Impact Report (Idea #30).</w:t>
      </w:r>
    </w:p>
    <w:p>
      <w:pPr>
        <w:spacing w:before="60" w:after="0"/>
      </w:pPr>
      <w:r>
        <w:t xml:space="preserve"/>
      </w:r>
    </w:p>
    <w:p>
      <w:pPr>
        <w:spacing w:before="80" w:after="0"/>
      </w:pPr>
      <w:r>
        <w:t xml:space="preserve"/>
      </w:r>
    </w:p>
    <w:p>
      <w:pPr>
        <w:pBdr>
          <w:bottom w:val="single" w:color="C5B3E8" w:sz="8" w:space="1"/>
        </w:pBdr>
        <w:spacing w:before="80" w:after="80"/>
      </w:pPr>
      <w:r>
        <w:rPr>
          <w:sz w:val="4"/>
          <w:szCs w:val="4"/>
        </w:rPr>
        <w:t xml:space="preserve"/>
      </w:r>
    </w:p>
    <w:p>
      <w:pPr>
        <w:spacing w:before="80" w:after="0"/>
      </w:pPr>
      <w:r>
        <w:t xml:space="preserve"/>
      </w:r>
    </w:p>
    <w:p>
      <w:pPr>
        <w:spacing w:before="360" w:after="160"/>
      </w:pPr>
      <w:r>
        <w:rPr>
          <w:rFonts w:ascii="Georgia" w:cs="Georgia" w:eastAsia="Georgia" w:hAnsi="Georgia"/>
          <w:b/>
          <w:bCs/>
          <w:color w:val="0B1F3A"/>
          <w:sz w:val="42"/>
          <w:szCs w:val="42"/>
        </w:rPr>
        <w:t xml:space="preserve">Channel-by-Channel Quick Reference</w:t>
      </w:r>
    </w:p>
    <w:p>
      <w:pPr>
        <w:pBdr>
          <w:bottom w:val="single" w:color="C5B3E8" w:sz="8" w:space="1"/>
        </w:pBdr>
        <w:spacing w:before="80" w:after="80"/>
      </w:pPr>
      <w:r>
        <w:rPr>
          <w:sz w:val="4"/>
          <w:szCs w:val="4"/>
        </w:rP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3980"/>
      </w:tblGrid>
      <w:tr>
        <w:tc>
          <w:tcPr>
            <w:tcW w:type="dxa" w:w="2000"/>
            <w:tcBorders>
              <w:top w:val="single" w:color="5B3FA0" w:sz="1"/>
              <w:left w:val="single" w:color="5B3FA0" w:sz="1"/>
              <w:bottom w:val="single" w:color="5B3FA0" w:sz="1"/>
              <w:right w:val="single" w:color="5B3FA0" w:sz="1"/>
            </w:tcBorders>
            <w:shd w:fill="2D1B69" w:val="clear"/>
            <w:tcMar>
              <w:top w:type="dxa" w:w="100"/>
              <w:left w:type="dxa" w:w="120"/>
              <w:bottom w:type="dxa" w:w="100"/>
              <w:right w:type="dxa" w:w="120"/>
            </w:tcMar>
          </w:tcPr>
          <w:p>
            <w:r>
              <w:rPr>
                <w:rFonts w:ascii="Calibri" w:cs="Calibri" w:eastAsia="Calibri" w:hAnsi="Calibri"/>
                <w:b/>
                <w:bCs/>
                <w:color w:val="FFFFFF"/>
                <w:sz w:val="22"/>
                <w:szCs w:val="22"/>
              </w:rPr>
              <w:t xml:space="preserve">Channel</w:t>
            </w:r>
          </w:p>
        </w:tc>
        <w:tc>
          <w:tcPr>
            <w:tcW w:type="dxa" w:w="3380"/>
            <w:tcBorders>
              <w:top w:val="single" w:color="5B3FA0" w:sz="1"/>
              <w:left w:val="single" w:color="5B3FA0" w:sz="1"/>
              <w:bottom w:val="single" w:color="5B3FA0" w:sz="1"/>
              <w:right w:val="single" w:color="5B3FA0" w:sz="1"/>
            </w:tcBorders>
            <w:shd w:fill="2D1B69" w:val="clear"/>
            <w:tcMar>
              <w:top w:type="dxa" w:w="100"/>
              <w:left w:type="dxa" w:w="120"/>
              <w:bottom w:type="dxa" w:w="100"/>
              <w:right w:type="dxa" w:w="120"/>
            </w:tcMar>
          </w:tcPr>
          <w:p>
            <w:r>
              <w:rPr>
                <w:rFonts w:ascii="Calibri" w:cs="Calibri" w:eastAsia="Calibri" w:hAnsi="Calibri"/>
                <w:b/>
                <w:bCs/>
                <w:color w:val="FFFFFF"/>
                <w:sz w:val="22"/>
                <w:szCs w:val="22"/>
              </w:rPr>
              <w:t xml:space="preserve">Best Ideas</w:t>
            </w:r>
          </w:p>
        </w:tc>
        <w:tc>
          <w:tcPr>
            <w:tcW w:type="dxa" w:w="3980"/>
            <w:tcBorders>
              <w:top w:val="single" w:color="5B3FA0" w:sz="1"/>
              <w:left w:val="single" w:color="5B3FA0" w:sz="1"/>
              <w:bottom w:val="single" w:color="5B3FA0" w:sz="1"/>
              <w:right w:val="single" w:color="5B3FA0" w:sz="1"/>
            </w:tcBorders>
            <w:shd w:fill="2D1B69" w:val="clear"/>
            <w:tcMar>
              <w:top w:type="dxa" w:w="100"/>
              <w:left w:type="dxa" w:w="120"/>
              <w:bottom w:type="dxa" w:w="100"/>
              <w:right w:type="dxa" w:w="120"/>
            </w:tcMar>
          </w:tcPr>
          <w:p>
            <w:r>
              <w:rPr>
                <w:rFonts w:ascii="Calibri" w:cs="Calibri" w:eastAsia="Calibri" w:hAnsi="Calibri"/>
                <w:b/>
                <w:bCs/>
                <w:color w:val="FFFFFF"/>
                <w:sz w:val="22"/>
                <w:szCs w:val="22"/>
              </w:rPr>
              <w:t xml:space="preserve">Content Format</w:t>
            </w:r>
          </w:p>
        </w:tc>
      </w:tr>
      <w:tr>
        <w:tc>
          <w:tcPr>
            <w:tcW w:type="dxa" w:w="2000"/>
            <w:tcBorders>
              <w:top w:val="single" w:color="C3AEE8" w:sz="1"/>
              <w:left w:val="single" w:color="C3AEE8" w:sz="1"/>
              <w:bottom w:val="single" w:color="C3AEE8" w:sz="1"/>
              <w:right w:val="single" w:color="C3AEE8" w:sz="1"/>
            </w:tcBorders>
            <w:shd w:fill="EDE7F6" w:val="clear"/>
            <w:tcMar>
              <w:top w:type="dxa" w:w="80"/>
              <w:left w:type="dxa" w:w="120"/>
              <w:bottom w:type="dxa" w:w="80"/>
              <w:right w:type="dxa" w:w="120"/>
            </w:tcMar>
          </w:tcPr>
          <w:p>
            <w:r>
              <w:rPr>
                <w:rFonts w:ascii="Calibri" w:cs="Calibri" w:eastAsia="Calibri" w:hAnsi="Calibri"/>
                <w:b/>
                <w:bCs/>
                <w:color w:val="1C1233"/>
                <w:sz w:val="20"/>
                <w:szCs w:val="20"/>
              </w:rPr>
              <w:t xml:space="preserve">📱 Instagram</w:t>
            </w:r>
          </w:p>
        </w:tc>
        <w:tc>
          <w:tcPr>
            <w:tcW w:type="dxa" w:w="33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#1, #2, #5, #6, #13</w:t>
            </w:r>
          </w:p>
        </w:tc>
        <w:tc>
          <w:tcPr>
            <w:tcW w:type="dxa" w:w="39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Certificate reveals, RWA transformations, heritage vault clips, Garba booking</w:t>
            </w:r>
          </w:p>
        </w:tc>
      </w:tr>
      <w:tr>
        <w:tc>
          <w:tcPr>
            <w:tcW w:type="dxa" w:w="2000"/>
            <w:tcBorders>
              <w:top w:val="single" w:color="C3AEE8" w:sz="1"/>
              <w:left w:val="single" w:color="C3AEE8" w:sz="1"/>
              <w:bottom w:val="single" w:color="C3AEE8" w:sz="1"/>
              <w:right w:val="single" w:color="C3AEE8" w:sz="1"/>
            </w:tcBorders>
            <w:shd w:fill="EDE7F6" w:val="clear"/>
            <w:tcMar>
              <w:top w:type="dxa" w:w="80"/>
              <w:left w:type="dxa" w:w="120"/>
              <w:bottom w:type="dxa" w:w="80"/>
              <w:right w:type="dxa" w:w="120"/>
            </w:tcMar>
          </w:tcPr>
          <w:p>
            <w:r>
              <w:rPr>
                <w:rFonts w:ascii="Calibri" w:cs="Calibri" w:eastAsia="Calibri" w:hAnsi="Calibri"/>
                <w:b/>
                <w:bCs/>
                <w:color w:val="1C1233"/>
                <w:sz w:val="20"/>
                <w:szCs w:val="20"/>
              </w:rPr>
              <w:t xml:space="preserve">💼 LinkedIn</w:t>
            </w:r>
          </w:p>
        </w:tc>
        <w:tc>
          <w:tcPr>
            <w:tcW w:type="dxa" w:w="33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#3, #4, #7, #8, #17</w:t>
            </w:r>
          </w:p>
        </w:tc>
        <w:tc>
          <w:tcPr>
            <w:tcW w:type="dxa" w:w="39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Networking ROI, NGO funding guides, volunteer attraction, mentorship stories</w:t>
            </w:r>
          </w:p>
        </w:tc>
      </w:tr>
      <w:tr>
        <w:tc>
          <w:tcPr>
            <w:tcW w:type="dxa" w:w="2000"/>
            <w:tcBorders>
              <w:top w:val="single" w:color="C3AEE8" w:sz="1"/>
              <w:left w:val="single" w:color="C3AEE8" w:sz="1"/>
              <w:bottom w:val="single" w:color="C3AEE8" w:sz="1"/>
              <w:right w:val="single" w:color="C3AEE8" w:sz="1"/>
            </w:tcBorders>
            <w:shd w:fill="EDE7F6" w:val="clear"/>
            <w:tcMar>
              <w:top w:type="dxa" w:w="80"/>
              <w:left w:type="dxa" w:w="120"/>
              <w:bottom w:type="dxa" w:w="80"/>
              <w:right w:type="dxa" w:w="120"/>
            </w:tcMar>
          </w:tcPr>
          <w:p>
            <w:r>
              <w:rPr>
                <w:rFonts w:ascii="Calibri" w:cs="Calibri" w:eastAsia="Calibri" w:hAnsi="Calibri"/>
                <w:b/>
                <w:bCs/>
                <w:color w:val="1C1233"/>
                <w:sz w:val="20"/>
                <w:szCs w:val="20"/>
              </w:rPr>
              <w:t xml:space="preserve">💬 WhatsApp Groups</w:t>
            </w:r>
          </w:p>
        </w:tc>
        <w:tc>
          <w:tcPr>
            <w:tcW w:type="dxa" w:w="33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#2, #9, #10, #18, #12</w:t>
            </w:r>
          </w:p>
        </w:tc>
        <w:tc>
          <w:tcPr>
            <w:tcW w:type="dxa" w:w="39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RWA upgrade, free trial, petition tools, grant checklists, hall revenue</w:t>
            </w:r>
          </w:p>
        </w:tc>
      </w:tr>
      <w:tr>
        <w:tc>
          <w:tcPr>
            <w:tcW w:type="dxa" w:w="2000"/>
            <w:tcBorders>
              <w:top w:val="single" w:color="C3AEE8" w:sz="1"/>
              <w:left w:val="single" w:color="C3AEE8" w:sz="1"/>
              <w:bottom w:val="single" w:color="C3AEE8" w:sz="1"/>
              <w:right w:val="single" w:color="C3AEE8" w:sz="1"/>
            </w:tcBorders>
            <w:shd w:fill="EDE7F6" w:val="clear"/>
            <w:tcMar>
              <w:top w:type="dxa" w:w="80"/>
              <w:left w:type="dxa" w:w="120"/>
              <w:bottom w:type="dxa" w:w="80"/>
              <w:right w:type="dxa" w:w="120"/>
            </w:tcMar>
          </w:tcPr>
          <w:p>
            <w:r>
              <w:rPr>
                <w:rFonts w:ascii="Calibri" w:cs="Calibri" w:eastAsia="Calibri" w:hAnsi="Calibri"/>
                <w:b/>
                <w:bCs/>
                <w:color w:val="1C1233"/>
                <w:sz w:val="20"/>
                <w:szCs w:val="20"/>
              </w:rPr>
              <w:t xml:space="preserve">📘 Facebook Groups</w:t>
            </w:r>
          </w:p>
        </w:tc>
        <w:tc>
          <w:tcPr>
            <w:tcW w:type="dxa" w:w="33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#6, #14, #22, #21, #12</w:t>
            </w:r>
          </w:p>
        </w:tc>
        <w:tc>
          <w:tcPr>
            <w:tcW w:type="dxa" w:w="39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Cultural associations, regional language, heritage, gaming, space booking</w:t>
            </w:r>
          </w:p>
        </w:tc>
      </w:tr>
      <w:tr>
        <w:tc>
          <w:tcPr>
            <w:tcW w:type="dxa" w:w="2000"/>
            <w:tcBorders>
              <w:top w:val="single" w:color="C3AEE8" w:sz="1"/>
              <w:left w:val="single" w:color="C3AEE8" w:sz="1"/>
              <w:bottom w:val="single" w:color="C3AEE8" w:sz="1"/>
              <w:right w:val="single" w:color="C3AEE8" w:sz="1"/>
            </w:tcBorders>
            <w:shd w:fill="EDE7F6" w:val="clear"/>
            <w:tcMar>
              <w:top w:type="dxa" w:w="80"/>
              <w:left w:type="dxa" w:w="120"/>
              <w:bottom w:type="dxa" w:w="80"/>
              <w:right w:type="dxa" w:w="120"/>
            </w:tcMar>
          </w:tcPr>
          <w:p>
            <w:r>
              <w:rPr>
                <w:rFonts w:ascii="Calibri" w:cs="Calibri" w:eastAsia="Calibri" w:hAnsi="Calibri"/>
                <w:b/>
                <w:bCs/>
                <w:color w:val="1C1233"/>
                <w:sz w:val="20"/>
                <w:szCs w:val="20"/>
              </w:rPr>
              <w:t xml:space="preserve">🎥 YouTube</w:t>
            </w:r>
          </w:p>
        </w:tc>
        <w:tc>
          <w:tcPr>
            <w:tcW w:type="dxa" w:w="33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#11, #13, #15, #16, #4</w:t>
            </w:r>
          </w:p>
        </w:tc>
        <w:tc>
          <w:tcPr>
            <w:tcW w:type="dxa" w:w="39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Debate training, gaming org, book analytics, multilingual comm, impact reports</w:t>
            </w:r>
          </w:p>
        </w:tc>
      </w:tr>
      <w:tr>
        <w:tc>
          <w:tcPr>
            <w:tcW w:type="dxa" w:w="2000"/>
            <w:tcBorders>
              <w:top w:val="single" w:color="C3AEE8" w:sz="1"/>
              <w:left w:val="single" w:color="C3AEE8" w:sz="1"/>
              <w:bottom w:val="single" w:color="C3AEE8" w:sz="1"/>
              <w:right w:val="single" w:color="C3AEE8" w:sz="1"/>
            </w:tcBorders>
            <w:shd w:fill="EDE7F6" w:val="clear"/>
            <w:tcMar>
              <w:top w:type="dxa" w:w="80"/>
              <w:left w:type="dxa" w:w="120"/>
              <w:bottom w:type="dxa" w:w="80"/>
              <w:right w:type="dxa" w:w="120"/>
            </w:tcMar>
          </w:tcPr>
          <w:p>
            <w:r>
              <w:rPr>
                <w:rFonts w:ascii="Calibri" w:cs="Calibri" w:eastAsia="Calibri" w:hAnsi="Calibri"/>
                <w:b/>
                <w:bCs/>
                <w:color w:val="1C1233"/>
                <w:sz w:val="20"/>
                <w:szCs w:val="20"/>
              </w:rPr>
              <w:t xml:space="preserve">📧 Email/Newsletter</w:t>
            </w:r>
          </w:p>
        </w:tc>
        <w:tc>
          <w:tcPr>
            <w:tcW w:type="dxa" w:w="33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#4, #18, #7, #30, #8</w:t>
            </w:r>
          </w:p>
        </w:tc>
        <w:tc>
          <w:tcPr>
            <w:tcW w:type="dxa" w:w="3980"/>
            <w:tcBorders>
              <w:top w:val="single" w:color="C3AEE8" w:sz="1"/>
              <w:left w:val="single" w:color="C3AEE8" w:sz="1"/>
              <w:bottom w:val="single" w:color="C3AEE8" w:sz="1"/>
              <w:right w:val="single" w:color="C3AEE8" w:sz="1"/>
            </w:tcBorders>
            <w:shd w:fill="FFFFFF" w:val="clear"/>
            <w:tcMar>
              <w:top w:type="dxa" w:w="80"/>
              <w:left w:type="dxa" w:w="120"/>
              <w:bottom w:type="dxa" w:w="80"/>
              <w:right w:type="dxa" w:w="120"/>
            </w:tcMar>
          </w:tcPr>
          <w:p>
            <w:r>
              <w:rPr>
                <w:rFonts w:ascii="Calibri" w:cs="Calibri" w:eastAsia="Calibri" w:hAnsi="Calibri"/>
                <w:b w:val="false"/>
                <w:bCs w:val="false"/>
                <w:color w:val="1C1233"/>
                <w:sz w:val="20"/>
                <w:szCs w:val="20"/>
              </w:rPr>
              <w:t xml:space="preserve">Impact reports, grant deadlines, volunteer retention, platform reports, mentorship</w:t>
            </w:r>
          </w:p>
        </w:tc>
      </w:tr>
    </w:tbl>
    <w:p>
      <w:pPr>
        <w:spacing w:before="120" w:after="0"/>
      </w:pPr>
      <w:r>
        <w:t xml:space="preserve"/>
      </w:r>
    </w:p>
    <w:p>
      <w:pPr>
        <w:pBdr>
          <w:bottom w:val="single" w:color="C5B3E8" w:sz="8" w:space="1"/>
        </w:pBdr>
        <w:spacing w:before="80" w:after="80"/>
      </w:pPr>
      <w:r>
        <w:rPr>
          <w:sz w:val="4"/>
          <w:szCs w:val="4"/>
        </w:rPr>
        <w:t xml:space="preserve"/>
      </w:r>
    </w:p>
    <w:p>
      <w:pPr>
        <w:spacing w:before="80" w:after="0"/>
      </w:pPr>
      <w:r>
        <w:t xml:space="preserve"/>
      </w:r>
    </w:p>
    <w:p>
      <w:pPr>
        <w:spacing w:before="360" w:after="160"/>
      </w:pPr>
      <w:r>
        <w:rPr>
          <w:rFonts w:ascii="Georgia" w:cs="Georgia" w:eastAsia="Georgia" w:hAnsi="Georgia"/>
          <w:b/>
          <w:bCs/>
          <w:color w:val="0B1F3A"/>
          <w:sz w:val="42"/>
          <w:szCs w:val="42"/>
        </w:rPr>
        <w:t xml:space="preserve">Organizer-Type Quick Reference</w:t>
      </w:r>
    </w:p>
    <w:p>
      <w:pPr>
        <w:pBdr>
          <w:bottom w:val="single" w:color="C5B3E8" w:sz="8" w:space="1"/>
        </w:pBdr>
        <w:spacing w:before="80" w:after="80"/>
      </w:pPr>
      <w:r>
        <w:rPr>
          <w:sz w:val="4"/>
          <w:szCs w:val="4"/>
        </w:rPr>
        <w:t xml:space="preserve"/>
      </w:r>
    </w:p>
    <w:p>
      <w:pPr>
        <w:spacing w:before="80" w:after="0"/>
      </w:pPr>
      <w:r>
        <w:t xml:space="preserve"/>
      </w:r>
    </w:p>
    <w:p>
      <w:pPr>
        <w:spacing w:before="60" w:after="80"/>
      </w:pPr>
      <w:r>
        <w:rPr>
          <w:rFonts w:ascii="Calibri" w:cs="Calibri" w:eastAsia="Calibri" w:hAnsi="Calibri"/>
          <w:color w:val="1C1233"/>
          <w:sz w:val="22"/>
          <w:szCs w:val="22"/>
        </w:rPr>
        <w:t xml:space="preserve">Which ideas speak most directly to each of the 9 organizer category audiences: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5B3FA0" w:sz="1"/>
              <w:left w:val="single" w:color="5B3FA0" w:sz="1"/>
              <w:bottom w:val="single" w:color="5B3FA0" w:sz="1"/>
              <w:right w:val="single" w:color="5B3FA0" w:sz="1"/>
            </w:tcBorders>
            <w:shd w:fill="2D1B69" w:val="clear"/>
            <w:tcMar>
              <w:top w:type="dxa" w:w="100"/>
              <w:left w:type="dxa" w:w="140"/>
              <w:bottom w:type="dxa" w:w="100"/>
              <w:right w:type="dxa" w:w="140"/>
            </w:tcMar>
          </w:tcPr>
          <w:p>
            <w:r>
              <w:rPr>
                <w:rFonts w:ascii="Calibri" w:cs="Calibri" w:eastAsia="Calibri" w:hAnsi="Calibri"/>
                <w:b/>
                <w:bCs/>
                <w:color w:val="FFFFFF"/>
                <w:sz w:val="22"/>
                <w:szCs w:val="22"/>
              </w:rPr>
              <w:t xml:space="preserve">Organizer Type</w:t>
            </w:r>
          </w:p>
        </w:tc>
        <w:tc>
          <w:tcPr>
            <w:tcBorders>
              <w:top w:val="single" w:color="5B3FA0" w:sz="1"/>
              <w:left w:val="single" w:color="5B3FA0" w:sz="1"/>
              <w:bottom w:val="single" w:color="5B3FA0" w:sz="1"/>
              <w:right w:val="single" w:color="5B3FA0" w:sz="1"/>
            </w:tcBorders>
            <w:shd w:fill="2D1B69" w:val="clear"/>
            <w:tcMar>
              <w:top w:type="dxa" w:w="100"/>
              <w:left w:type="dxa" w:w="140"/>
              <w:bottom w:type="dxa" w:w="100"/>
              <w:right w:type="dxa" w:w="140"/>
            </w:tcMar>
          </w:tcPr>
          <w:p>
            <w:r>
              <w:rPr>
                <w:rFonts w:ascii="Calibri" w:cs="Calibri" w:eastAsia="Calibri" w:hAnsi="Calibri"/>
                <w:b/>
                <w:bCs/>
                <w:color w:val="FFFFFF"/>
                <w:sz w:val="22"/>
                <w:szCs w:val="22"/>
              </w:rPr>
              <w:t xml:space="preserve">Primary Positioning Ideas</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Volunteer Organiser</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#1, #7, #19 — Seva certificates, NGO professionalization, volunteer retention recognition</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Community Hub</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#2, #12, #18 — RWA operating system, hall revenue, grant management</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Debate Club</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#11 — IAS/career pathway, structured training, tournament records</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Book Club</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#13, #20 — Annual reading summary virality, democratic voting, community engagement</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Social Impact</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#4, #10, #17, #23 — NGO funding enablement, petition tools, SROI data, coalition management</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Networking Organiser</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#3, #8, #16 — Smart matchmaking, mentorship programs, alumni activation</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Gaming Club</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#13, #21 — India gaming culture legitimization, traditional + digital games, tournament infrastructure</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Cultural Organiser</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#6, #14, #15, #22 — Heritage vault, multilingual communication, artist registry, funding</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Charity Run</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#5, #16, #24 — Fundraising amplification, participant experience, marshal coordination</w:t>
            </w:r>
          </w:p>
        </w:tc>
      </w:tr>
      <w:tr>
        <w:tc>
          <w:tcPr>
            <w:tcBorders>
              <w:top w:val="single" w:color="C3AEE8" w:sz="1"/>
              <w:left w:val="single" w:color="C3AEE8" w:sz="1"/>
              <w:bottom w:val="single" w:color="C3AEE8" w:sz="1"/>
              <w:right w:val="single" w:color="C3AEE8" w:sz="1"/>
            </w:tcBorders>
            <w:shd w:fill="EDE7F6" w:val="clear"/>
            <w:tcMar>
              <w:top w:type="dxa" w:w="80"/>
              <w:left w:type="dxa" w:w="140"/>
              <w:bottom w:type="dxa" w:w="80"/>
              <w:right w:type="dxa" w:w="140"/>
            </w:tcMar>
          </w:tcPr>
          <w:p>
            <w:r>
              <w:rPr>
                <w:rFonts w:ascii="Calibri" w:cs="Calibri" w:eastAsia="Calibri" w:hAnsi="Calibri"/>
                <w:b/>
                <w:bCs/>
                <w:color w:val="1C1233"/>
                <w:sz w:val="20"/>
                <w:szCs w:val="20"/>
              </w:rPr>
              <w:t xml:space="preserve">🌐 Multi-Category</w:t>
            </w:r>
          </w:p>
        </w:tc>
        <w:tc>
          <w:tcPr>
            <w:tcBorders>
              <w:top w:val="single" w:color="C3AEE8" w:sz="1"/>
              <w:left w:val="single" w:color="C3AEE8" w:sz="1"/>
              <w:bottom w:val="single" w:color="C3AEE8" w:sz="1"/>
              <w:right w:val="single" w:color="C3AEE8" w:sz="1"/>
            </w:tcBorders>
            <w:shd w:fill="FFFFFF" w:val="clear"/>
            <w:tcMar>
              <w:top w:type="dxa" w:w="80"/>
              <w:left w:type="dxa" w:w="140"/>
              <w:bottom w:type="dxa" w:w="80"/>
              <w:right w:type="dxa" w:w="140"/>
            </w:tcMar>
          </w:tcPr>
          <w:p>
            <w:r>
              <w:rPr>
                <w:rFonts w:ascii="Calibri" w:cs="Calibri" w:eastAsia="Calibri" w:hAnsi="Calibri"/>
                <w:b w:val="false"/>
                <w:bCs w:val="false"/>
                <w:color w:val="1C1233"/>
                <w:sz w:val="20"/>
                <w:szCs w:val="20"/>
              </w:rPr>
              <w:t xml:space="preserve">Ideas #9, #29, #30 — Free trial, peer community, collective impact data storytelling</w:t>
            </w:r>
          </w:p>
        </w:tc>
      </w:tr>
    </w:tbl>
    <w:p>
      <w:pPr>
        <w:spacing w:before="120" w:after="0"/>
      </w:pPr>
      <w:r>
        <w:t xml:space="preserve"/>
      </w:r>
    </w:p>
    <w:p>
      <w:pPr>
        <w:pBdr>
          <w:bottom w:val="single" w:color="C5B3E8" w:sz="8" w:space="1"/>
        </w:pBdr>
        <w:spacing w:before="80" w:after="80"/>
      </w:pPr>
      <w:r>
        <w:rPr>
          <w:sz w:val="4"/>
          <w:szCs w:val="4"/>
        </w:rPr>
        <w:t xml:space="preserve"/>
      </w:r>
    </w:p>
    <w:p>
      <w:pPr>
        <w:spacing w:before="80" w:after="0"/>
      </w:pPr>
      <w:r>
        <w:t xml:space="preserve"/>
      </w:r>
    </w:p>
    <w:p>
      <w:pPr>
        <w:spacing w:before="360" w:after="160"/>
      </w:pPr>
      <w:r>
        <w:rPr>
          <w:rFonts w:ascii="Georgia" w:cs="Georgia" w:eastAsia="Georgia" w:hAnsi="Georgia"/>
          <w:b/>
          <w:bCs/>
          <w:color w:val="0B1F3A"/>
          <w:sz w:val="42"/>
          <w:szCs w:val="42"/>
        </w:rPr>
        <w:t xml:space="preserve">Key Principles for Indian Community &amp; Social Vendor Messaging</w:t>
      </w:r>
    </w:p>
    <w:p>
      <w:pPr>
        <w:pBdr>
          <w:bottom w:val="single" w:color="C5B3E8" w:sz="8" w:space="1"/>
        </w:pBdr>
        <w:spacing w:before="80" w:after="80"/>
      </w:pPr>
      <w:r>
        <w:rPr>
          <w:sz w:val="4"/>
          <w:szCs w:val="4"/>
        </w:rPr>
        <w:t xml:space="preserve"/>
      </w:r>
    </w:p>
    <w:p>
      <w:pPr>
        <w:spacing w:before="80" w:after="0"/>
      </w:pPr>
      <w:r>
        <w:t xml:space="preserve"/>
      </w:r>
    </w:p>
    <w:p>
      <w:pPr>
        <w:spacing w:before="50" w:after="50"/>
        <w:ind w:left="480" w:hanging="320"/>
      </w:pPr>
      <w:r>
        <w:rPr>
          <w:rFonts w:ascii="Calibri" w:cs="Calibri" w:eastAsia="Calibri" w:hAnsi="Calibri"/>
          <w:b/>
          <w:bCs/>
          <w:color w:val="5B3FA0"/>
          <w:sz w:val="22"/>
          <w:szCs w:val="22"/>
        </w:rPr>
        <w:t xml:space="preserve">🤝  </w:t>
      </w:r>
      <w:r>
        <w:rPr>
          <w:rFonts w:ascii="Calibri" w:cs="Calibri" w:eastAsia="Calibri" w:hAnsi="Calibri"/>
          <w:b/>
          <w:bCs/>
          <w:color w:val="1C1233"/>
          <w:sz w:val="22"/>
          <w:szCs w:val="22"/>
        </w:rPr>
        <w:t xml:space="preserve">Lead with emotional resonance before functional benefits — India's community organizers are mission-driven and respond to stories and values before features and pricing</w:t>
      </w:r>
    </w:p>
    <w:p>
      <w:pPr>
        <w:spacing w:before="50" w:after="50"/>
        <w:ind w:left="480" w:hanging="320"/>
      </w:pPr>
      <w:r>
        <w:rPr>
          <w:rFonts w:ascii="Calibri" w:cs="Calibri" w:eastAsia="Calibri" w:hAnsi="Calibri"/>
          <w:b/>
          <w:bCs/>
          <w:color w:val="5B3FA0"/>
          <w:sz w:val="22"/>
          <w:szCs w:val="22"/>
        </w:rPr>
        <w:t xml:space="preserve">🤝  </w:t>
      </w:r>
      <w:r>
        <w:rPr>
          <w:rFonts w:ascii="Calibri" w:cs="Calibri" w:eastAsia="Calibri" w:hAnsi="Calibri"/>
          <w:b/>
          <w:bCs/>
          <w:color w:val="1C1233"/>
          <w:sz w:val="22"/>
          <w:szCs w:val="22"/>
        </w:rPr>
        <w:t xml:space="preserve">Certificate and credential culture is universal — from volunteer seva certificates to debate training records, Indians instinctively share verifiable achievements. Design every feature around its shareability</w:t>
      </w:r>
    </w:p>
    <w:p>
      <w:pPr>
        <w:spacing w:before="50" w:after="50"/>
        <w:ind w:left="480" w:hanging="320"/>
      </w:pPr>
      <w:r>
        <w:rPr>
          <w:rFonts w:ascii="Calibri" w:cs="Calibri" w:eastAsia="Calibri" w:hAnsi="Calibri"/>
          <w:b/>
          <w:bCs/>
          <w:color w:val="5B3FA0"/>
          <w:sz w:val="22"/>
          <w:szCs w:val="22"/>
        </w:rPr>
        <w:t xml:space="preserve">🤝  </w:t>
      </w:r>
      <w:r>
        <w:rPr>
          <w:rFonts w:ascii="Calibri" w:cs="Calibri" w:eastAsia="Calibri" w:hAnsi="Calibri"/>
          <w:b/>
          <w:bCs/>
          <w:color w:val="1C1233"/>
          <w:sz w:val="22"/>
          <w:szCs w:val="22"/>
        </w:rPr>
        <w:t xml:space="preserve">Community networks are the conversion channel — a trusted voice in a WhatsApp community group converts 10x better than any paid ad. Invest in word-of-mouth infrastructure</w:t>
      </w:r>
    </w:p>
    <w:p>
      <w:pPr>
        <w:spacing w:before="50" w:after="50"/>
        <w:ind w:left="480" w:hanging="320"/>
      </w:pPr>
      <w:r>
        <w:rPr>
          <w:rFonts w:ascii="Calibri" w:cs="Calibri" w:eastAsia="Calibri" w:hAnsi="Calibri"/>
          <w:b/>
          <w:bCs/>
          <w:color w:val="5B3FA0"/>
          <w:sz w:val="22"/>
          <w:szCs w:val="22"/>
        </w:rPr>
        <w:t xml:space="preserve">🤝  </w:t>
      </w:r>
      <w:r>
        <w:rPr>
          <w:rFonts w:ascii="Calibri" w:cs="Calibri" w:eastAsia="Calibri" w:hAnsi="Calibri"/>
          <w:b/>
          <w:bCs/>
          <w:color w:val="1C1233"/>
          <w:sz w:val="22"/>
          <w:szCs w:val="22"/>
        </w:rPr>
        <w:t xml:space="preserve">Regional language respect multiplies reach — Hindi, Tamil, Telugu, Marathi, Gujarati hooks unlock communities that English-only tools never reach. Even one regional language message signals genuine inclusion</w:t>
      </w:r>
    </w:p>
    <w:p>
      <w:pPr>
        <w:spacing w:before="50" w:after="50"/>
        <w:ind w:left="480" w:hanging="320"/>
      </w:pPr>
      <w:r>
        <w:rPr>
          <w:rFonts w:ascii="Calibri" w:cs="Calibri" w:eastAsia="Calibri" w:hAnsi="Calibri"/>
          <w:b/>
          <w:bCs/>
          <w:color w:val="5B3FA0"/>
          <w:sz w:val="22"/>
          <w:szCs w:val="22"/>
        </w:rPr>
        <w:t xml:space="preserve">🤝  </w:t>
      </w:r>
      <w:r>
        <w:rPr>
          <w:rFonts w:ascii="Calibri" w:cs="Calibri" w:eastAsia="Calibri" w:hAnsi="Calibri"/>
          <w:b/>
          <w:bCs/>
          <w:color w:val="1C1233"/>
          <w:sz w:val="22"/>
          <w:szCs w:val="22"/>
        </w:rPr>
        <w:t xml:space="preserve">Funding anxiety is the universal pain — across NGOs, cultural bodies, volunteer organizations, and community centers, the fear of missing grants and funding opportunities is acute. Ideas that remove this anxiety convert immediately</w:t>
      </w:r>
    </w:p>
    <w:p>
      <w:pPr>
        <w:spacing w:before="50" w:after="50"/>
        <w:ind w:left="480" w:hanging="320"/>
      </w:pPr>
      <w:r>
        <w:rPr>
          <w:rFonts w:ascii="Calibri" w:cs="Calibri" w:eastAsia="Calibri" w:hAnsi="Calibri"/>
          <w:b/>
          <w:bCs/>
          <w:color w:val="5B3FA0"/>
          <w:sz w:val="22"/>
          <w:szCs w:val="22"/>
        </w:rPr>
        <w:t xml:space="preserve">🤝  </w:t>
      </w:r>
      <w:r>
        <w:rPr>
          <w:rFonts w:ascii="Calibri" w:cs="Calibri" w:eastAsia="Calibri" w:hAnsi="Calibri"/>
          <w:b/>
          <w:bCs/>
          <w:color w:val="1C1233"/>
          <w:sz w:val="22"/>
          <w:szCs w:val="22"/>
        </w:rPr>
        <w:t xml:space="preserve">Honor the guru-shishya relationship — mentorship, teaching, coaching, and skill transmission are culturally sacred in India. Features that structure these relationships professionally command deep respect</w:t>
      </w:r>
    </w:p>
    <w:p>
      <w:pPr>
        <w:spacing w:before="50" w:after="50"/>
        <w:ind w:left="480" w:hanging="320"/>
      </w:pPr>
      <w:r>
        <w:rPr>
          <w:rFonts w:ascii="Calibri" w:cs="Calibri" w:eastAsia="Calibri" w:hAnsi="Calibri"/>
          <w:b/>
          <w:bCs/>
          <w:color w:val="5B3FA0"/>
          <w:sz w:val="22"/>
          <w:szCs w:val="22"/>
        </w:rPr>
        <w:t xml:space="preserve">🤝  </w:t>
      </w:r>
      <w:r>
        <w:rPr>
          <w:rFonts w:ascii="Calibri" w:cs="Calibri" w:eastAsia="Calibri" w:hAnsi="Calibri"/>
          <w:b/>
          <w:bCs/>
          <w:color w:val="1C1233"/>
          <w:sz w:val="22"/>
          <w:szCs w:val="22"/>
        </w:rPr>
        <w:t xml:space="preserve">Legacy and heritage matter profoundly — India's communities are custodians of traditions, histories, and cultural knowledge. Features that preserve and celebrate this heritage create emotional loyalty no competitor can replicate</w:t>
      </w:r>
    </w:p>
    <w:p>
      <w:pPr>
        <w:spacing w:before="50" w:after="50"/>
        <w:ind w:left="480" w:hanging="320"/>
      </w:pPr>
      <w:r>
        <w:rPr>
          <w:rFonts w:ascii="Calibri" w:cs="Calibri" w:eastAsia="Calibri" w:hAnsi="Calibri"/>
          <w:b/>
          <w:bCs/>
          <w:color w:val="5B3FA0"/>
          <w:sz w:val="22"/>
          <w:szCs w:val="22"/>
        </w:rPr>
        <w:t xml:space="preserve">🤝  </w:t>
      </w:r>
      <w:r>
        <w:rPr>
          <w:rFonts w:ascii="Calibri" w:cs="Calibri" w:eastAsia="Calibri" w:hAnsi="Calibri"/>
          <w:b/>
          <w:bCs/>
          <w:color w:val="1C1233"/>
          <w:sz w:val="22"/>
          <w:szCs w:val="22"/>
        </w:rPr>
        <w:t xml:space="preserve">Celebrate unsung heroes — India's community organizers are enormously dedicated but rarely recognized. Public recognition — platform features, spotlight posts, achievement certificates — creates fierce advocates</w:t>
      </w:r>
    </w:p>
    <w:p>
      <w:pPr>
        <w:spacing w:before="120" w:after="0"/>
      </w:pPr>
      <w:r>
        <w:t xml:space="preserve"/>
      </w:r>
    </w:p>
    <w:p>
      <w:pPr>
        <w:pBdr>
          <w:bottom w:val="single" w:color="C5B3E8" w:sz="8" w:space="1"/>
        </w:pBdr>
        <w:spacing w:before="80" w:after="80"/>
      </w:pPr>
      <w:r>
        <w:rPr>
          <w:sz w:val="4"/>
          <w:szCs w:val="4"/>
        </w:rPr>
        <w:t xml:space="preserve"/>
      </w:r>
    </w:p>
    <w:p>
      <w:pPr>
        <w:spacing w:before="60" w:after="0"/>
      </w:pPr>
      <w:r>
        <w:t xml:space="preserve"/>
      </w:r>
    </w:p>
    <w:p>
      <w:pPr>
        <w:spacing w:before="60" w:after="40"/>
        <w:jc w:val="center"/>
      </w:pPr>
      <w:r>
        <w:rPr>
          <w:rFonts w:ascii="Georgia" w:cs="Georgia" w:eastAsia="Georgia" w:hAnsi="Georgia"/>
          <w:b/>
          <w:bCs/>
          <w:i/>
          <w:iCs/>
          <w:color w:val="5B3FA0"/>
          <w:sz w:val="24"/>
          <w:szCs w:val="24"/>
        </w:rPr>
        <w:t xml:space="preserve">EcoSkiller — Har Community Ka Platform, Har Cause Ka Saathi</w:t>
      </w:r>
    </w:p>
    <w:p>
      <w:pPr>
        <w:spacing w:before="0" w:after="40"/>
        <w:jc w:val="center"/>
      </w:pPr>
      <w:r>
        <w:rPr>
          <w:rFonts w:ascii="Calibri" w:cs="Calibri" w:eastAsia="Calibri" w:hAnsi="Calibri"/>
          <w:color w:val="888888"/>
          <w:sz w:val="20"/>
          <w:szCs w:val="20"/>
        </w:rPr>
        <w:t xml:space="preserve">Community &amp; Social  •  Vendor Platform  •  2025 Edition</w:t>
      </w:r>
    </w:p>
    <w:p>
      <w:pPr>
        <w:pBdr>
          <w:bottom w:val="single" w:color="5B3FA0" w:sz="20" w:space="1"/>
        </w:pBdr>
        <w:spacing w:before="0" w:after="0"/>
      </w:pPr>
      <w:r>
        <w:rPr>
          <w:sz w:val="4"/>
          <w:szCs w:val="4"/>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2026-03-11T06:42:49.999Z</dcterms:created>
  <dcterms:modified xsi:type="dcterms:W3CDTF">2026-03-11T06:42:50.000Z</dcterms:modified>
</cp:coreProperties>
</file>

<file path=docProps/custom.xml><?xml version="1.0" encoding="utf-8"?>
<Properties xmlns="http://schemas.openxmlformats.org/officeDocument/2006/custom-properties" xmlns:vt="http://schemas.openxmlformats.org/officeDocument/2006/docPropsVTypes"/>
</file>