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102E" w:val="clear"/>
            <w:tcMar>
              <w:top w:type="dxa" w:w="120"/>
              <w:left w:type="dxa" w:w="0"/>
              <w:bottom w:type="dxa" w:w="120"/>
              <w:right w:type="dxa" w:w="0"/>
            </w:tcMar>
          </w:tcPr>
          <w:p/>
        </w:tc>
      </w:tr>
    </w:tbl>
    <w:p>
      <w:pPr>
        <w:spacing w:after="80"/>
      </w:pPr>
    </w:p>
    <w:p>
      <w:pPr>
        <w:spacing w:after="60"/>
        <w:jc w:val="left"/>
      </w:pPr>
      <w:r>
        <w:rPr>
          <w:rFonts w:ascii="Arial" w:cs="Arial" w:eastAsia="Arial" w:hAnsi="Arial"/>
          <w:b/>
          <w:bCs/>
          <w:color w:val="0A1628"/>
          <w:sz w:val="72"/>
          <w:szCs w:val="72"/>
        </w:rPr>
        <w:t xml:space="preserve">SPORTS VENDOR</w:t>
      </w:r>
    </w:p>
    <w:p>
      <w:pPr>
        <w:spacing w:after="60"/>
        <w:jc w:val="left"/>
      </w:pPr>
      <w:r>
        <w:rPr>
          <w:rFonts w:ascii="Arial" w:cs="Arial" w:eastAsia="Arial" w:hAnsi="Arial"/>
          <w:b/>
          <w:bCs/>
          <w:color w:val="C8102E"/>
          <w:sz w:val="30"/>
          <w:szCs w:val="30"/>
        </w:rPr>
        <w:t xml:space="preserve">Platform Feature Documentation</w:t>
      </w:r>
    </w:p>
    <w:p>
      <w:pPr>
        <w:spacing w:after="500"/>
        <w:jc w:val="left"/>
      </w:pPr>
      <w:r>
        <w:rPr>
          <w:rFonts w:ascii="Arial" w:cs="Arial" w:eastAsia="Arial" w:hAnsi="Arial"/>
          <w:i/>
          <w:iCs/>
          <w:color w:val="475569"/>
          <w:sz w:val="22"/>
          <w:szCs w:val="22"/>
        </w:rPr>
        <w:t xml:space="preserve">Comprehensive In-Depth Guide to All Platform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1628" w:val="clear"/>
            <w:tcMar>
              <w:top w:type="dxa" w:w="200"/>
              <w:left w:type="dxa" w:w="240"/>
              <w:bottom w:type="dxa" w:w="200"/>
              <w:right w:type="dxa" w:w="240"/>
            </w:tcMar>
          </w:tcPr>
          <w:p>
            <w:pPr>
              <w:jc w:val="center"/>
            </w:pPr>
            <w:r>
              <w:rPr>
                <w:rFonts w:ascii="Arial" w:cs="Arial" w:eastAsia="Arial" w:hAnsi="Arial"/>
                <w:b/>
                <w:bCs/>
                <w:color w:val="C8102E"/>
                <w:sz w:val="52"/>
                <w:szCs w:val="52"/>
              </w:rPr>
              <w:t xml:space="preserve">10</w:t>
            </w:r>
          </w:p>
          <w:p>
            <w:pPr>
              <w:jc w:val="center"/>
            </w:pPr>
            <w:r>
              <w:rPr>
                <w:rFonts w:ascii="Arial" w:cs="Arial" w:eastAsia="Arial" w:hAnsi="Arial"/>
                <w:color w:val="FFFFFF"/>
                <w:sz w:val="18"/>
                <w:szCs w:val="18"/>
              </w:rPr>
              <w:t xml:space="preserve">Core Modules</w:t>
            </w:r>
          </w:p>
        </w:tc>
        <w:tc>
          <w:tcPr>
            <w:tcW w:type="dxa" w:w="3120"/>
            <w:tcBorders>
              <w:top w:val="none" w:color="FFFFFF" w:sz="0"/>
              <w:left w:val="none" w:color="FFFFFF" w:sz="0"/>
              <w:bottom w:val="none" w:color="FFFFFF" w:sz="0"/>
              <w:right w:val="none" w:color="FFFFFF" w:sz="0"/>
            </w:tcBorders>
            <w:shd w:fill="0A1628" w:val="clear"/>
            <w:tcMar>
              <w:top w:type="dxa" w:w="200"/>
              <w:left w:type="dxa" w:w="240"/>
              <w:bottom w:type="dxa" w:w="200"/>
              <w:right w:type="dxa" w:w="240"/>
            </w:tcMar>
          </w:tcPr>
          <w:p>
            <w:pPr>
              <w:jc w:val="center"/>
            </w:pPr>
            <w:r>
              <w:rPr>
                <w:rFonts w:ascii="Arial" w:cs="Arial" w:eastAsia="Arial" w:hAnsi="Arial"/>
                <w:b/>
                <w:bCs/>
                <w:color w:val="C8102E"/>
                <w:sz w:val="52"/>
                <w:szCs w:val="52"/>
              </w:rPr>
              <w:t xml:space="preserve">80+</w:t>
            </w:r>
          </w:p>
          <w:p>
            <w:pPr>
              <w:jc w:val="center"/>
            </w:pPr>
            <w:r>
              <w:rPr>
                <w:rFonts w:ascii="Arial" w:cs="Arial" w:eastAsia="Arial" w:hAnsi="Arial"/>
                <w:color w:val="FFFFFF"/>
                <w:sz w:val="18"/>
                <w:szCs w:val="18"/>
              </w:rPr>
              <w:t xml:space="preserve">Features Documented</w:t>
            </w:r>
          </w:p>
        </w:tc>
        <w:tc>
          <w:tcPr>
            <w:tcW w:type="dxa" w:w="3120"/>
            <w:tcBorders>
              <w:top w:val="none" w:color="FFFFFF" w:sz="0"/>
              <w:left w:val="none" w:color="FFFFFF" w:sz="0"/>
              <w:bottom w:val="none" w:color="FFFFFF" w:sz="0"/>
              <w:right w:val="none" w:color="FFFFFF" w:sz="0"/>
            </w:tcBorders>
            <w:shd w:fill="0A1628" w:val="clear"/>
            <w:tcMar>
              <w:top w:type="dxa" w:w="200"/>
              <w:left w:type="dxa" w:w="240"/>
              <w:bottom w:type="dxa" w:w="200"/>
              <w:right w:type="dxa" w:w="240"/>
            </w:tcMar>
          </w:tcPr>
          <w:p>
            <w:pPr>
              <w:jc w:val="center"/>
            </w:pPr>
            <w:r>
              <w:rPr>
                <w:rFonts w:ascii="Arial" w:cs="Arial" w:eastAsia="Arial" w:hAnsi="Arial"/>
                <w:b/>
                <w:bCs/>
                <w:color w:val="C8102E"/>
                <w:sz w:val="52"/>
                <w:szCs w:val="52"/>
              </w:rPr>
              <w:t xml:space="preserve">2025</w:t>
            </w:r>
          </w:p>
          <w:p>
            <w:pPr>
              <w:jc w:val="center"/>
            </w:pPr>
            <w:r>
              <w:rPr>
                <w:rFonts w:ascii="Arial" w:cs="Arial" w:eastAsia="Arial" w:hAnsi="Arial"/>
                <w:color w:val="FFFFFF"/>
                <w:sz w:val="18"/>
                <w:szCs w:val="18"/>
              </w:rPr>
              <w:t xml:space="preserve">Edition</w:t>
            </w:r>
          </w:p>
        </w:tc>
      </w:tr>
    </w:tbl>
    <w:p>
      <w:r>
        <w:br w:type="page"/>
      </w:r>
    </w:p>
    <w:p>
      <w:pPr>
        <w:pBdr>
          <w:bottom w:val="single" w:color="C8102E" w:sz="6"/>
        </w:pBdr>
        <w:spacing w:after="80"/>
      </w:pPr>
      <w:r>
        <w:rPr>
          <w:rFonts w:ascii="Arial" w:cs="Arial" w:eastAsia="Arial" w:hAnsi="Arial"/>
          <w:b/>
          <w:bCs/>
          <w:color w:val="0A1628"/>
          <w:sz w:val="36"/>
          <w:szCs w:val="36"/>
        </w:rPr>
        <w:t xml:space="preserve">TABLE OF CONTENTS</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01</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ORGANIZATION</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02</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FIXTURES</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03</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PLAYER MANAGEMENT</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04</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RESULTS</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05</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COMMUNICATION</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06</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FINANCE</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07</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COMMUNITY</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08</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LOGISTICS</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09</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REPORTING</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W w:type="dxa" w:w="600"/>
            <w:tcBorders>
              <w:top w:val="none" w:color="FFFFFF" w:sz="0"/>
              <w:left w:val="none" w:color="FFFFFF" w:sz="0"/>
              <w:bottom w:val="none" w:color="FFFFFF" w:sz="0"/>
              <w:right w:val="none" w:color="FFFFFF" w:sz="0"/>
            </w:tcBorders>
            <w:shd w:fill="C810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10</w:t>
            </w:r>
          </w:p>
        </w:tc>
        <w:tc>
          <w:tcPr>
            <w:tcW w:type="dxa" w:w="7560"/>
            <w:tcBorders>
              <w:top w:val="none" w:color="FFFFFF" w:sz="0"/>
              <w:left w:val="none" w:color="FFFFFF" w:sz="0"/>
              <w:bottom w:val="none" w:color="FFFFFF" w:sz="0"/>
              <w:right w:val="none" w:color="FFFFFF" w:sz="0"/>
            </w:tcBorders>
            <w:tcMar>
              <w:top w:type="dxa" w:w="80"/>
              <w:left w:type="dxa" w:w="200"/>
              <w:bottom w:type="dxa" w:w="80"/>
              <w:right w:type="dxa" w:w="140"/>
            </w:tcMar>
          </w:tcPr>
          <w:p>
            <w:r>
              <w:rPr>
                <w:rFonts w:ascii="Arial" w:cs="Arial" w:eastAsia="Arial" w:hAnsi="Arial"/>
                <w:b/>
                <w:bCs/>
                <w:color w:val="0A1628"/>
                <w:sz w:val="22"/>
                <w:szCs w:val="22"/>
              </w:rPr>
              <w:t xml:space="preserve">&amp; SETTINGS</w:t>
            </w:r>
          </w:p>
        </w:tc>
        <w:tc>
          <w:tcPr>
            <w:tcW w:type="dxa" w:w="1200"/>
            <w:tcBorders>
              <w:top w:val="none" w:color="FFFFFF" w:sz="0"/>
              <w:left w:val="none" w:color="FFFFFF" w:sz="0"/>
              <w:bottom w:val="none" w:color="FFFFFF" w:sz="0"/>
              <w:right w:val="none" w:color="FFFFFF" w:sz="0"/>
            </w:tcBorders>
            <w:tcMar>
              <w:top w:type="dxa" w:w="80"/>
              <w:left w:type="dxa" w:w="140"/>
              <w:bottom w:type="dxa" w:w="80"/>
              <w:right w:type="dxa" w:w="140"/>
            </w:tcMar>
          </w:tcPr>
          <w:p>
            <w:pPr>
              <w:jc w:val="right"/>
            </w:pPr>
            <w:r>
              <w:rPr>
                <w:rFonts w:ascii="Arial" w:cs="Arial" w:eastAsia="Arial" w:hAnsi="Arial"/>
                <w:i/>
                <w:iCs/>
                <w:color w:val="64748B"/>
                <w:sz w:val="18"/>
                <w:szCs w:val="18"/>
              </w:rPr>
              <w:t xml:space="preserve">8 features</w:t>
            </w:r>
          </w:p>
        </w:tc>
      </w:tr>
    </w:tbl>
    <w:p>
      <w:pPr>
        <w:spacing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F4C81"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01</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CORE ORGANIZATION</w:t>
            </w:r>
          </w:p>
          <w:p>
            <w:r>
              <w:rPr>
                <w:rFonts w:ascii="Arial" w:cs="Arial" w:eastAsia="Arial" w:hAnsi="Arial"/>
                <w:i/>
                <w:iCs/>
                <w:color w:val="94A3B8"/>
                <w:sz w:val="19"/>
                <w:szCs w:val="19"/>
              </w:rPr>
              <w:t xml:space="preserve">The structural foundation that powers your entire sports management platform.</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League &amp; Competition Setup</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Create and configure any competition structure from scratch — round-robin leagues, knockout cups, group-stage tournaments, or hybrid formats combining multiple phases. Define the sport type, season dates, number of teams, tie-breaking rules (goal difference, head-to-head, fair play points), and promotion/relegation thresholds. Support simultaneous management of multiple competitions under one organisation umbrella with independent settings per competition.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Division &amp; Tier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Organise teams into divisions and tiers based on ability, age group, gender, or geography. Set promotion and relegation slots between divisions at season end and automate the transfer of teams once final standings are confirmed. Name divisions with custom labels and assign distinct colour codes, logos, and rule sets to each tier for clear visual separation across the platform.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Season Lifecycle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Define season start and end dates, registration windows, transfer deadlines, and break periods such as international windows or weather suspensions. Archive completed seasons as immutable historical records while allowing the new season to be set up in parallel. Carry over team rosters, standings templates, and venue allocations from the previous season as a starting configuration baseline.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Rulebook &amp; Regulation Builder</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Publish the official competition rulebook directly within the platform, accessible to all registered participants. Define discipline thresholds — yellow card accumulation bans, red card suspension lengths, and points deductions for rule violations. Link specific regulations to automated enforcement triggers so suspensions and deductions are applied without manual administrator intervention after each match report is submitted.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Multi-Sport Support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Manage entirely different sports within the same platform instance, each with sport-specific scoring systems, position definitions, statistical categories, and rule sets. Switch between sport views from a unified dashboard without logging in and out. Support niche and emerging sports alongside mainstream ones by allowing fully custom sport configurations with user-defined metrics and terminology.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Organisation Profile &amp; Branding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Configure the platform with the organisation's logo, brand colours, custom domain, tagline, social media links, and contact details. Apply branding consistently across public-facing pages, email communications, generated documents, and spectator-facing portals. Support white-label deployments for leagues that need the platform to appear entirely under their own brand identity without any vendor attribution.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BEAFE"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Role-Based Access Control</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Define granular permission sets for every user type including super-administrators, league coordinators, club administrators, team managers, referees, scorers, and read-only observers. Restrict or grant access to specific modules, data sets, and actions based on role. Create custom roles with hand-picked permission combinations for organisations with unique operational structures not covered by standard role templates.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4C81"/>
                <w:sz w:val="19"/>
                <w:szCs w:val="19"/>
              </w:rPr>
              <w:t xml:space="preserve">Audit Trail &amp; Change Log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Record every data change across the platform with a timestamped log showing who made the change, what was changed, what the previous value was, and the IP address of the user. Make audit logs available to super-administrators for compliance, dispute resolution, and security investigation purposes. Archive logs for a configurable retention period and export them in CSV format for external review.</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65F46"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02</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SCHEDULING &amp; FIXTURES</w:t>
            </w:r>
          </w:p>
          <w:p>
            <w:r>
              <w:rPr>
                <w:rFonts w:ascii="Arial" w:cs="Arial" w:eastAsia="Arial" w:hAnsi="Arial"/>
                <w:i/>
                <w:iCs/>
                <w:color w:val="94A3B8"/>
                <w:sz w:val="19"/>
                <w:szCs w:val="19"/>
              </w:rPr>
              <w:t xml:space="preserve">Intelligent fixture generation and conflict-free calendar management.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Automated Fixture Generation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Generate a complete season fixture list in seconds using configurable algorithms that balance home and away distribution, respect venue availability constraints, manage rest days between matches, and account for club-specified blackout dates. Support single and double round-robin formats as well as bespoke scheduling patterns for non-standard competition formats. Review and approve the generated schedule before publishing it to participants.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Manual Fixture Builder</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Create individual fixtures manually for cup draws, neutral-venue matches, rescheduled games, and playoff ties. Select home and away teams, date, kick-off time, venue, referee assignment, and any special designations such as derby matches or title deciders. Override automated scheduling decisions on a fixture-by-fixture basis without disrupting the rest of the generated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Postponement &amp; Rescheduling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Process fixture postponement requests submitted by clubs through the platform with a structured approval workflow requiring administrator sign-off. Automatically identify and propose available rescheduling slots based on ground availability, referee availability, and squad registration constraints. Track the postponement reason, approval history, and new fixture date in the match record for audit purposes.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Fixture Conflict Detection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Automatically identify scheduling conflicts before a fixture list is published, including venue double-bookings, teams scheduled to play two matches on the same day, referees assigned to overlapping appointments, and insufficient turnaround time between fixtures. Present conflicts in a prioritised resolution queue with suggested alternative slots so administrators can resolve issues efficiently before the schedule goes live.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Calendar Integration &amp; Export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Allow all registered participants — teams, referees, venues, and administrators — to subscribe to a personalised iCal feed that automatically updates their device calendar when fixtures are added, changed, or cancelled. Export fixture lists in PDF, Excel, and CSV formats for printing, distribution, and integration with third-party tools. Sync with Google Calendar and Outlook via OAuth for two-way calendar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Matchday Notifications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Send automated push notifications, emails, and SMS alerts to relevant parties as key matchday milestones approach. Configure reminder sequences such as 7-day, 24-hour, and 2-hour pre-match alerts for teams and referees. Trigger instant notifications for same-day fixture changes, cancellations, or venue switches to ensure all affected parties are informed with minimal delay.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D1FAE5"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Cup Draw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Conduct live or pre-set cup draws within the platform with seeding logic, pot assignments, team separation rules (preventing same-club or same-city pairings in early rounds), and bye allocation for odd-numbered fields. Broadcast live draw results to spectators through a public draw page with animated reveal functionality. Automatically generate the bracket and create fixtures following draw completion.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65F46"/>
                <w:sz w:val="19"/>
                <w:szCs w:val="19"/>
              </w:rPr>
              <w:t xml:space="preserve">Fixture List Publishing Controls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Stage the fixture release process with draft, preview, and published states. Share preview links with club administrators for review and feedback before public release. Schedule fixture list publication for a specific date and time to coordinate with announcement communications. Control which future rounds are visible to the public versus accessible only to registered participants and administrators.</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7C3AED"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03</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TEAM &amp; PLAYER MANAGEMENT</w:t>
            </w:r>
          </w:p>
          <w:p>
            <w:r>
              <w:rPr>
                <w:rFonts w:ascii="Arial" w:cs="Arial" w:eastAsia="Arial" w:hAnsi="Arial"/>
                <w:i/>
                <w:iCs/>
                <w:color w:val="94A3B8"/>
                <w:sz w:val="19"/>
                <w:szCs w:val="19"/>
              </w:rPr>
              <w:t xml:space="preserve">Complete squad lifecycle management from registration to retirement.</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Team Registration &amp; Profiles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Onboard teams through a structured registration workflow collecting club name, founding year, home colours, away colours, badge upload, home ground, and designated contact details for each team official. Assign teams to the correct division and competition tier. Manage team status transitions including active, suspended, withdrawn, and relegated throughout the season lifecycle.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Player Registration System</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Register players with full personal details including date of birth, nationality, contact information, position, squad number, and photo. Enforce age eligibility rules automatically based on competition regulations. Assign registration statuses including registered, suspended, cup-tied, and internationally cleared. Maintain a complete registration history across all seasons with each player's cumulative record preserved indefinitely.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Squad &amp; Roster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Build matchday squads from registered player pools and enforce squad size limits, minimum named player requirements, and positional balance rules as specified in competition regulations. Allow managers to set availability flags for injured, suspended, or unavailable players before each fixture. Track who was included in each matchday squad alongside the final lineup submitted for every match.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Transfer &amp; Loan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Process intra-league transfers with a formal application workflow requiring both releasing and receiving club sign-off, plus league administrator approval within the registration window. Manage loan arrangements with defined start and end dates, parent club recall clauses, and cup eligibility restrictions. Apply transfer window lockouts automatically during defined registration-closed periods and log all transfer activity in the player's historical record.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Player Medical &amp; Fitness Records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Store confidential medical information including injury history, chronic conditions relevant to participation, physiotherapy notes, and return-to-play clearances within access-controlled player records. Track fitness availability status across the squad so managers and medical staff have a clear picture of squad capacity for each upcoming fixture. Generate anonymised injury pattern reports for coaching staff analysis.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Disciplinary Records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Log all disciplinary incidents including yellow cards, red cards, bans, points deductions, fines, and written warnings against the relevant player or club record. Automatically calculate accumulated caution bans when card thresholds are reached and notify the affected team manager and club administrator. Maintain a complete disciplinary history per player that carries across seasons to enforce long-term suspension rules accurately.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Staff &amp; Official Registration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Register and verify club officials including managers, assistant managers, coaches, physiotherapists, kit personnel, and club secretaries. Assign appropriate access roles to each registered official within the platform. Validate coaching qualifications and first aid certifications as required by competition regulations. Suspend access automatically when mandatory certifications expire and the club fails to provide updated documentation.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7C3AED"/>
                <w:sz w:val="19"/>
                <w:szCs w:val="19"/>
              </w:rPr>
              <w:t xml:space="preserve">Age Group &amp; Youth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Manage youth team registrations with age-band eligibility enforcement, parental consent form collection and storage, guardian contact management, and safeguarding compliance documentation. Apply county FA rules for youth player dispensations and age-group overplaying permissions. Generate parent-facing communications about fixtures, team news, and safeguarding policies through age-appropriate, consent-gated communication channels.</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B45309"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04</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SCORING &amp; RESULTS</w:t>
            </w:r>
          </w:p>
          <w:p>
            <w:r>
              <w:rPr>
                <w:rFonts w:ascii="Arial" w:cs="Arial" w:eastAsia="Arial" w:hAnsi="Arial"/>
                <w:i/>
                <w:iCs/>
                <w:color w:val="94A3B8"/>
                <w:sz w:val="19"/>
                <w:szCs w:val="19"/>
              </w:rPr>
              <w:t xml:space="preserve">Real-time match data capture, results processing, and standings automation.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Live Match Scorecard</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Capture match events in real time from a mobile-optimised scorecard interface used by club scorers, sideline officials, or the referee. Log goals with scorer, assist provider, and minute of play. Record yellow cards, red cards, substitutions with time and reason, and match incidents as they happen. Sync live data to the spectator-facing public results page within seconds of each event being logged.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Result Submission &amp; Verification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Enable both home and away team officials to submit their version of the final result through the platform after each match. Flag discrepancies between submissions for administrator review and resolution. Enforce submission deadlines with escalating reminder notifications. Lock result records once verified and approved so retrospective changes require administrator override with a mandatory audit log entry.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Referee Match Report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Provide referees with a structured digital match report form capturing final score, goal scorers, disciplinary actions, incidents of note, ground condition observations, and a narrative incident summary. Require referee submission within a configurable window post-match. Route completed reports to the league disciplinary committee for review and to the club administrators of both teams for acknowledgement.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League Standings Engine</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Automatically recalculate the league table after every confirmed result using the competition's configured points allocation, tie-breaking hierarchy, and form period settings. Display standings with points, played, won, drawn, lost, goals for, goals against, goal difference, and last-five-games form indicators. Support split tables, group standings, and playoff qualification zones with visual highlighting.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Statistics Tracking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Aggregate player and team statistics across every match including goals, assists, shots on target, clean sheets, pass accuracy, tackles won, aerial duels, and sport-specific metrics configurable per competition type. Generate top scorer, top assister, most clean sheets, and disciplinary ranking tables. Allow statistics to be filtered by home/away, competition phase, opponent, and date range for granular performance analysis.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Scoreline History &amp; Archives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Maintain a complete, immutable archive of every result ever recorded on the platform with full match event logs, lineup cards, referee reports, and statistical summaries stored against each fixture record. Make historical results searchable by team, date, competition, season, and venue. Generate head-to-head records and historical meeting summaries automatically when two teams are drawn or scheduled to meet.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Penalty Shootout &amp; Tiebreaker Logging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Record penalty shootout sequences for knockout fixtures with individual kick outcomes, sudden-death progression, and final tiebreaker results. Log alternative tiebreaker methods including golden goal periods, away-goals rule application, and drawing of lots where permitted by competition rules. Ensure all tie-resolution data is captured in the match record and reflected correctly in the bracket and standings.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Result Appeals &amp; Amendments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Manage the formal result amendment process for matches subject to disciplinary review, administrative errors, or successful appeals. Require a detailed justification, supporting evidence upload, and authorisation at the appropriate administrator level before any confirmed result is modified. Cascade the impact of a result change automatically through standings, statistics, and disciplinary records to maintain full data integrity.</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891B2"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05</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COMMUNICATION</w:t>
            </w:r>
          </w:p>
          <w:p>
            <w:r>
              <w:rPr>
                <w:rFonts w:ascii="Arial" w:cs="Arial" w:eastAsia="Arial" w:hAnsi="Arial"/>
                <w:i/>
                <w:iCs/>
                <w:color w:val="94A3B8"/>
                <w:sz w:val="19"/>
                <w:szCs w:val="19"/>
              </w:rPr>
              <w:t xml:space="preserve">Keep every stakeholder informed, engaged, and aligned throughout the season.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FFAFE"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Broadcast Messaging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Send rich-text announcements to any combination of audience segments — all registered users, specific clubs, a single division, referees, media contacts, or custom-defined groups. Deliver messages simultaneously via in-platform notification, email, and SMS based on each recipient's communication preferences. Schedule messages in advance for time-sensitive announcements such as fixture list releases, transfer window openings, and season launch communications.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Team-to-League Messaging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Provide a structured, logged messaging channel between club administrators and league officials for formal communications such as registration queries, fixture change requests, appeal submissions, and disciplinary hearing correspondence. Ensure all formal exchanges are recorded in the platform rather than exchanged via personal email accounts, creating a complete and auditable communication history for every club-league interaction.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FFAFE"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Push Notification Centre</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Manage the full push notification system for the platform's mobile application, controlling which event triggers send push alerts to which user types. Configure notification preferences at both the platform level and the individual user level. Monitor push delivery rates, open rates, and notification permission grant rates across the user base. A/B test notification message wording to optimise open and engagement rates.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Automated Alert Workflows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Configure multi-step automated alert sequences triggered by platform events including fixture confirmation, result submission, suspension notification, payment due, registration approval, and document expiry. Define the timing, channel, message template, and recipient group for each trigger. Monitor automation performance through delivery logs and override or pause specific sequences during exceptional circumstances such as emergency postponements.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FFAFE"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Referee Communication Portal</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Provide referees with a dedicated communication space for appointment confirmations, briefing documents, pre-match ground directions, post-match report submission acknowledgements, and fee payment notifications. Enable two-way messaging between referee coordinators and individual match officials for appointment negotiations and special instructions. Maintain a complete appointment correspondence log per referee for dispute resolution.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News &amp; Announcement Board</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Publish league news articles, press releases, rule updates, committee decisions, and season previews on a public-facing announcement board within the platform. Schedule post publication dates and set content expiry dates for time-limited notices. Allow content to be tagged by topic and competition for filtered browsing. Track article view counts and reader engagement to guide future content strategy.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FFAFE"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Email Template Manager</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Build, store, and version-control branded email templates for every communication type used by the platform including registration confirmations, fixture reminders, results notifications, suspension alerts, payment receipts, and welcome messages. Personalise templates with dynamic data fields that auto-populate recipient-specific information at the point of sending. Preview templates across major email clients before deployment.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891B2"/>
                <w:sz w:val="19"/>
                <w:szCs w:val="19"/>
              </w:rPr>
              <w:t xml:space="preserve">Communication Preferences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Allow every registered user to configure their own notification preferences, specifying which event types they want to receive alerts for, through which channels (email, SMS, push, in-app), and at what frequency. Respect opt-out requests in compliance with GDPR and CAN-SPAM regulations. Provide administrators with an aggregate view of communication consent rates across the user base to inform channel strategy decisions.</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B91C1C"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06</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PAYMENTS &amp; FINANCE</w:t>
            </w:r>
          </w:p>
          <w:p>
            <w:r>
              <w:rPr>
                <w:rFonts w:ascii="Arial" w:cs="Arial" w:eastAsia="Arial" w:hAnsi="Arial"/>
                <w:i/>
                <w:iCs/>
                <w:color w:val="94A3B8"/>
                <w:sz w:val="19"/>
                <w:szCs w:val="19"/>
              </w:rPr>
              <w:t xml:space="preserve">End-to-end financial management from registration fees to prize disbursements.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E2E2"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Registration Fee Collection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Configure fee schedules for team registration, player registration, cup entries, and season renewals with early-bird pricing tiers, group discounts, and hardship waiver workflows. Accept payments via card, bank transfer, direct debit, and digital wallets through integrated payment gateways including Stripe and Razorpay. Automatically update registration status to active upon confirmed payment receipt, eliminating manual administration.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Referee Fee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Calculate referee and assistant referee match fees automatically based on the competition level, match type, travel distance bands, and any additional allowances for midweek or cup appointments. Generate individual fee statements after each matchday and batch-process payments via bank transfer on a weekly or fortnightly cycle. Allow referees to view their upcoming appointments and projected earnings through their personal finance dashboard.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E2E2"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Fine &amp; Penalty Invoicing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Issue automated invoices to clubs for fines arising from disciplinary decisions, late result submissions, unpaid registration balances, failed kit inspections, and code of conduct breaches. Define fine tariffs within the platform's regulation settings so invoices are generated without manual creation. Track outstanding fine balances, apply interest for late payment where permitted, and escalate persistent non-payment to points deduction triggers.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Prize Fund Distribution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Manage the competition prize fund allocation across final standings positions, cup round achievements, fair play awards, and special recognition categories. Calculate each club's entitlement based on configured prize structure tables. Process prize disbursements via bank transfer with automated notification to club finance contacts. Generate a prize distribution report for governing body submission and public transparency purposes.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E2E2"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Financial Dashboard &amp; Reports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Provide administrators with a real-time financial overview showing total revenue collected, outstanding balances by category, fine income, referee cost expenditure, refunds processed, and net position against budget. Generate period-specific financial reports in PDF and Excel formats suitable for committee meetings, governing body submissions, and annual account preparation. Break revenue and cost data down by competition, club, and time period.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Sponsorship &amp; Commercial Revenue</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Track all sponsorship agreements, commercial partnerships, and advertising revenue streams alongside their contract terms, payment schedules, and renewal dates. Log sponsor contact relationships and communication histories. Generate sponsor acknowledgement reports showing exposure statistics, branded content reach, and platform-level advertisement impressions. Ensure sponsor obligations such as logo placement and naming rights are fulfilled and auditable.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E2E2"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Refund &amp; Dispute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Process refund requests through a structured approval workflow with reason classification, evidence attachment, and tiered authorisation requirements based on refund value. Apply configurable refund policies including partial refunds for mid-season withdrawals and full refunds for competition cancellations. Log all refund decisions with rationale for audit trail purposes and generate GDPR-compliant refund transaction records.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91C1C"/>
                <w:sz w:val="19"/>
                <w:szCs w:val="19"/>
              </w:rPr>
              <w:t xml:space="preserve">Payment Gateway Integration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Connect the platform to industry-leading payment processors including Stripe, PayPal, GoCardless, and regional gateways with PCI-DSS compliant transaction handling. Configure multi-currency support for international competitions. Reconcile all payment gateway transactions against platform records automatically on a daily basis and flag discrepancies for finance team investigation. Maintain tokenised card details for recurring payment mandates.</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6D28D9"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07</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SPECTATOR &amp; COMMUNITY</w:t>
            </w:r>
          </w:p>
          <w:p>
            <w:r>
              <w:rPr>
                <w:rFonts w:ascii="Arial" w:cs="Arial" w:eastAsia="Arial" w:hAnsi="Arial"/>
                <w:i/>
                <w:iCs/>
                <w:color w:val="94A3B8"/>
                <w:sz w:val="19"/>
                <w:szCs w:val="19"/>
              </w:rPr>
              <w:t xml:space="preserve">Engage fans, grow your audience, and build a thriving sports community.</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Public Results &amp; Standings Portal</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Publish a clean, mobile-optimised public portal showing live and recent match scores, updated league standings, upcoming fixtures, top scorer tables, and competition news without requiring spectators to create an account. Customise the portal with league branding, sponsor logos, and a competition-specific colour scheme. Embed the portal on the league's own website via iframe or JavaScript widget for seamless integration with existing online presence.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Live Score Ticker</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Stream live in-match score updates to the public portal, social media feeds, and the platform's mobile app as match events are logged by scorers on the field. Display current score, goalscorer names, match minute, and card events in a chronological live feed. Allow spectators to follow multiple simultaneous matches through a multi-game live dashboard that updates automatically without requiring a page refresh.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Fan Engagement Features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Enable spectators to follow their favourite teams and receive personalised updates including fixture reminders, goal alerts, and final score notifications for followed clubs. Allow registered fans to participate in pre-match predictions, player-of-the-match voting, and post-match polls. Display aggregate fan voting results alongside official statistics. Build a public-facing team profile page with history, squad information, and a complete results archive.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Social Media Integration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Auto-publish key platform events to connected social media accounts including fixture confirmations, live score updates, full-time results, league table snapshots, and milestone achievements. Generate visually branded social media image cards for results and standings ready for immediate posting. Schedule promotional content including fixture previews and top-scorer standings as regular automated social posts to maintain audience engagement throughout the season.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Spectator Ticketing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Sell spectator tickets for high-profile matches, cup finals, and end-of-season events through an integrated ticketing module with seat selection, category pricing (adult, concession, family), season ticket packages, and mobile entry QR codes. Manage gate sales alongside online pre-sales with a real-time attendance dashboard. Generate post-event attendance reports broken down by ticket category and purchase channel.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Club Shop &amp; Merchandise</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Support affiliated clubs in listing and selling branded merchandise including replica kits, training wear, scarves, programmes, and accessories through a platform-hosted shop module. Process orders with integrated payment collection, and manage fulfilment tracking. Allow clubs to configure their own product catalogues with size options, stock levels, and custom pricing. Deduct a configurable platform commission percentage from each completed sale automatically.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EDE9FE"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Community Forum &amp; Discussion</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Host moderated discussion forums where fans, players, and club officials can engage in league news discussions, match reactions, transfer rumours, and general community conversation. Implement role-based moderation with automated profanity filtering, report-and-review workflows, and escalating sanctions for repeated community guideline violations. Pin official league announcements within relevant discussion threads to ensure authoritative information reaches engaged audiences.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6D28D9"/>
                <w:sz w:val="19"/>
                <w:szCs w:val="19"/>
              </w:rPr>
              <w:t xml:space="preserve">Media &amp; Photography Hub</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Provide a media library where official photographers, club media teams, and journalists can upload and access licensed match photography, video highlights, press conference recordings, and official graphics. Set watermarking rules, usage rights tags, and download permission levels per media asset. Enable clubs to share their own match day content with attribution. Track media asset downloads by outlet for rights management and reporting purposes.</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0F766E"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08</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VENUE &amp; LOGISTICS</w:t>
            </w:r>
          </w:p>
          <w:p>
            <w:r>
              <w:rPr>
                <w:rFonts w:ascii="Arial" w:cs="Arial" w:eastAsia="Arial" w:hAnsi="Arial"/>
                <w:i/>
                <w:iCs/>
                <w:color w:val="94A3B8"/>
                <w:sz w:val="19"/>
                <w:szCs w:val="19"/>
              </w:rPr>
              <w:t xml:space="preserve">Seamless ground management, referee allocation, and matchday operations.</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CFBF1"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Venue Registration &amp; Profiles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Create detailed profiles for every ground and facility used within the competition including address with geo-coordinates for mapping, pitch dimensions, surface type (grass, 3G, 4G, artificial), floodlight availability and lux rating, seating capacity, standing capacity, dressing room count, and parking provision. Upload ground photographs and facility diagrams. Link venues to their owning club or independent facility operator for booking and billing purposes.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Ground Availability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Allow venue managers and club administrators to publish ground availability calendars showing confirmed bookings, blocked dates for pitch maintenance, pre-existing third-party hire, and scheduled pitch inspections. League administrators access a consolidated multi-ground availability view for fixture scheduling. Flag venues with known capacity or facility issues preventing their use for matches at specific competition levels requiring minimum ground grading standards.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CFBF1"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Pitch Inspection &amp; Grading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Record official pitch inspection outcomes with pass/fail status, detailed condition notes, photographs of specific issues, and reinspection dates. Automatically restrict fixture scheduling on grounds that have failed or conditional grading status. Notify the ground operator of inspection outcomes and any required remedial actions with a defined rectification deadline. Maintain a full inspection history per ground for governing body compliance reporting.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Referee Appointment System</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Allocate match officials to fixtures from a pool of registered, available, and geographically proximate referees using automated appointment suggestions ranked by availability, local knowledge, and travel distance. Manage appointment conflicts when a referee is affiliated with one of the teams or has a declared interest. Record referee acceptance and rejection of appointments with reasons, and trigger re-allocation workflows for declined appointments.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CFBF1"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Travel &amp; Expenses Processing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Capture referee and match official travel expense claims digitally with claimed mileage, public transport receipts, and accommodation costs for multi-match trips. Apply configurable mileage rates and maximum expense caps per appointment type. Route claims through an approval workflow before processing alongside the referee match fee payment. Generate travel expense summaries for tax reporting and annual accounts preparation.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Matchday Operations Checklist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Issue digital pre-match checklists to home club officials, venue managers, and referee supervisors covering safety inspections, changing room preparation, medical provision confirmation, floodlight testing, pitch marking verification, and crowd control readiness. Capture completion sign-offs with timestamps. Flag outstanding items to league administrators in real time before the scheduled kick-off to enable rapid escalation and resolution.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CCFBF1"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Emergency &amp; Incident Protocols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Store and distribute emergency action plans, first aid provision requirements, nearest hospital and emergency service contact details, and crowd safety protocols for every registered venue. Trigger an instant incident alert to league officials and safeguarding leads when an in-match emergency is flagged through the platform. Log incident reports with timeline reconstruction, response actions taken, and outcome notes for post-incident review and insurance purposes.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0F766E"/>
                <w:sz w:val="19"/>
                <w:szCs w:val="19"/>
              </w:rPr>
              <w:t xml:space="preserve">Kit &amp; Equipment Inspections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Conduct digital kit and equipment compliance inspections against competition regulations covering permitted colour combinations, sponsor logo restrictions, player number legibility, goalpost safety certification, corner flag compliance, and ball specification. Record inspection outcomes against the match record with any dispensations granted. Enforce repeated non-compliance sanctions automatically and escalate persistent violations to the disciplinary committee.</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B45309"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09</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ANALYTICS &amp; REPORTING</w:t>
            </w:r>
          </w:p>
          <w:p>
            <w:r>
              <w:rPr>
                <w:rFonts w:ascii="Arial" w:cs="Arial" w:eastAsia="Arial" w:hAnsi="Arial"/>
                <w:i/>
                <w:iCs/>
                <w:color w:val="94A3B8"/>
                <w:sz w:val="19"/>
                <w:szCs w:val="19"/>
              </w:rPr>
              <w:t xml:space="preserve">Data-driven intelligence to improve decisions at every level of your competition.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Competition Performance Dashboard</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Present a unified analytics dashboard giving league administrators an at-a-glance view of competition health metrics including results submission compliance rate, average goals per game, red card rate, referee appointment fill rate, outstanding payment balances, and active dispute count. Drill into any metric for a detailed breakdown by round, division, or club. Configure the dashboard layout to surface the most operationally relevant KPIs for each administrator role.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Club &amp; Team Analytics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Generate per-club analytical reports covering seasonal performance trends, home versus away record, scoring patterns by time period within matches, disciplinary rate benchmarking against divisional averages, player availability trends, and financial compliance status. Allow club administrators to access their own club's analytics from their self-service portal. Export club reports in PDF format for coaching staff presentations, committee meetings, and player recruitment briefings.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Player Performance Reports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Build individual player performance profiles aggregating career statistics, seasonal breakdowns, disciplinary history, position-specific metrics, and comparative percentile rankings within the player's position group across the league. Identify high-performing players across clubs using statistical ranking tables. Allow scouting-mode access for designated talent identification users to run position and performance-based player searches across the full registered player database.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Referee Performance Tracking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Measure referee performance through match statistics including average cards issued per game, decision consistency scores from post-match assessments, appointment acceptance rates, submission timeliness, and observed match assessor ratings. Generate individual referee development reports shared with the referee development officer. Identify referees consistently performing above benchmark for promotion pathway recommendations and those requiring additional support and mentoring.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Financial Analytics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Analyse revenue streams, cost categories, and margin contribution across all financial activity on the platform. Track revenue per club, per competition, and per service type over rolling 12-month and season-to-date periods. Model fee structure scenarios to project income under different pricing assumptions. Compare budget versus actual performance by category and flag variances exceeding configurable thresholds to the finance committee for early corrective action.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Attendance &amp; Engagement Analytics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Track spectator attendance across all fixtures with trend analysis by venue, competition phase, day of week, and kick-off time. Measure digital engagement through platform login frequency, live score page visits, portal unique visitor counts, and notification open rates. Identify which fixtures, clubs, and communications generate the highest engagement and use this data to optimise fixture scheduling, marketing, and fan communication strategies.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EF3C7"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Scheduled &amp; Custom Reports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Schedule automated report generation and distribution for governing body submissions, sponsor briefings, board meetings, and media releases. Define custom report templates selecting specific data fields, date ranges, comparison periods, and visualisation types. Build a report library of approved templates accessible to authorised users for self-service data extraction. Export all reports in PDF, Excel, CSV, and PowerPoint-compatible formats.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B45309"/>
                <w:sz w:val="19"/>
                <w:szCs w:val="19"/>
              </w:rPr>
              <w:t xml:space="preserve">Predictive &amp; Trend Analysis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Apply trend analysis models to historical data to surface emerging patterns including clubs showing early-season form that historically correlates with relegation risk, disciplinary hotspot rounds, peak postponement periods, and revenue seasonality patterns. Generate trend alerts for administrators when current-season metrics deviate significantly from historical norms. Use predictive outputs to inform proactive planning for fixture rescheduling, referee resource allocation, and financial forecasting.</w:t>
            </w:r>
          </w:p>
        </w:tc>
      </w:tr>
    </w:tbl>
    <w:p>
      <w:pPr>
        <w:spacing w:after="60"/>
      </w:pPr>
    </w:p>
    <w:p>
      <w:pPr>
        <w:spacing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one" w:color="FFFFFF" w:sz="0"/>
              <w:left w:val="none" w:color="FFFFFF" w:sz="0"/>
              <w:bottom w:val="none" w:color="FFFFFF" w:sz="0"/>
              <w:right w:val="none" w:color="FFFFFF" w:sz="0"/>
            </w:tcBorders>
            <w:shd w:fill="374151" w:val="clear"/>
            <w:tcMar>
              <w:top w:type="dxa" w:w="240"/>
              <w:left w:type="dxa" w:w="200"/>
              <w:bottom w:type="dxa" w:w="240"/>
              <w:right w:type="dxa" w:w="200"/>
            </w:tcMar>
            <w:vAlign w:val="center"/>
          </w:tcPr>
          <w:p>
            <w:pPr>
              <w:jc w:val="center"/>
            </w:pPr>
            <w:r>
              <w:rPr>
                <w:rFonts w:ascii="Arial" w:cs="Arial" w:eastAsia="Arial" w:hAnsi="Arial"/>
                <w:b/>
                <w:bCs/>
                <w:color w:val="FFFFFF"/>
                <w:sz w:val="52"/>
                <w:szCs w:val="52"/>
              </w:rPr>
              <w:t xml:space="preserve">10</w:t>
            </w:r>
          </w:p>
          <w:p>
            <w:pPr>
              <w:jc w:val="center"/>
            </w:pPr>
            <w:r>
              <w:rPr>
                <w:rFonts w:ascii="Arial" w:cs="Arial" w:eastAsia="Arial" w:hAnsi="Arial"/>
                <w:sz w:val="36"/>
                <w:szCs w:val="36"/>
              </w:rPr>
              <w:t xml:space="preserve">🛠️</w:t>
            </w:r>
          </w:p>
        </w:tc>
        <w:tc>
          <w:tcPr>
            <w:tcW w:type="dxa" w:w="8280"/>
            <w:tcBorders>
              <w:top w:val="none" w:color="FFFFFF" w:sz="0"/>
              <w:left w:val="none" w:color="FFFFFF" w:sz="0"/>
              <w:bottom w:val="none" w:color="FFFFFF" w:sz="0"/>
              <w:right w:val="none" w:color="FFFFFF" w:sz="0"/>
            </w:tcBorders>
            <w:shd w:fill="0A1628" w:val="clear"/>
            <w:tcMar>
              <w:top w:type="dxa" w:w="240"/>
              <w:left w:type="dxa" w:w="320"/>
              <w:bottom w:type="dxa" w:w="240"/>
              <w:right w:type="dxa" w:w="320"/>
            </w:tcMar>
            <w:vAlign w:val="center"/>
          </w:tcPr>
          <w:p>
            <w:pPr>
              <w:spacing w:after="60"/>
            </w:pPr>
            <w:r>
              <w:rPr>
                <w:rFonts w:ascii="Arial" w:cs="Arial" w:eastAsia="Arial" w:hAnsi="Arial"/>
                <w:b/>
                <w:bCs/>
                <w:color w:val="FFFFFF"/>
                <w:sz w:val="40"/>
                <w:szCs w:val="40"/>
              </w:rPr>
              <w:t xml:space="preserve">ADMIN &amp; SETTINGS</w:t>
            </w:r>
          </w:p>
          <w:p>
            <w:r>
              <w:rPr>
                <w:rFonts w:ascii="Arial" w:cs="Arial" w:eastAsia="Arial" w:hAnsi="Arial"/>
                <w:i/>
                <w:iCs/>
                <w:color w:val="94A3B8"/>
                <w:sz w:val="19"/>
                <w:szCs w:val="19"/>
              </w:rPr>
              <w:t xml:space="preserve">Complete platform control, compliance management, and system configuration.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3F4F6"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User Account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Administer all user accounts across the platform from a centralised user management console. Create, edit, suspend, and delete accounts. Reset passwords, force multi-factor authentication enrolment, unlock locked accounts, and manage single sign-on configurations. Bulk-import user accounts from CSV for large-scale onboarding operations. View each account's login history, active sessions, and permission audit trail from the user detail page.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System Configuration Panel</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Access a master configuration panel governing every platform-wide default including date and time format, currency, language, season calendar settings, default notification preferences, data retention periods, and integration API keys. Apply configuration changes to a staging environment for testing before promoting to production. Maintain a version history of configuration changes with rollback capability for emergency recovery from misconfiguration incidents.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3F4F6"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Data Privacy &amp; GDPR Tools</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Manage all GDPR and data protection obligations from a dedicated compliance module. Process subject access requests (SARs) by exporting a complete data package for any registered user within the legally required response period. Handle right-to-erasure requests with cascaded anonymisation across all linked records while preserving statistical and financial data integrity. Maintain consent records, data processing activity logs, and Data Protection Impact Assessment documentation.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Integration &amp; API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Connect the platform to external systems including governing body databases, national registration portals, CRM platforms, email marketing tools, accounting software, and custom club management systems via a documented REST API. Manage API keys, rate limits, and webhook configurations for each integration. Monitor integration health through a connectivity status dashboard with automated alerting for failed synchronisation events requiring administrator investigation.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3F4F6"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Backup &amp; Data Recovery</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Configure automated daily, weekly, and monthly database backups with configurable retention periods and off-site replication to geographically distributed storage locations. Test backup integrity through scheduled restoration verification processes. Enable administrators to initiate point-in-time data recovery for specific records or entire data sets through a guided recovery wizard. Maintain a disaster recovery plan document with defined RTO and RPO targets.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Platform Health Monitoring</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Display a real-time system health dashboard showing server response times, database query performance, active user counts, error rates, payment gateway connectivity status, and third-party integration uptime. Configure automated incident alerts to the technical team when any metric breaches defined thresholds. Maintain a public-facing status page that registered users can subscribe to for transparent communication during planned maintenance and unplanned outages.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3F4F6"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Custom Fields &amp; Forms Builder</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Extend the platform's data model without code changes by creating custom fields for team, player, venue, match, and user record types. Build custom registration and intake forms using a drag-and-drop form builder with field types including text, number, date, dropdown, multi-select, file upload, and digital signature. Apply conditional logic to show or hide form fields based on previous answers. Export form submission data in structured formats for processing.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6800"/>
      </w:tblGrid>
      <w:tr>
        <w:tc>
          <w:tcPr>
            <w:tcW w:type="dxa" w:w="2560"/>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vAlign w:val="center"/>
          </w:tcPr>
          <w:p>
            <w:pPr>
              <w:spacing w:after="40"/>
            </w:pPr>
            <w:r>
              <w:rPr>
                <w:rFonts w:ascii="Arial" w:cs="Arial" w:eastAsia="Arial" w:hAnsi="Arial"/>
                <w:b/>
                <w:bCs/>
                <w:color w:val="374151"/>
                <w:sz w:val="19"/>
                <w:szCs w:val="19"/>
              </w:rPr>
              <w:t xml:space="preserve">Compliance &amp; Certification Management</w:t>
            </w:r>
          </w:p>
        </w:tc>
        <w:tc>
          <w:tcPr>
            <w:tcW w:type="dxa" w:w="6800"/>
            <w:tcBorders>
              <w:top w:val="single" w:color="CBD5E1" w:sz="1"/>
              <w:left w:val="single" w:color="CBD5E1" w:sz="1"/>
              <w:bottom w:val="single" w:color="CBD5E1" w:sz="1"/>
              <w:right w:val="single" w:color="CBD5E1" w:sz="1"/>
            </w:tcBorders>
            <w:shd w:fill="FFFFFF" w:val="clear"/>
            <w:tcMar>
              <w:top w:type="dxa" w:w="140"/>
              <w:left w:type="dxa" w:w="200"/>
              <w:bottom w:type="dxa" w:w="140"/>
              <w:right w:type="dxa" w:w="200"/>
            </w:tcMar>
          </w:tcPr>
          <w:p>
            <w:r>
              <w:rPr>
                <w:rFonts w:ascii="Arial" w:cs="Arial" w:eastAsia="Arial" w:hAnsi="Arial"/>
                <w:color w:val="1E293B"/>
                <w:sz w:val="19"/>
                <w:szCs w:val="19"/>
              </w:rPr>
              <w:t xml:space="preserve">Track all mandatory compliance documents and certifications required from clubs, players, referees, and venues including insurance certificates, DBS checks, coaching qualifications, ground safety certificates, and data processing agreements. Set expiry alert timelines and automated reminder sequences. Restrict access to platform functions for non-compliant participants until required documentation is submitted and verified by an authorised administrator.</w:t>
            </w:r>
          </w:p>
        </w:tc>
      </w:tr>
    </w:tbl>
    <w:p>
      <w:pPr>
        <w:spacing w:after="60"/>
      </w:pPr>
    </w:p>
    <w:p>
      <w:pPr>
        <w:spacing w:after="24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Sports Vendor Platform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Sports Vendor — Platform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0A1628"/>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2026-03-09T13:21:32.238Z</dcterms:created>
  <dcterms:modified xsi:type="dcterms:W3CDTF">2026-03-09T13:21:32.239Z</dcterms:modified>
</cp:coreProperties>
</file>

<file path=docProps/custom.xml><?xml version="1.0" encoding="utf-8"?>
<Properties xmlns="http://schemas.openxmlformats.org/officeDocument/2006/custom-properties" xmlns:vt="http://schemas.openxmlformats.org/officeDocument/2006/docPropsVTypes"/>
</file>