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EA5E9" w:val="clear"/>
            <w:tcMar>
              <w:top w:type="dxa" w:w="90"/>
              <w:bottom w:type="dxa" w:w="90"/>
            </w:tcMar>
          </w:tcPr>
          <w:p/>
        </w:tc>
        <w:tc>
          <w:tcPr>
            <w:tcW w:type="dxa" w:w="3120"/>
            <w:tcBorders>
              <w:top w:val="none" w:color="FFFFFF" w:sz="0"/>
              <w:left w:val="none" w:color="FFFFFF" w:sz="0"/>
              <w:bottom w:val="none" w:color="FFFFFF" w:sz="0"/>
              <w:right w:val="none" w:color="FFFFFF" w:sz="0"/>
            </w:tcBorders>
            <w:shd w:fill="1D4ED8" w:val="clear"/>
            <w:tcMar>
              <w:top w:type="dxa" w:w="90"/>
              <w:bottom w:type="dxa" w:w="90"/>
            </w:tcMar>
          </w:tcPr>
          <w:p/>
        </w:tc>
        <w:tc>
          <w:tcPr>
            <w:tcW w:type="dxa" w:w="3120"/>
            <w:tcBorders>
              <w:top w:val="none" w:color="FFFFFF" w:sz="0"/>
              <w:left w:val="none" w:color="FFFFFF" w:sz="0"/>
              <w:bottom w:val="none" w:color="FFFFFF" w:sz="0"/>
              <w:right w:val="none" w:color="FFFFFF" w:sz="0"/>
            </w:tcBorders>
            <w:shd w:fill="6D28D9" w:val="clear"/>
            <w:tcMar>
              <w:top w:type="dxa" w:w="90"/>
              <w:bottom w:type="dxa" w:w="90"/>
            </w:tcMar>
          </w:tcPr>
          <w:p/>
        </w:tc>
      </w:tr>
    </w:tbl>
    <w:p>
      <w:pPr>
        <w:spacing w:after="120"/>
      </w:pPr>
    </w:p>
    <w:p>
      <w:pPr>
        <w:spacing w:after="50"/>
      </w:pPr>
      <w:r>
        <w:rPr>
          <w:rFonts w:ascii="Arial" w:cs="Arial" w:eastAsia="Arial" w:hAnsi="Arial"/>
          <w:b/>
          <w:bCs/>
          <w:color w:val="0B1D35"/>
          <w:sz w:val="80"/>
          <w:szCs w:val="80"/>
        </w:rPr>
        <w:t xml:space="preserve">SUBSCRIPTION</w:t>
      </w:r>
    </w:p>
    <w:p>
      <w:pPr>
        <w:spacing w:after="50"/>
      </w:pPr>
      <w:r>
        <w:rPr>
          <w:rFonts w:ascii="Arial" w:cs="Arial" w:eastAsia="Arial" w:hAnsi="Arial"/>
          <w:b/>
          <w:bCs/>
          <w:color w:val="1D4ED8"/>
          <w:sz w:val="80"/>
          <w:szCs w:val="80"/>
        </w:rPr>
        <w:t xml:space="preserve">MANAGEMENT</w:t>
      </w:r>
    </w:p>
    <w:p>
      <w:pPr>
        <w:spacing w:after="50"/>
      </w:pPr>
      <w:r>
        <w:rPr>
          <w:rFonts w:ascii="Arial" w:cs="Arial" w:eastAsia="Arial" w:hAnsi="Arial"/>
          <w:b/>
          <w:bCs/>
          <w:color w:val="6D28D9"/>
          <w:sz w:val="80"/>
          <w:szCs w:val="80"/>
        </w:rPr>
        <w:t xml:space="preserve">PLATFORM</w:t>
      </w:r>
    </w:p>
    <w:p>
      <w:pPr>
        <w:spacing w:after="60"/>
      </w:pPr>
      <w:r>
        <w:rPr>
          <w:rFonts w:ascii="Arial" w:cs="Arial" w:eastAsia="Arial" w:hAnsi="Arial"/>
          <w:b/>
          <w:bCs/>
          <w:color w:val="0EA5E9"/>
          <w:sz w:val="30"/>
          <w:szCs w:val="30"/>
        </w:rPr>
        <w:t xml:space="preserve">Vendor Feature Documentation</w:t>
      </w:r>
    </w:p>
    <w:p>
      <w:pPr>
        <w:spacing w:after="600"/>
      </w:pPr>
      <w:r>
        <w:rPr>
          <w:rFonts w:ascii="Arial" w:cs="Arial" w:eastAsia="Arial" w:hAnsi="Arial"/>
          <w:i/>
          <w:iCs/>
          <w:color w:val="475569"/>
          <w:sz w:val="21"/>
          <w:szCs w:val="21"/>
        </w:rPr>
        <w:t xml:space="preserve">Comprehensive In-Depth Guide to Every Platform Feature &amp;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B1D35" w:val="clear"/>
            <w:tcMar>
              <w:top w:type="dxa" w:w="180"/>
              <w:left w:type="dxa" w:w="140"/>
              <w:bottom w:type="dxa" w:w="180"/>
              <w:right w:type="dxa" w:w="140"/>
            </w:tcMar>
          </w:tcPr>
          <w:p>
            <w:pPr>
              <w:jc w:val="center"/>
            </w:pPr>
            <w:r>
              <w:rPr>
                <w:rFonts w:ascii="Arial" w:cs="Arial" w:eastAsia="Arial" w:hAnsi="Arial"/>
                <w:b/>
                <w:bCs/>
                <w:color w:val="0EA5E9"/>
                <w:sz w:val="46"/>
                <w:szCs w:val="46"/>
              </w:rPr>
              <w:t xml:space="preserve">14</w:t>
            </w:r>
          </w:p>
          <w:p>
            <w:pPr>
              <w:jc w:val="center"/>
            </w:pPr>
            <w:r>
              <w:rPr>
                <w:rFonts w:ascii="Arial" w:cs="Arial" w:eastAsia="Arial" w:hAnsi="Arial"/>
                <w:color w:val="FFFFFF"/>
                <w:sz w:val="17"/>
                <w:szCs w:val="17"/>
              </w:rPr>
              <w:t xml:space="preserve">Modules</w:t>
            </w:r>
          </w:p>
        </w:tc>
        <w:tc>
          <w:tcPr>
            <w:tcW w:type="dxa" w:w="2340"/>
            <w:tcBorders>
              <w:top w:val="none" w:color="FFFFFF" w:sz="0"/>
              <w:left w:val="none" w:color="FFFFFF" w:sz="0"/>
              <w:bottom w:val="none" w:color="FFFFFF" w:sz="0"/>
              <w:right w:val="none" w:color="FFFFFF" w:sz="0"/>
            </w:tcBorders>
            <w:shd w:fill="0B1D35" w:val="clear"/>
            <w:tcMar>
              <w:top w:type="dxa" w:w="180"/>
              <w:left w:type="dxa" w:w="140"/>
              <w:bottom w:type="dxa" w:w="180"/>
              <w:right w:type="dxa" w:w="140"/>
            </w:tcMar>
          </w:tcPr>
          <w:p>
            <w:pPr>
              <w:jc w:val="center"/>
            </w:pPr>
            <w:r>
              <w:rPr>
                <w:rFonts w:ascii="Arial" w:cs="Arial" w:eastAsia="Arial" w:hAnsi="Arial"/>
                <w:b/>
                <w:bCs/>
                <w:color w:val="1D4ED8"/>
                <w:sz w:val="46"/>
                <w:szCs w:val="46"/>
              </w:rPr>
              <w:t xml:space="preserve">100+</w:t>
            </w:r>
          </w:p>
          <w:p>
            <w:pPr>
              <w:jc w:val="center"/>
            </w:pPr>
            <w:r>
              <w:rPr>
                <w:rFonts w:ascii="Arial" w:cs="Arial" w:eastAsia="Arial" w:hAnsi="Arial"/>
                <w:color w:val="FFFFFF"/>
                <w:sz w:val="17"/>
                <w:szCs w:val="17"/>
              </w:rPr>
              <w:t xml:space="preserve">Features</w:t>
            </w:r>
          </w:p>
        </w:tc>
        <w:tc>
          <w:tcPr>
            <w:tcW w:type="dxa" w:w="2340"/>
            <w:tcBorders>
              <w:top w:val="none" w:color="FFFFFF" w:sz="0"/>
              <w:left w:val="none" w:color="FFFFFF" w:sz="0"/>
              <w:bottom w:val="none" w:color="FFFFFF" w:sz="0"/>
              <w:right w:val="none" w:color="FFFFFF" w:sz="0"/>
            </w:tcBorders>
            <w:shd w:fill="0B1D35" w:val="clear"/>
            <w:tcMar>
              <w:top w:type="dxa" w:w="180"/>
              <w:left w:type="dxa" w:w="140"/>
              <w:bottom w:type="dxa" w:w="180"/>
              <w:right w:type="dxa" w:w="140"/>
            </w:tcMar>
          </w:tcPr>
          <w:p>
            <w:pPr>
              <w:jc w:val="center"/>
            </w:pPr>
            <w:r>
              <w:rPr>
                <w:rFonts w:ascii="Arial" w:cs="Arial" w:eastAsia="Arial" w:hAnsi="Arial"/>
                <w:b/>
                <w:bCs/>
                <w:color w:val="6D28D9"/>
                <w:sz w:val="46"/>
                <w:szCs w:val="46"/>
              </w:rPr>
              <w:t xml:space="preserve">In-Depth</w:t>
            </w:r>
          </w:p>
          <w:p>
            <w:pPr>
              <w:jc w:val="center"/>
            </w:pPr>
            <w:r>
              <w:rPr>
                <w:rFonts w:ascii="Arial" w:cs="Arial" w:eastAsia="Arial" w:hAnsi="Arial"/>
                <w:color w:val="FFFFFF"/>
                <w:sz w:val="17"/>
                <w:szCs w:val="17"/>
              </w:rPr>
              <w:t xml:space="preserve">Descriptions</w:t>
            </w:r>
          </w:p>
        </w:tc>
        <w:tc>
          <w:tcPr>
            <w:tcW w:type="dxa" w:w="2340"/>
            <w:tcBorders>
              <w:top w:val="none" w:color="FFFFFF" w:sz="0"/>
              <w:left w:val="none" w:color="FFFFFF" w:sz="0"/>
              <w:bottom w:val="none" w:color="FFFFFF" w:sz="0"/>
              <w:right w:val="none" w:color="FFFFFF" w:sz="0"/>
            </w:tcBorders>
            <w:shd w:fill="0B1D35" w:val="clear"/>
            <w:tcMar>
              <w:top w:type="dxa" w:w="180"/>
              <w:left w:type="dxa" w:w="140"/>
              <w:bottom w:type="dxa" w:w="180"/>
              <w:right w:type="dxa" w:w="140"/>
            </w:tcMar>
          </w:tcPr>
          <w:p>
            <w:pPr>
              <w:jc w:val="center"/>
            </w:pPr>
            <w:r>
              <w:rPr>
                <w:rFonts w:ascii="Arial" w:cs="Arial" w:eastAsia="Arial" w:hAnsi="Arial"/>
                <w:b/>
                <w:bCs/>
                <w:color w:val="10B981"/>
                <w:sz w:val="46"/>
                <w:szCs w:val="46"/>
              </w:rPr>
              <w:t xml:space="preserve">2025</w:t>
            </w:r>
          </w:p>
          <w:p>
            <w:pPr>
              <w:jc w:val="center"/>
            </w:pPr>
            <w:r>
              <w:rPr>
                <w:rFonts w:ascii="Arial" w:cs="Arial" w:eastAsia="Arial" w:hAnsi="Arial"/>
                <w:color w:val="FFFFFF"/>
                <w:sz w:val="17"/>
                <w:szCs w:val="17"/>
              </w:rPr>
              <w:t xml:space="preserve">Edition</w:t>
            </w:r>
          </w:p>
        </w:tc>
      </w:tr>
    </w:tbl>
    <w:p>
      <w:r>
        <w:br w:type="page"/>
      </w:r>
    </w:p>
    <w:p>
      <w:pPr>
        <w:pBdr>
          <w:bottom w:val="single" w:color="1D4ED8" w:sz="6"/>
        </w:pBdr>
        <w:spacing w:after="80"/>
      </w:pPr>
      <w:r>
        <w:rPr>
          <w:rFonts w:ascii="Arial" w:cs="Arial" w:eastAsia="Arial" w:hAnsi="Arial"/>
          <w:b/>
          <w:bCs/>
          <w:color w:val="0B1D35"/>
          <w:sz w:val="36"/>
          <w:szCs w:val="36"/>
        </w:rPr>
        <w:t xml:space="preserve">TABLE OF CONTENTS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1D4ED8"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01</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CORE SUBSCRIPTION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8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891B2"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02</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PLAN &amp; PRICING CONFIGURATION</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6D28D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03</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SUBSCRIBER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8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5966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04</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ONBOARDING &amp; ACTIVATION</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6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DC262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05</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BILLING &amp; PAYMENTS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D9770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06</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DISCOUNTS &amp; PROMOTIONS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7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F766E"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07</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RENEWALS &amp; RETENTION</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8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7C3AED"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08</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ACCESS &amp; ENTITLEMENTS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7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B91C1C"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09</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COMMUNICATION &amp; NOTIFICATIONS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1D4ED8"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10</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SUBSCRIBER SELF-SERVICE PORTAL</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8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5966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11</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TRIALS &amp; FREEMIUM</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7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369A1"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12</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ANALYTICS &amp; REPORTING</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11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6D28D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13</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INTEGRATIONS &amp; AUTOMATION</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7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374151"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14</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B1D35"/>
                <w:sz w:val="21"/>
                <w:szCs w:val="21"/>
              </w:rPr>
              <w:t xml:space="preserve">ADMIN &amp; SETTINGS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7 features</w:t>
            </w:r>
          </w:p>
        </w:tc>
      </w:tr>
    </w:tbl>
    <w:p>
      <w:pPr>
        <w:spacing w:after="52"/>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D4ED8"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01</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CORE SUBSCRIPTION MANAGEMENT</w:t>
            </w:r>
          </w:p>
          <w:p>
            <w:r>
              <w:rPr>
                <w:rFonts w:ascii="Arial" w:cs="Arial" w:eastAsia="Arial" w:hAnsi="Arial"/>
                <w:i/>
                <w:iCs/>
                <w:color w:val="94A3B8"/>
                <w:sz w:val="19"/>
                <w:szCs w:val="19"/>
              </w:rPr>
              <w:t xml:space="preserve">The structural foundation governing how every subscription plan is created, configured, and controlled.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1D4ED8"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1D4ED8"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Create &amp; Manage Subscription Plans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 comprehensive plan creation wizard allowing administrators to define every dimension of a subscription offering in a single guided flow — from naming and description through pricing structure, billing cycle, trial settings, feature entitlements, and visibility controls. Manage all active, draft, and archived plans from a centralised plan library dashboard with inline status indicators, subscriber counts, and revenue contribution per plan. Support bulk plan updates for global changes such as price revisions, feature additions, or policy adjustments that apply across multiple plans simultaneously without requiring individual plan edits.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D4ED8"/>
                <w:sz w:val="19"/>
                <w:szCs w:val="19"/>
              </w:rPr>
              <w:t xml:space="preserve">Multiple Plan Types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Support the full range of commercial plan tiers required for modern SaaS and subscription businesses. Free plans carry no payment obligation and provide limited access to introduce new users to the product. Basic plans offer essential feature access at an accessible entry-level price point. Premium plans unlock advanced capabilities for power users willing to pay a higher recurring fee. Enterprise plans are customised for large organisations with bespoke pricing, dedicated support, custom SLAs, and negotiated contract terms managed outside the standard self-service flow. Each plan type renders appropriately on the public pricing page with contextually relevant feature comparison highlights.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Monthly, Quarterly, Annual Billing Cycles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each subscription plan to support one or more standard billing cycle options presented as choices to the subscriber at the point of checkout. Monthly cycles maximise accessibility and reduce commitment friction for new subscribers. Quarterly cycles offer a mid-range commitment with modest savings. Annual cycles incentivise long-term commitment with the largest discount and are preferrable for improving cash flow and reducing churn. Display the per-month equivalent price for longer cycles alongside the total charge to help subscribers understand the savings calculation. Automatically handle billing date alignment when a subscriber switches between cycle lengths mid-subscription.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D4ED8"/>
                <w:sz w:val="19"/>
                <w:szCs w:val="19"/>
              </w:rPr>
              <w:t xml:space="preserve">Custom Billing Cycle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Beyond standard monthly, quarterly, and annual cycles, offer fully configurable billing intervals expressed as a number of days, weeks, or months to accommodate non-standard business models such as bimonthly publications, semester-based educational subscriptions, 90-day seasonal memberships, or 18-month multi-year commitments. Custom cycles are configured at the plan level and can be offered alongside standard cycles or as the sole billing option depending on the product's commercial model. Ensure prorated billing calculations account correctly for non-standard interval lengths when plan changes or mid-cycle cancellations occur.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Free Trial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 trial period of any length — from a 3-day preview to a 90-day extended trial — with granular control over every aspect of the trial experience. Set whether a credit card is required at trial signup, controlling the friction versus conversion quality trade-off based on business strategy. Define exactly which features are accessible during the trial — full plan access, a restricted preview set, or a usage-capped version. Configure automated trial expiry notifications and the conversion prompt sequence. Set rules for whether a user can re-activate a trial after previously cancelling, and track trial cohort performance through the analytics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D4ED8"/>
                <w:sz w:val="19"/>
                <w:szCs w:val="19"/>
              </w:rPr>
              <w:t xml:space="preserve">Plan Activation / Deactivation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Control the availability of each subscription plan through clear activation and deactivation toggles with deliberate confirmation workflows to prevent accidental state changes. Activating a plan makes it immediately visible and purchasable through the public pricing page and API. Deactivating a plan removes it from new purchase flows while preserving all existing active subscriptions on that plan without interruption. Optionally sunset a deactivated plan with a configurable migration prompt encouraging existing subscribers to move to an active replacement plan before a defined deadline.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Plan Cloning &amp; Template Reuse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Duplicate any existing plan as a starting point for a new one, carrying across the full configuration including pricing structure, billing cycles, trial settings, entitlement rules, and associated email communication templates. Modify only the differentiating elements of the new plan — typically pricing, name, and specific feature access levels — to accelerate launch of plan variants. Maintain a reusable plan template library with descriptive naming conventions so team members can identify the right starting template without reviewing individual plan configurations. Track which plans were created from which templates for organisational lineage awareness.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D4ED8"/>
                <w:sz w:val="19"/>
                <w:szCs w:val="19"/>
              </w:rPr>
              <w:t xml:space="preserve">Public &amp; Private Plan Options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Designate each subscription plan as publicly discoverable on the pricing page, privately accessible only via direct link for soft-launch testing, or completely hidden and accessible only through administrator-assigned provisioning for custom enterprise arrangements. Private plans are ideal for grandfathered pricing offered exclusively to existing customers during a pricing migration, beta programme access, partner integrations, and white-label reseller products that should not be visible to the general public. Generate unique, shareable plan-specific signup URLs for private plans that can be embedded in targeted email campaigns or partner onboarding flows.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891B2"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02</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PLAN &amp; PRICING CONFIGURATION</w:t>
            </w:r>
          </w:p>
          <w:p>
            <w:r>
              <w:rPr>
                <w:rFonts w:ascii="Arial" w:cs="Arial" w:eastAsia="Arial" w:hAnsi="Arial"/>
                <w:i/>
                <w:iCs/>
                <w:color w:val="94A3B8"/>
                <w:sz w:val="19"/>
                <w:szCs w:val="19"/>
              </w:rPr>
              <w:t xml:space="preserve">Every pricing model a modern subscription business needs, configured precisely to maximise revenue.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Flat Rate Pricing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 single fixed recurring charge for a subscription plan that remains constant regardless of how many users access the account or how much the product is used within the billing period. Flat rate pricing is the simplest and most predictable structure for both the business and the subscriber, making it ideal for straightforward SaaS products, content subscriptions, and community memberships where unlimited access within a defined feature set is the core value proposition. Set different flat rates per billing cycle length with discounts applied automatically for longer commitment periods.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Per Seat / Per User Pricing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Implement per-seat pricing where the total subscription charge scales proportionally with the number of active user seats provisioned on the account. Set a base price per seat per billing period, define a minimum seat commitment preventing accounts from under-provisioning below a commercially viable threshold, and optionally apply volume discount tiers that reduce the per-seat rate as total seat count increases. Handle mid-cycle seat additions and removals with automated prorated charge adjustments on the next invoice. Display a real-time pricing calculator on the checkout page allowing prospective subscribers to model costs at their anticipated team size.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Usage-Based / Metered Pricing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Charge subscribers based on actual measured consumption of a quantifiable resource — such as API calls, SMS messages sent, storage gigabytes used, active contacts in a CRM, video minutes streamed, or documents processed — rather than a fixed monthly fee. Define the billing metric, set the price per unit, configure measurement intervals (real-time, daily aggregation, end-of-period summation), and establish reporting cadences that keep subscribers informed of their accruing usage and projected monthly cost. Support hybrid plans combining a fixed platform access fee with metered charges for resource consumption above an included allowance.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Tiered Pricing Structure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Apply tiered pricing logic where the unit price changes depending on the total volume consumed within the billing period. In volume tiers, all units are charged at the rate of the highest-volume tier reached. In graduated tiers, each band of units is charged at its own rate creating a cost curve that rewards high-volume subscribers incrementally. Configure tiered structures across any measurable unit whether that is seats, API calls, or storage. Display a clear tier breakdown table on the pricing page so prospects can calculate their expected cost at different usage levels before committing to a subscription.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Freemium Plan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a permanent free tier — distinct from a time-limited free trial — that provides genuine value through limited feature access or usage capacity with no billing obligation and no expiry date. The freemium tier functions as the top of the acquisition funnel, removing the cost barrier to product adoption entirely and creating a large base of engaged users who can be converted to paid plans through in-product upgrade prompts triggered by usage limit approaches or feature gate encounters. Configure freemium usage caps, feature restrictions, and the specific upgrade conversion triggers that appear when free users reach defined thresholds.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Introductory / Launch Pricing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time-limited introductory pricing for new plan launches or product releases, automatically reverting to standard pricing after the introductory window closes or a maximum number of signups is reached. New subscribers who join during the introductory period are grandfathered at the lower rate for their subscription lifetime or for a defined number of billing periods as configured. Display a countdown timer and remaining slots indicator on the pricing page to create urgency. Log all introductory pricing subscriptions separately in the analytics dashboard to track the long-term revenue impact of the launch promotion.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Price Override Per Customer</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Apply account-specific pricing that supersedes the plan's public rate for individual customers through manual administrator override. Price overrides are used to honour negotiated enterprise discounts, grandfather legacy subscribers at historical pricing during a general price increase, accommodate reseller partner pricing arrangements, and fulfil commitments made during sales negotiations without creating a separate plan visible to all users. Override pricing is recorded in the subscriber's account with an internal note explaining the reason and who authorised the exception, maintaining a complete pricing audit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Multi-Currency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Price subscription plans in multiple currencies to eliminate foreign exchange friction for international subscribers and present locally relevant prices rather than requiring customers to calculate from a single base currency. Configure a pricing matrix assigning specific currency amounts per plan per supported currency rather than applying automatic conversion rates that fluctuate daily. Display the appropriate currency automatically based on the subscriber's detected billing address country at checkout. Handle currency-specific tax rule interactions, generate invoices in the subscriber's billing currency, and report multi-currency revenue with automatic conversion to a single base reporting currency for consolidated financial dashboards.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Tax Configuration Per Region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tax rules applicable to subscription revenue on a per-region basis to maintain compliance with VAT obligations across the EU, GST in Australia, India, and Canada, and sales tax across US states where economic nexus thresholds have been crossed. Set tax rates per country and US state, define which product types within the platform are taxable versus exempt, and configure whether displayed prices are tax-inclusive or tax-exclusive. Apply tax identification number collection at checkout for B2B subscribers claiming reverse-charge exemption. Generate tax liability summary reports by jurisdiction for submission to tax authorities and external accountants.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6D28D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03</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SUBSCRIBER MANAGEMENT</w:t>
            </w:r>
          </w:p>
          <w:p>
            <w:r>
              <w:rPr>
                <w:rFonts w:ascii="Arial" w:cs="Arial" w:eastAsia="Arial" w:hAnsi="Arial"/>
                <w:i/>
                <w:iCs/>
                <w:color w:val="94A3B8"/>
                <w:sz w:val="19"/>
                <w:szCs w:val="19"/>
              </w:rPr>
              <w:t xml:space="preserve">Complete visibility and control over every subscriber relationship from first signup to final cancellation.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6D28D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6D28D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Subscriber Profiles &amp; History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comprehensive, permanently accessible profile for every subscriber capturing their full account details, contact information, company profile for B2B accounts, payment method on file, billing address, current subscription plan, subscription start date, all previous plans held, every invoice ever issued, payment history, refund records, support interaction log, communication history, custom tags, and administrator notes. Profiles are immediately accessible from a global search bar enabling support teams to locate any subscriber by name, email, company, or subscription ID in under a second, providing full context before any customer interaction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6D28D9"/>
                <w:sz w:val="19"/>
                <w:szCs w:val="19"/>
              </w:rPr>
              <w:t xml:space="preserve">Subscription Status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Display the current operational status of every subscription with real-time accuracy through clearly labelled status indicators. Active subscriptions are in good standing with current payment and full entitlement access. Trialling subscriptions are within a configured free trial window with conversion deadline displayed. Paused subscriptions have had billing temporarily suspended by subscriber request with a defined or open-ended resume date. Past due subscriptions have a failed payment in the dunning process with retry attempts and contact logged. Cancelled subscriptions have been terminated with cancellation date, reason, and any refund issued recorded. Expired subscriptions have reached their end date without renewal. Filter the subscriber list by any status combination for targeted operational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Plan Upgrade / Downgrade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Process mid-subscription plan changes with precise proration calculations applied immediately upon change confirmation. Upgrades from a lower-tier plan to a higher-tier plan generate an immediate prorated charge for the remainder of the current billing period at the higher plan rate, and new full-period invoices at the higher rate from the next renewal date. Downgrades from a higher to lower-tier plan apply from the next renewal date by default, preserving current-period access at the originally paid rate. Configure whether downgrades take effect immediately with credit issued or at next renewal based on the organisation's commercial policy. Log every plan change event with before-and-after plan details, effective date, and prorated amount in the subscriber's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6D28D9"/>
                <w:sz w:val="19"/>
                <w:szCs w:val="19"/>
              </w:rPr>
              <w:t xml:space="preserve">Pause &amp; Resume Subscription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subscribers to temporarily pause their subscription during periods of non-use — travel, seasonal inactivity, financial hardship — rather than cancelling outright. Configuring pause rules at the platform level: set the minimum and maximum pause duration permitted, define whether billing is fully suspended or reduced during the pause window, and specify whether feature access is fully revoked or maintained in a read-only state during the pause. Resume can be triggered by the subscriber through the self-service portal, automatically on a subscriber-specified future date, or by the administrator. Pausing instead of cancelling significantly reduces churn by capturing subscribers who would otherwise leave permanently.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Subscription Transfer Between Users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Transfer an active subscription from one account holder to another without cancellation and re-subscription, preserving the subscription start date, accumulated loyalty period, grandfathered pricing, and billing history for reporting continuity. Transfers are used for employee offboarding when a company subscription seat moves from a departing employee to their replacement, for gift subscriptions being transferred to the intended recipient, and for account ownership changes following company acquisitions or role reassignments. Require both the transferring and receiving account to confirm the transfer where applicable, and log the transfer event in both accounts' histories.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6D28D9"/>
                <w:sz w:val="19"/>
                <w:szCs w:val="19"/>
              </w:rPr>
              <w:t xml:space="preserve">Bulk Subscriber Import / Export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Import large subscriber populations from CSV files for platform migrations, legacy system transitions, and list-based activations using a guided import wizard with column mapping, data validation, duplicate detection, and error reporting before confirming the import. Export the full subscriber database or filtered subsets to CSV or Excel for CRM synchronisation, financial reconciliation, compliance documentation, and offline analysis. Scheduled exports can be configured to run automatically at defined intervals and delivered to a designated secure file location or email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Subscriber Segmentation &amp; Tagging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Classify subscribers into meaningful groups using a flexible tagging and segmentation system. Apply tags manually from the subscriber profile or automatically through rules triggered by plan type, subscription age, usage behaviour, geographic location, company size, or any custom data field. Build dynamic segments that update in real time as subscriber attributes change — for example, a segment of all enterprise plan subscribers in the APAC region who have been active for over 12 months. Use segments as the target audience for tailored communication campaigns, discount offers, and proactive retention outreach by the customer success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6D28D9"/>
                <w:sz w:val="19"/>
                <w:szCs w:val="19"/>
              </w:rPr>
              <w:t xml:space="preserve">Notes &amp; Activity Log Per Subscriber</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Attach internal notes to subscriber profiles that are visible only to platform administrators and support team members. Notes capture context that the platform cannot automatically record — such as a verbal commitment made during a sales call, a custom exception approved by management, or a specific support escalation background. The automated activity log running alongside manual notes records every system event affecting the subscription including plan changes, payment events, login activity, feature usage milestones, communication sends, and administrator actions, providing a complete chronological audit trail for every subscriber interaction.</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5966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04</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ONBOARDING &amp; ACTIVATION</w:t>
            </w:r>
          </w:p>
          <w:p>
            <w:r>
              <w:rPr>
                <w:rFonts w:ascii="Arial" w:cs="Arial" w:eastAsia="Arial" w:hAnsi="Arial"/>
                <w:i/>
                <w:iCs/>
                <w:color w:val="94A3B8"/>
                <w:sz w:val="19"/>
                <w:szCs w:val="19"/>
              </w:rPr>
              <w:t xml:space="preserve">Turn new signups into activated, engaged subscribers from the very first moment they join.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Welcome Email / Message on Signup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Trigger a personalised welcome email within seconds of a subscriber completing their first signup or plan activation. The welcome email is designed in the platform's branded email template builder with the subscriber's name, the plan they have joined, a clear summary of what they now have access to, the next steps they should take, and key support resources. For paid plan signups, include the invoice receipt and billing information. Configure separate welcome email variants for free plan signups, trial activations, and paid plan purchases, ensuring each new subscriber receives a contextually relevant first communication that sets the right expectations from day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Onboarding Checklist for New Subscribers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Present new subscribers with a structured onboarding checklist displayed prominently in the subscriber portal during the first login sessions after signup. The checklist contains a curated sequence of high-value setup and activation tasks — such as completing their profile, connecting an integration, inviting a team member, or completing a configuration step — each presented as a clearly described action with a direct link to the relevant page. Track checklist item completion and display a visual progress indicator. Trigger a completion celebration and a recommended next-step suggestion when all checklist items are finished, smoothing the transition from onboarding to routine product usage.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Account Setup Guidance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Surface contextual setup guidance within the subscriber portal that adapts based on the subscriber's plan type and account configuration state. Guidance cards appear on the dashboard highlighting incomplete account setup elements that would limit the subscriber's ability to derive full value from the subscription — such as a missing billing address, an unverified email, an unconfigured integration, or unseated team members on a per-seat plan. Each guidance card includes a brief explanation of why the action matters, an estimated completion time, and a one-click action button to complete the task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First-Time User Walkthrough</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Deliver an interactive in-product walkthrough to first-time logged-in subscribers using an overlay tooltip sequence or guided tour format that highlights key platform areas, explains core features, and demonstrates the primary value-generating actions within the first session. Make the walkthrough skippable for experienced users who prefer self-directed exploration, but enable re-launch of the walkthrough at any time from the help menu. Customise walkthrough content per plan type so premium subscribers see a tour of their exclusive features while basic subscribers see the core functionality relevant to their entitlement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Trial Activation &amp; Expiry Notification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Send a clear trial activation confirmation email at the moment a trial begins, explicitly stating the trial end date, which features are included, whether a payment method has been saved, and what will happen when the trial expires. Trigger a structured expiry notification sequence in the days leading up to trial end: a detailed value-reinforcement email highlighting what has been accomplished during the trial seven days before expiry, a direct conversion call-to-action three days before, and a final-day countdown prompt with a frictionless one-click upgrade link on the expiry day. For trials where no payment method was collected, include a payment entry step in the conversion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Auto-Activation on Payment Confirmation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Activate the subscriber's plan and grant full feature entitlement access automatically and immediately upon receiving confirmed payment authorisation from the payment gateway — typically within two to three seconds of a successful card charge. The subscriber lands on their dashboard with all plan features unlocked and receives their welcome email and receipt simultaneously. Eliminate manual provisioning delays entirely so the subscriber's first experience of the product's value begins the moment their payment is confirmed, maximising the positive association between purchasing and immediate gratification.</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C262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05</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BILLING &amp; PAYMENTS</w:t>
            </w:r>
          </w:p>
          <w:p>
            <w:r>
              <w:rPr>
                <w:rFonts w:ascii="Arial" w:cs="Arial" w:eastAsia="Arial" w:hAnsi="Arial"/>
                <w:i/>
                <w:iCs/>
                <w:color w:val="94A3B8"/>
                <w:sz w:val="19"/>
                <w:szCs w:val="19"/>
              </w:rPr>
              <w:t xml:space="preserve">Automated, reliable, and flexible billing that handles every payment scenario without manual intervention.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Automated Recurring Billing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Execute recurring subscription charges automatically on each billing renewal date without any manual action required from the administrator or the subscriber. The billing engine calculates the exact amount due — accounting for any mid-cycle changes, prorations, applied credits, and applicable taxes — and submits the charge to the payment gateway at the scheduled billing time. Send the subscriber an advance billing notification a configurable number of days before the charge (typically 3 to 7 days) so they are not surprised by the debit. Issue an automated receipt and renewal confirmation email within seconds of a successful charge.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Multiple Payment Methods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Accept the full range of payment methods to remove financial barriers for subscribers across every market and demographic. Card payments via Visa, Mastercard, American Express, and Discover are universally supported with saved card tokenisation for seamless recurring billing. UPI is available for Indian subscribers. Digital wallets including Apple Pay, Google Pay, and PayPal provide frictionless checkout. Bank transfers and ACH debit are supported for corporate accounts preferring invoice-based payment. Regional payment methods can be enabled per geography. Subscribers can save multiple payment methods and designate a primary card for recurring billing while keeping backup methods on 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Payment Retry on Failure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retry failed recurring payments using an intelligent retry schedule that maximises recovery without overwhelming the subscriber with failed transaction notifications. The default retry pattern attempts the charge again at 24 hours, 72 hours, and 7 days after the initial failure, with each attempt preceded by a politely worded payment issue notification directing the subscriber to update their payment details if the issue is a card expiry or insufficient funds rather than a temporary gateway error. Configure the maximum number of retries, the interval between attempts, and the action triggered if all retries are exhausted — typically moving the subscription to a past-due or cancelled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Prorated Billing on Plan Change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Calculate prorated charges and credits automatically and accurately whenever a subscriber changes plans mid-billing-cycle. When upgrading immediately, calculate the daily rate of both the old and new plan, determine the number of remaining days in the current period, and charge the difference between the two rates for those remaining days on the next invoice or as an immediate charge depending on configuration. When downgrading at end of period, apply no immediate charge but record the scheduled plan change for execution on the next renewal. Present a clear prorated charge preview to the subscriber on the plan change confirmation screen before they commit to the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Refund &amp; Credit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Process full and partial refunds through a structured approval workflow accessible from the subscriber's billing history. Issue refunds directly back to the subscriber's original payment method, typically processed within 5 to 10 business days depending on the card issuer. Alternatively, apply account credits for refund amounts that the subscriber prefers to retain for future billing periods rather than receive as a payment reversal. Credits accumulate in the subscriber's account balance and are automatically applied to reduce the next invoice before the payment method is charged. Log every refund and credit with reason code, approving administrator, and processing status in the subscriber's financial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Invoice &amp; Receipt Auto-Generation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professionally formatted, tax-compliant invoices automatically for every billing event including new subscriptions, renewals, plan upgrades, add-on purchases, and prorated charges. Invoices include the organisation's registered business details, subscriber billing address, itemised line items with unit prices and quantities, applied discounts, subtotal, tax breakdown, and total charged. Deliver invoices to the subscriber's registered billing email address within seconds of the charge. Make all historical invoices permanently accessible in the subscriber's self-service portal for download at any time. Support custom invoice numbering formats and optional purchase order number fields for B2B accounts.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Billing History Per Subscriber</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complete, chronologically ordered billing history for every subscriber showing every charge, refund, credit note, payment attempt, invoice, and outstanding balance ever associated with the account. Display billing history with clear status indicators distinguishing paid invoices, pending charges, failed attempts, and voided transactions. Allow administrators to filter billing history by date range, payment status, and transaction type. Export an individual subscriber's full billing history as a CSV or PDF statement for accounting, audit, dispute resolution, or subscriber-requested account summaries.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Dunning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Implement a comprehensive dunning process that systematically pursues recovery of failed recurring payments through a combination of automated payment retries, personalised email communications, and escalating intervention levels. The dunning sequence begins with a polite payment issue notification and a direct link to update the payment method, progresses through retry attempts with increasingly urgent messaging, and concludes with a final account suspension warning before access is revoked. Track each subscriber's position in the dunning process from a dedicated failed payments dashboard and allow administrators to manually intervene, waive a failed charge, or fast-track resolution for high-value accounts.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Offline Payment Recording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manually received payments — including cash, cheque, bank transfer, and purchase order settlements — directly against a subscriber's account outside the automated billing flow. Offline payment recording is essential for enterprise accounts operating on net-30 or net-60 invoice terms, government or institutional subscribers requiring manual purchase order processes, and markets where automated recurring card billing is not commercially standard. Mark the invoice as paid upon recording the offline payment and trigger the same access activation and confirmation email that would follow an automated payment.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Partial Payment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Accept partial payments against outstanding invoices for subscribers unable to settle the full balance in a single payment. Record the partial amount received, update the invoice balance to reflect the outstanding remainder, and configure a follow-up schedule for collecting the residual amount. Partial payments are particularly relevant for high-value annual invoices where a subscriber requests a split payment arrangement, for B2B accounts where budget approvals may be staggered across financial quarters, and for goodwill arrangements with long-standing subscribers experiencing temporary financial difficulty.</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9770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06</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DISCOUNTS &amp; PROMOTIONS</w:t>
            </w:r>
          </w:p>
          <w:p>
            <w:r>
              <w:rPr>
                <w:rFonts w:ascii="Arial" w:cs="Arial" w:eastAsia="Arial" w:hAnsi="Arial"/>
                <w:i/>
                <w:iCs/>
                <w:color w:val="94A3B8"/>
                <w:sz w:val="19"/>
                <w:szCs w:val="19"/>
              </w:rPr>
              <w:t xml:space="preserve">Drive acquisition, reward loyalty, and accelerate growth with precisely targeted promotional mechanics.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9770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D9770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Coupon &amp; Promo Code Creation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single-use or multi-use promotional codes redeemable at checkout for discounted subscription access. Create codes manually with custom text for campaign-specific distribution or bulk-generate unique alphanumeric codes for large-scale distribution across affiliate networks, event giveaways, or advertising campaigns. Set code-level controls including validity start and end dates, maximum total redemption count, maximum redemptions per unique user, eligible plan restrictions, and minimum subscription value thresholds. Track redemption progress against limits in real time from the promotions management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Percentage &amp; Flat Discount Types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two fundamental discount mechanics to suit different promotional objectives. Percentage discounts reduce the subscription price by a specified percentage — for example, 20% off the first three months — making the discount amount proportionally larger for higher-tier plans and providing a consistent relative saving message across all plan levels simultaneously. Flat amount discounts deduct a fixed monetary value from the subscription charge — for example, INR 500 off the first payment — providing absolute price certainty and working well for campaigns anchored on a specific savings headline figure rather than a percentage.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Time-Limited Offers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promotional offers with a defined availability window that expires automatically at a specified date and time, removing the offer from the checkout flow and invalidating any unactivated codes without administrator intervention. Display countdown timers on the pricing page and in campaign communications when the offer's remaining availability window drops below a configured threshold to generate urgency-driven conversion. Time-limited offers are used for seasonal sales, launch week promotions, flash sales, holiday campaigns, and event-driven pricing aligned with industry conferences or product announcements.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First-Month Free Promotions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zero-cost first period promotions that give new subscribers full paid plan access for their first billing period at no charge, with automated billing commencing from the second period at the full plan price. First-period-free promotions are applied at checkout with no payment method friction in the first period where configured, or collect payment details upfront with the first charge deferred. Distinguish first-period-free promotions from standard free trials by the fact that they apply to the subscriber's first paid plan period rather than operating as a separate pre-plan trial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Referral Discount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Operate a structured referral programme rewarding existing subscribers for introducing new paying subscribers to the platform. Generate unique referral links per subscriber for sharing across their networks. When a referred user subscribes using the referral link, trigger reward allocation to the referring subscriber — which can be a billing credit, a free period extension, a cash reward, or a permanent percentage discount — and optionally extend a signup discount to the newly referred subscriber as a joining incentive. Track referral activity per subscriber, conversion rates of referred leads, total revenue generated from the referral channel, and programme cost-to-revenue ratio.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Bulk / Group Discount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Apply automatic volume discounts when a single purchaser subscribes multiple seats, registers a group of users, or purchases multiple subscriptions in a single transaction. Configure tiered discount thresholds — for example, 5% discount for 5 to 9 seats, 10% for 10 to 24 seats, 15% for 25 or more seats — that apply automatically at checkout based on quantity selected without requiring a promotional code. Group discounts are particularly relevant for corporate teams, educational institutions with multiple student subscribers, and association memberships with group affiliation pricing structures.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Loyalty Discount for Long-Term Subscribers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Reward subscribers who maintain continuous active subscriptions beyond defined tenure milestones with automatic loyalty discounts applied at renewal. Configure loyalty tiers — for example, a 5% renewal discount after 12 consecutive months, 10% after 24 months, and 15% after 36 months — that accumulate progressively to create a powerful financial incentive for long-term retention. Notify subscribers in advance of their upcoming loyalty discount milestone to reinforce the value of staying. Display the subscriber's current loyalty tier and the benefit attached to the next milestone in their self-service portal.</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F766E"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07</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RENEWALS &amp; RETENTION</w:t>
            </w:r>
          </w:p>
          <w:p>
            <w:r>
              <w:rPr>
                <w:rFonts w:ascii="Arial" w:cs="Arial" w:eastAsia="Arial" w:hAnsi="Arial"/>
                <w:i/>
                <w:iCs/>
                <w:color w:val="94A3B8"/>
                <w:sz w:val="19"/>
                <w:szCs w:val="19"/>
              </w:rPr>
              <w:t xml:space="preserve">Maximise subscriber lifetime value by keeping renewals seamless and winning back those who leave.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F766E"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F766E"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CFBF1" w:val="clear"/>
            <w:tcMar>
              <w:top w:type="dxa" w:w="140"/>
              <w:left w:type="dxa" w:w="180"/>
              <w:bottom w:type="dxa" w:w="140"/>
              <w:right w:type="dxa" w:w="180"/>
            </w:tcMar>
            <w:vAlign w:val="center"/>
          </w:tcPr>
          <w:p>
            <w:r>
              <w:rPr>
                <w:rFonts w:ascii="Arial" w:cs="Arial" w:eastAsia="Arial" w:hAnsi="Arial"/>
                <w:b/>
                <w:bCs/>
                <w:color w:val="0F766E"/>
                <w:sz w:val="19"/>
                <w:szCs w:val="19"/>
              </w:rPr>
              <w:t xml:space="preserve">Auto-Renewal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automatic subscription renewal as the default behaviour for all paid plans, ensuring continuity of access and revenue without requiring subscribers to take any action at each billing period end. Present auto-renewal terms clearly at the point of subscription signup with transparent pre-renewal notification commitments. Allow individual subscribers to opt out of auto-renewal from their self-service portal, converting their subscription to a manual renewal that expires at period end without automatic charge. At the platform level, configure minimum notice periods for non-renewal and the post-expiry grace window before access is revoked.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F766E"/>
                <w:sz w:val="19"/>
                <w:szCs w:val="19"/>
              </w:rPr>
              <w:t xml:space="preserve">Renewal Reminder Notifications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Send a multi-stage renewal reminder sequence to all auto-renewing subscribers giving advance notice of upcoming charges. A standard sequence delivers an informational renewal notice 14 days before the renewal date summarising what will be charged and when, a detailed pre-renewal email 7 days before highlighting the value delivered during the current period and what the next period offers, and a final same-day charge confirmation email at the moment the renewal payment is processed. Customise reminder content to reinforce plan value through specific feature usage highlights or personalised impact statistics pulled from the subscriber's usage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CFBF1" w:val="clear"/>
            <w:tcMar>
              <w:top w:type="dxa" w:w="140"/>
              <w:left w:type="dxa" w:w="180"/>
              <w:bottom w:type="dxa" w:w="140"/>
              <w:right w:type="dxa" w:w="180"/>
            </w:tcMar>
            <w:vAlign w:val="center"/>
          </w:tcPr>
          <w:p>
            <w:r>
              <w:rPr>
                <w:rFonts w:ascii="Arial" w:cs="Arial" w:eastAsia="Arial" w:hAnsi="Arial"/>
                <w:b/>
                <w:bCs/>
                <w:color w:val="0F766E"/>
                <w:sz w:val="19"/>
                <w:szCs w:val="19"/>
              </w:rPr>
              <w:t xml:space="preserve">Pre-Expiry Alerts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Trigger a precisely timed pre-expiry alert sequence for subscriptions approaching their end date — whether manual renewals, fixed-term contracts, or non-renewing promotional plans. Deliver alerts at the 7-day, 3-day, and 1-day marks before expiry with escalating urgency in messaging and a direct one-click renewal link. For subscribers on plans with manual renewal who have not yet renewed within the alert window, supplement email alerts with in-app banner notifications displayed during active sessions and, where consent is given, SMS reminders to maximise the chance of timely renewal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F766E"/>
                <w:sz w:val="19"/>
                <w:szCs w:val="19"/>
              </w:rPr>
              <w:t xml:space="preserve">Win-Back Campaign for Cancelled Subscribers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Execute automated re-engagement campaigns targeting subscribers who have cancelled their subscription within a configurable lookback window. Deploy a sequenced win-back email series beginning with a genuine feedback request, followed by a demonstration of new features or improvements made since they left, and culminating in a compelling return offer — such as an extended free trial, a first-period discount, or a feature upgrade. Time the campaign sequence thoughtfully to avoid pestering while the cancellation decision is fresh, and automatically suppress win-back messages once a re-subscription event is detected.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CFBF1" w:val="clear"/>
            <w:tcMar>
              <w:top w:type="dxa" w:w="140"/>
              <w:left w:type="dxa" w:w="180"/>
              <w:bottom w:type="dxa" w:w="140"/>
              <w:right w:type="dxa" w:w="180"/>
            </w:tcMar>
            <w:vAlign w:val="center"/>
          </w:tcPr>
          <w:p>
            <w:r>
              <w:rPr>
                <w:rFonts w:ascii="Arial" w:cs="Arial" w:eastAsia="Arial" w:hAnsi="Arial"/>
                <w:b/>
                <w:bCs/>
                <w:color w:val="0F766E"/>
                <w:sz w:val="19"/>
                <w:szCs w:val="19"/>
              </w:rPr>
              <w:t xml:space="preserve">Churn Risk Flagging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Identify subscribers displaying behavioural patterns predictive of upcoming cancellation through automated churn risk scoring applied across the subscriber base. Risk indicators include declining product login frequency, unused premium features, multiple unresolved support tickets, missed payment events, downgrade requests, prolonged pauses, and negative survey responses. Flag high-risk subscribers automatically in the customer success team's queue with a recommended intervention action based on the specific risk factors detected. Track intervention outcomes to improve the predictive model's accuracy over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F766E"/>
                <w:sz w:val="19"/>
                <w:szCs w:val="19"/>
              </w:rPr>
              <w:t xml:space="preserve">Cancellation Reason Capture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Intercept the cancellation flow with a structured cancellation reason survey requiring subscribers to select a primary reason for cancellation from a curated list — price, missing feature, switching to competitor, no longer needed, technical issues, poor support, or other. Capture an optional free-text elaboration field for qualitative insight beyond the categorised reason. Aggregate cancellation reason data in the churn analytics dashboard to identify systematic product, pricing, or service issues driving avoidable churn. Use reason data to trigger specific automated retention offers — for example, a discount offer surfaced immediately to price-sensitive cancellors.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CFBF1" w:val="clear"/>
            <w:tcMar>
              <w:top w:type="dxa" w:w="140"/>
              <w:left w:type="dxa" w:w="180"/>
              <w:bottom w:type="dxa" w:w="140"/>
              <w:right w:type="dxa" w:w="180"/>
            </w:tcMar>
            <w:vAlign w:val="center"/>
          </w:tcPr>
          <w:p>
            <w:r>
              <w:rPr>
                <w:rFonts w:ascii="Arial" w:cs="Arial" w:eastAsia="Arial" w:hAnsi="Arial"/>
                <w:b/>
                <w:bCs/>
                <w:color w:val="0F766E"/>
                <w:sz w:val="19"/>
                <w:szCs w:val="19"/>
              </w:rPr>
              <w:t xml:space="preserve">Exit Survey on Cancellation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Deploy a short exit survey to subscribers who complete a cancellation request, capturing more detailed qualitative feedback about their experience with the product and service beyond the primary cancellation reason dropdown. Include questions about overall satisfaction, likelihood of returning, likelihood of recommending the platform to others despite cancelling, and an open-ended suggestion for the single most important improvement that would have retained them. Deliver exit survey responses to the product and customer success teams in a daily digest report, flagging any responses containing urgent or reputationally sensitive content for immediate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F766E"/>
                <w:sz w:val="19"/>
                <w:szCs w:val="19"/>
              </w:rPr>
              <w:t xml:space="preserve">Re-Subscription Flow</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 streamlined, low-friction re-subscription path for formerly cancelled subscribers who wish to restart their subscription. When a cancelled subscriber logs in to their account, surface a personalised re-subscription prompt highlighting any improvements made since they left and presenting their previous plan or an upgraded option as the recommended restart choice. Pre-populate the checkout with their previously used payment method and billing details to minimise re-entry effort. Apply any win-back promotional offer automatically to the checkout total. Restore access immediately upon confirmed payment with no manual provisioning delay.</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7C3AED"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08</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ACCESS &amp; ENTITLEMENTS</w:t>
            </w:r>
          </w:p>
          <w:p>
            <w:r>
              <w:rPr>
                <w:rFonts w:ascii="Arial" w:cs="Arial" w:eastAsia="Arial" w:hAnsi="Arial"/>
                <w:i/>
                <w:iCs/>
                <w:color w:val="94A3B8"/>
                <w:sz w:val="19"/>
                <w:szCs w:val="19"/>
              </w:rPr>
              <w:t xml:space="preserve">Precise, automated control over what every subscriber can access, use, and consume.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7C3AED"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7C3AED"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Feature Access Control Per Plan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exactly which platform features, modules, tools, and capabilities are accessible to subscribers on each plan tier through a centralised entitlement configuration matrix. Toggle individual feature access on or off per plan without code changes, allowing product and commercial teams to adjust plan boundaries independently of engineering deployments. When a subscriber attempts to access a gated feature not included in their current plan, display a contextual upgrade prompt explaining the feature's value and offering a direct one-click path to the plan tier that unlocks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Content Gating by Plan Tier</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Gate specific content assets — premium articles, advanced course modules, research reports, exclusive video content, downloadable templates, or data exports — behind defined plan tiers. Subscribers on lower plans see gated content previews with a clear paywall message and upgrade call-to-action, rather than encountering a confusing 404 or permission error. Configure which content categories are accessible per plan and whether partial previews are shown before the gate or full descriptions without access. Track gated content encounter events per subscriber as intent signals informing upgrade opportunity outreach.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Usage Limits Per Plan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Enforce quantified usage limits defining the maximum amount of a countable resource each plan tier permits per billing period — such as the number of active projects, API requests per month, team seats, file storage capacity in gigabytes, video upload minutes, report exports, or active automations. Limits are enforced in real time with the platform preventing resource creation or consumption once the limit is reached and presenting a clear over-limit message with the usage count, the plan limit, and an upgrade path. Configure soft limits with warning notifications at 80% and 90% utilisation before the hard limit is reached.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Overage Handling &amp; Alerts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the behaviour when a subscriber exceeds their plan's usage limit: hard block preventing additional consumption until the next billing period or an upgrade is completed, automatic overage billing charging a per-unit rate for consumption above the plan limit, or temporary grace allowance permitting a configurable percentage over-limit before enforcement. Send proactive overage alert notifications to the subscriber when their usage reaches configured warning thresholds — typically at 75%, 90%, and 100% of limit — giving them actionable warning before hitting the ceiling.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Add-On / Extra Feature Purchase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Offer purchasable add-ons that extend an existing subscription's capabilities without requiring a full plan upgrade. Add-ons can include additional seats beyond the plan's default allocation, extra storage capacity, specific premium modules, priority support tiers, whitelabelling options, additional API rate limit increases, or event-specific expanded capacity. Display available add-ons in the subscriber self-service portal with clear descriptions, pricing, and the incremental value they deliver. Charge add-ons on the same billing cycle as the base subscription with prorated charges applied if purchased mid-period.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Access Revocation on Cancellation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revoke a cancelled subscriber's access to plan-gated features and content at the appropriate moment according to the organisation's configured revocation policy — either immediately upon confirmed cancellation or at the natural end of the paid billing period to honour already-paid access time. Send the subscriber a clear access revocation notice specifying the exact date and time their access will end, what data they should export before then, and how long their data will be retained before deletion. Maintain read-only data access for a configurable post-revocation window to allow data export even after feature access is removed.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Grace Period Configuration After Expiry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 post-expiry grace period during which a subscriber whose plan has expired — due to non-renewal, failed payment, or plan termination — retains a limited form of access rather than facing immediate hard lockout. Grace period access typically provides read-only visibility into existing data without the ability to create new records or use active features. Set the grace period length from 1 to 30 days depending on the product's data sensitivity and the commercial preference for urgency versus goodwill. Use the grace period window to deliver targeted renewal conversion messages while the subscriber can still see the value of what they would lose.</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B91C1C"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09</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COMMUNICATION &amp; NOTIFICATIONS</w:t>
            </w:r>
          </w:p>
          <w:p>
            <w:r>
              <w:rPr>
                <w:rFonts w:ascii="Arial" w:cs="Arial" w:eastAsia="Arial" w:hAnsi="Arial"/>
                <w:i/>
                <w:iCs/>
                <w:color w:val="94A3B8"/>
                <w:sz w:val="19"/>
                <w:szCs w:val="19"/>
              </w:rPr>
              <w:t xml:space="preserve">The right message, to the right subscriber, through the right channel, at precisely the right moment.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B91C1C"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B91C1C"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Welcome &amp; Onboarding Emails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Trigger a carefully crafted onboarding email sequence that begins at the moment of signup and continues through the critical first days and weeks of a new subscription. The sequence is structured to deliver the right information at the right time: an immediate welcome email with access confirmation and first-step instructions, a day-two feature introduction highlighting a key value-generating action the subscriber has not yet completed, a one-week usage check-in with personalised progress data if available, and a two-week milestone email celebrating early engagement and surfacing next-level features. All onboarding emails are fully customisable through the template builder.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Payment Success / Failure Alerts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Send transactional payment notification emails for every billing event — successful charge confirmations with invoice attached, first payment welcome messages with receipt, recurring renewal charge confirmations, and payment failure alerts with specific guidance on resolving the issue depending on the detected failure reason (insufficient funds, expired card, bank declined). Failed payment notifications are worded to be helpful rather than alarming, directing subscribers to the specific resolution action needed — updating card details, contacting their bank, or choosing an alternative payment method — with a direct link to the payment method update page in the self-service portal.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Renewal Reminders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Automate the full renewal reminder communication sequence covering both upcoming auto-renewal notifications for subscribers who will be charged automatically and manual renewal prompts for subscribers whose subscriptions expire without auto-charge. Configure the precise timing, channel, and content of each reminder step in the sequence from the communication settings panel. Personalise renewal reminders with the subscriber's name, plan name, renewal amount, renewal date, and a summary of value delivered during the current period. Test and preview the complete reminder sequence before activating it to ensure every message renders correctly across all major email clients and devices.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Plan Change Confirmations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Send an automated confirmation communication immediately following every plan change event — upgrade, downgrade, add-on purchase, or cycle length modification. The confirmation email details the previous plan, the new plan, the effective date of the change, any prorated charge or credit applied, the new regular billing amount and date, and the feature changes resulting from the plan modification. For upgrades, include a brief highlight of the newly unlocked features and a suggested first action to take advantage of the upgrade immediately. For downgrades, clearly state any features that will no longer be accessible from the change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Cancellation Confirmations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Deliver a clear and professionally worded cancellation confirmation to every subscriber who successfully completes a cancellation request, confirming the date on which access will end, any outstanding balance or refund due, data retention period and deletion timeline, and the steps to re-subscribe in the future if they change their mind. The cancellation confirmation strikes a careful tone — acknowledging the subscriber's decision respectfully without excessive negativity while leaving the door open for future re-engagement by reminding them how to return and including a brief summary of any improvements announced since they joined.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Re-Engagement Campaigns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Deploy targeted re-engagement email campaigns to subscriber segments identified as at risk of lapsing or already cancelled. Campaigns are configured as multi-step sequences with defined send intervals, personalised content based on the subscriber's plan history and usage data, and a progressively escalating incentive structure — informational first step, value-demonstration second step, and conversion offer final step. Monitor per-campaign open rates, click rates, and re-subscription conversion rates to continuously optimise messaging. Apply automatic suppression rules to remove subscribers who re-subscribe or explicitly unsubscribe during the campaign sequence.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Broadcast Announcements to Subscribers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Send platform-wide or segment-targeted broadcast announcements directly to subscribers covering product news, feature releases, policy updates, pricing changes, scheduled maintenance windows, and service improvement announcements. Compose broadcasts in the rich-text email builder with full branding control and preview across devices before sending. Schedule broadcasts for optimal delivery timing or send immediately for time-sensitive communications. Track delivery, open, and click metrics per broadcast and use segmentation to ensure announcements reach only the subscriber groups for whom they are relevant.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Custom Notification Scheduling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fully customised notification workflows triggered by any combination of subscription lifecycle events, usage milestones, time intervals, or date conditions. Custom notifications extend beyond the platform's standard automated messages to cover organisation-specific communications such as annual contract review invitations, product training webinar invitations timed to the subscriber's plan anniversary, feature adoption nudges triggered when a subscriber has not used a specific capability within their plan for 30 days, or milestone celebration messages for subscribers reaching defined usage achievements.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In-App &amp; Push Notification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Deliver important subscription status communications not just via email but also through in-app banner notifications displayed within the subscriber's active product session and push notifications sent to their mobile device if the platform has a native mobile application. In-app notifications are particularly effective for time-sensitive actions — upcoming expiry warnings, failed payment alerts, and feature usage limit approach warnings — where the subscriber may not check their email promptly but will see the notification during their next active session. Configure per-event channel priority rules determining whether email alone, in-app alone, or multi-channel delivery is used for each notification type.</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D4ED8"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10</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SUBSCRIBER SELF-SERVICE PORTAL</w:t>
            </w:r>
          </w:p>
          <w:p>
            <w:r>
              <w:rPr>
                <w:rFonts w:ascii="Arial" w:cs="Arial" w:eastAsia="Arial" w:hAnsi="Arial"/>
                <w:i/>
                <w:iCs/>
                <w:color w:val="94A3B8"/>
                <w:sz w:val="19"/>
                <w:szCs w:val="19"/>
              </w:rPr>
              <w:t xml:space="preserve">Empower subscribers to manage every aspect of their subscription independently, reducing support load.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1D4ED8"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1D4ED8"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View &amp; Manage Active Subscriptions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subscribers with a clear, comprehensive subscription overview page showing their current plan name, plan tier, features included, billing cycle, next renewal date, current period start and end dates, and subscription status. Display all active subscriptions side by side for accounts with multiple subscriptions or add-ons, with the relationship between each subscription and its associated entitlements clearly mapped. Surface the subscriber's real-time usage data against their plan limits directly on the subscription overview so they always have a clear picture of where they stand relative to their allocation.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D4ED8"/>
                <w:sz w:val="19"/>
                <w:szCs w:val="19"/>
              </w:rPr>
              <w:t xml:space="preserve">Upgrade / Downgrade Plan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Enable subscribers to change their subscription plan entirely from within the self-service portal through a plan comparison interface that clearly presents the features gained or lost by moving to each available plan alongside the pricing difference per billing cycle. Show a real-time preview of any prorated charge or credit that will result from the change before the subscriber confirms. Process the plan change immediately upon confirmation with automatic entitlement adjustments, prorated billing, and a confirmation email delivered within seconds — without requiring any administrator involvement for standard plan-to-plan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Pause or Cancel Subscription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subscribers to independently pause or cancel their subscription through the self-service portal without needing to contact support, while presenting contextual retention interventions during the flow that may resolve the underlying concern driving the decision. The pause flow offers configurable pause duration options and explains the billing treatment during the pause period. The cancellation flow presents a personalised retention offer based on the subscriber's history and the reason they select from the cancellation reason dropdown, giving the subscriber a compelling reason to reconsider before the cancellation is confirmed.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D4ED8"/>
                <w:sz w:val="19"/>
                <w:szCs w:val="19"/>
              </w:rPr>
              <w:t xml:space="preserve">Update Payment Method</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subscribers to add new payment methods, set a different existing payment method as their primary billing card, and remove outdated payment methods from their account without contacting support. Surface payment method update prompts proactively when a saved card approaches its expiry date with a banner notification in the portal well in advance of the next billing date. After a failed payment, direct the subscriber to the payment method update page with a clear explanation that updating their card will immediately re-trigger the failed charge and restore their subscription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Download Invoices &amp; Receipts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Make every invoice and receipt generated for the subscriber's account permanently downloadable from a chronological billing history section of the self-service portal. Display each invoice with its date, amount, payment status, and plan covered. Allow one-click PDF download for any individual invoice or batch export of all invoices within a selected date range for accounting and expense claim purposes. For corporate accounts, allow authorised billing contacts to access invoices independently without requiring the primary account holder to retrieve and forward documents on their behalf.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D4ED8"/>
                <w:sz w:val="19"/>
                <w:szCs w:val="19"/>
              </w:rPr>
              <w:t xml:space="preserve">View Usage &amp; Entitlements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Show subscribers a real-time usage dashboard within the self-service portal displaying their current consumption against every quantifiable limit in their plan — seats used versus seats allowed, API calls consumed this period, storage used versus storage allocated, exports remaining, and active projects versus project limit. Present usage visually using progress bars with colour-coded warning states that transition from green to amber at 75% utilisation and red at 90% to prompt timely upgrade consideration. Include a projected end-of-period usage estimate based on current consumption velocity to help subscribers plan ahead.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BEAFE" w:val="clear"/>
            <w:tcMar>
              <w:top w:type="dxa" w:w="140"/>
              <w:left w:type="dxa" w:w="180"/>
              <w:bottom w:type="dxa" w:w="140"/>
              <w:right w:type="dxa" w:w="180"/>
            </w:tcMar>
            <w:vAlign w:val="center"/>
          </w:tcPr>
          <w:p>
            <w:r>
              <w:rPr>
                <w:rFonts w:ascii="Arial" w:cs="Arial" w:eastAsia="Arial" w:hAnsi="Arial"/>
                <w:b/>
                <w:bCs/>
                <w:color w:val="1D4ED8"/>
                <w:sz w:val="19"/>
                <w:szCs w:val="19"/>
              </w:rPr>
              <w:t xml:space="preserve">Manage Billing Address &amp; Details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subscribers to update their billing address, company name, VAT registration number, and other invoice metadata through the self-service portal at any time. Changes to billing address and company details are applied to all subsequent invoices immediately while leaving historical invoices unchanged. For B2B accounts, provide a separate bill-to contact management area allowing a designated finance team contact to be given restricted portal access specifically for invoice management and payment method updates without exposure to account usage data or product configuration settings.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D4ED8"/>
                <w:sz w:val="19"/>
                <w:szCs w:val="19"/>
              </w:rPr>
              <w:t xml:space="preserve">Contact Support from Portal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Integrate direct support access points within the self-service portal so subscribers can reach assistance without leaving the platform. Options include a contextual help article search surfacing knowledge base content relevant to the page the subscriber is currently viewing, a live chat widget connected to the support team during configured business hours, a support ticket submission form with the subscriber's account context pre-populated to save them repeating details the support team can already see, and a callback scheduling option for enterprise subscribers with dedicated support entitlements.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5966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11</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TRIALS &amp; FREEMIUM</w:t>
            </w:r>
          </w:p>
          <w:p>
            <w:r>
              <w:rPr>
                <w:rFonts w:ascii="Arial" w:cs="Arial" w:eastAsia="Arial" w:hAnsi="Arial"/>
                <w:i/>
                <w:iCs/>
                <w:color w:val="94A3B8"/>
                <w:sz w:val="19"/>
                <w:szCs w:val="19"/>
              </w:rPr>
              <w:t xml:space="preserve">Reduce acquisition friction, demonstrate product value, and convert the right users into paying subscribers.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Free Trial Period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 trial period of any duration — from a 48-hour preview to a 90-day extended evaluation — during which new users access the product at no charge before committing to a paid plan. Configure trials independently per plan so a basic plan might offer a 7-day trial while a premium plan offers a 30-day trial to reflect the additional time needed to demonstrate higher-tier value. Set trial start triggers (immediately on account creation, or manually activated by the user), trial end actions (automatic conversion to paid, access suspension pending user decision, or downgrade to free tier), and the exact feature set accessible during the trial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Credit Card Required / Not Required</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each trial type as either requiring a valid payment method to be saved at signup or allowing trial access with no payment details collected. Requiring a card upfront reduces trial-to-paid friction at conversion since billing begins automatically on trial expiry, typically resulting in higher nominal conversion rates but lower trial signup volumes. Removing the card requirement maximises trial signup volume by eliminating purchase-intent friction, at the cost of a more deliberate conversion prompt required at expiry. A/B test both approaches on the same plan to identify the optimal configuration for each audience segment and pricing tier.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Trial to Paid Conversion Flow</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 a frictionless conversion journey presented to trial users as their trial expiry date approaches. The conversion flow surfaces in-app upgrade prompts during active sessions in the final days of the trial, accompanied by a personalised email sequence highlighting the specific features the user engaged with most during the trial as evidence of value received. The checkout step for trial conversion pre-populates with the recommended plan based on the user's trial usage patterns and any saved payment method, minimising steps to complete conversion. Configure a post-conversion welcome message distinct from the initial signup welcome that celebrates the transition to paid subscriber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Trial Expiry Notifications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Implement a precise trial expiry notification sequence designed to maximise conversion in the window when product engagement is highest. Deliver a feature-highlight email seven days before expiry summarising what the user has achieved and what they stand to lose. Follow with a conversion-focused email three days before expiry presenting the recommended plan with pricing, a limited-time trial extension offer if configured, and a testimonial from a comparable customer. Send a final-day countdown notification on the morning of expiry day with a prominent upgrade button. After expiry, send a post-expiry re-engagement message offering a short extension window to complete conversion.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Freemium Usage Cap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Enforce the quantitative usage caps that define the freemium plan's boundaries — such as a maximum of five active projects, 500 API calls per month, 1GB of storage, or a 2-seat team limit — in real time, preventing resource creation beyond the configured limit with a contextual upgrade prompt rather than a generic error message. Display current freemium usage versus limit clearly within the product interface so free users always understand their position relative to the boundary. Configure the specific trigger points at which in-product upgrade prompts appear based on the individual user's proximity to their limits.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Trial Extension (Manual / Automated)</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Extend a trial period beyond its original expiry date either manually by an administrator on a case-by-case basis for high-potential prospects who need more time to complete their evaluation, or automatically based on configured rules — for example, automatically extending the trial by 7 days if the user has not yet performed a defined set of key activation actions indicating they have not properly experienced the product's value. Log all trial extensions in the subscriber's history with the reason, duration, and who authorised the extension. Monitor extended-trial conversion rates separately from standard trial cohorts to evaluate the ROI of extension policies.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Trial Performance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Measure the effectiveness of each trial configuration through a dedicated trial analytics dashboard tracking signup-to-trial activation rate, active trial users versus total trials started, feature adoption rates within trial cohorts (identifying which features drive conversion), trial-to-paid conversion rate, time-to-conversion distribution, average revenue per converted trial, and early churn rate of trial-converted subscribers compared to directly signed-up paid subscribers. Segment all metrics by trial duration, trial type, plan level, traffic source, and geographic market to identify optimal trial configuration combinations for each audience.</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369A1"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12</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ANALYTICS &amp; REPORTING</w:t>
            </w:r>
          </w:p>
          <w:p>
            <w:r>
              <w:rPr>
                <w:rFonts w:ascii="Arial" w:cs="Arial" w:eastAsia="Arial" w:hAnsi="Arial"/>
                <w:i/>
                <w:iCs/>
                <w:color w:val="94A3B8"/>
                <w:sz w:val="19"/>
                <w:szCs w:val="19"/>
              </w:rPr>
              <w:t xml:space="preserve">The metrics that matter most — presented clearly, updated in real time, and exportable on demand.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369A1"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369A1"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Total Active Subscribers Count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Display a real-time count of all currently active paying subscribers across all plans at the top of the analytics dashboard as the primary health indicator of the subscription business. Break down the active subscriber count by plan tier, billing cycle, geographic region, acquisition channel, and subscriber tenure cohort. Track the net change in active subscriber count day-over-day, week-over-week, and month-over-month with directional indicators showing whether the business is in a net growth or net contraction phase. Alert administrators when the active subscriber count drops below a defined threshold indicating unusual churn acceleration.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Monthly Recurring Revenue (MRR)</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Calculate and display Monthly Recurring Revenue — the normalised monthly value of all active subscriptions — as the central financial metric of the subscription business. Normalise annual and quarterly subscriptions to their monthly equivalent for inclusion in MRR. Break MRR into its component movements: New MRR from newly activated subscriptions, Expansion MRR from upgrades and add-on purchases, Contraction MRR from downgrades, and Churned MRR from cancellations and expirations. The net sum of these four components equals the month-over-month MRR change, providing a precise picture of revenue momentum across its contributing drivers.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Annual Recurring Revenue (ARR)</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Present ARR as a simple annualisation of current MRR multiplied by 12, providing the high-level revenue figure most commonly used in board reporting, investor communications, and strategic benchmarking. Display ARR alongside a trailing-12-month ARR trend chart showing the compound growth trajectory. Calculate ARR by plan tier to show the relative contribution of each plan to total recurring revenue. Provide an ARR run-rate projection based on current MRR and the trailing-3-month growth rate to give a forward-looking revenue estimate for financial planning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Churn Rate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Calculate and track both subscriber churn rate (percentage of active subscribers who cancelled in a defined period) and revenue churn rate (MRR lost to cancellations and downgrades as a percentage of opening period MRR). Display churn rates as monthly figures and trailing-12-month averages to smooth month-to-month volatility. Segment churn by plan tier, subscription tenure cohort, geographic market, and acquisition channel to identify whether churn is concentrated in specific segments requiring targeted intervention. Track net revenue churn — which accounts for expansion MRR offsetting cancellation and downgrade losses — as the most commercially meaningful churn measure.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Trial Conversion Rate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Measure the percentage of trial activations that convert to a paid subscription within the standard conversion window, tracked at the cohort level by trial start month to enable time-matched performance comparisons across periods. Break conversion rate down by trial duration, plan tier, traffic source, and whether a card was collected at trial signup to identify the configuration variables with the greatest impact on conversion performance. Track the time-to-conversion distribution within converting cohorts to understand how conversion urgency relates to the trial experience, and calculate the revenue impact of a one-percentage-point conversion rate improvement to prioritise optimisation initiatives.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Plan-Wise Subscriber Breakdown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Display a clear breakdown of total active subscribers distributed across each subscription plan tier in both absolute count and percentage share. Show the subscriber distribution as a visual chart alongside a table presenting each plan's subscriber count, MRR contribution, average subscription tenure, and churn rate. Track how the plan distribution evolves over time as product improvements, pricing changes, and promotional campaigns shift subscriber mix. Identify plan concentration risk — where an excessive proportion of revenue is concentrated in a single plan tier vulnerable to competitive disruption or pricing sensitivity.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Revenue Per Plan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a per-plan revenue report showing the total MRR, ARR, average revenue per subscriber, revenue growth rate, and revenue churn rate for each subscription plan. Cross-reference revenue metrics with subscriber count metrics to calculate average revenue per user (ARPU) at the plan level and track how ARPU evolves as the subscriber mix within each plan shifts across pricing tiers. Use plan-level revenue data to evaluate the commercial contribution of each plan to the total business and identify underperforming plans that may warrant repositioning, repricing, or discontinuation.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Subscriber Growth Over Time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Visualise the subscription business's growth trajectory through a multi-series time-series chart showing cumulative active subscribers, new subscribers added, subscribers lost to churn, and net subscriber change plotted across a configurable date range up to the full history of the platform. Display growth rate annotations showing month-over-month and year-over-year percentage growth at each data point. Overlay promotional campaign periods, pricing changes, and product launch events on the growth chart to visually correlate growth inflection points with their operational drivers.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Failed Payment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 comprehensive failed payments report showing the total count and value of failed payment attempts in a selected period, the distribution of failure reasons (insufficient funds, expired card, declined by bank, invalid card details, etc.), the recovery rate achieved through the dunning process, the average number of retries required before recovery, and the residual value permanently lost to unrecovered failed payments. Track failed payment trends over time to detect deteriorating payment method quality in the subscriber base and adjust dunning aggressiveness or payment method update prompting accordingly.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Lifetime Value (LTV) Per Subscriber</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Calculate the average subscriber lifetime value — the total revenue generated by a subscriber from first payment through final cancellation — at the plan level, acquisition channel level, and geographic market level. LTV is computed from the average subscription duration and average monthly revenue per subscriber for each cohort segment. Compare LTV against customer acquisition cost (CAC) at the channel level to calculate the LTV:CAC ratio, the fundamental unit economics metric determining the long-term profitability and scalability of each acquisition channel. Track LTV trend over time to measure whether product, pricing, and retention improvements are increasing average subscriber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Export Reports (PDF / Excel)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Export any analytics report or dashboard view in PDF format for presentation in board meetings, investor briefings, and stakeholder communications, with the organisation's branding applied to the report layout and a generated timestamp and period label included. Export raw underlying data in Excel and CSV formats for analysis in spreadsheet tools, import into business intelligence platforms, and reconciliation with external accounting systems. Schedule automated report exports at weekly or monthly intervals for routine reporting workflows, with the generated files delivered to designated recipients via secure email or deposited in a connected cloud storage location.</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6D28D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13</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INTEGRATIONS &amp; AUTOMATION</w:t>
            </w:r>
          </w:p>
          <w:p>
            <w:r>
              <w:rPr>
                <w:rFonts w:ascii="Arial" w:cs="Arial" w:eastAsia="Arial" w:hAnsi="Arial"/>
                <w:i/>
                <w:iCs/>
                <w:color w:val="94A3B8"/>
                <w:sz w:val="19"/>
                <w:szCs w:val="19"/>
              </w:rPr>
              <w:t xml:space="preserve">Connect your subscription platform seamlessly to every tool in your business technology stack.</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6D28D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6D28D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Payment Gateway Integrations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Connect to all major payment processing platforms through pre-built, maintained integrations that handle the full payment lifecycle including initial charge, recurring billing, payment method tokenisation, dispute management, refund processing, and payout reconciliation. Stripe provides the most comprehensive feature coverage including card payments, bank debits, and regional payment methods. Razorpay enables UPI, Indian card networks, and Indian net banking for South Asian markets. PayPal supports broad consumer adoption through the PayPal wallet and PayPal Credit. Additional gateway integrations including Braintree, Square, and regional providers can be configured based on geographic market requirements.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6D28D9"/>
                <w:sz w:val="19"/>
                <w:szCs w:val="19"/>
              </w:rPr>
              <w:t xml:space="preserve">CRM Integration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Synchronise subscription and subscriber data bidirectionally with CRM platforms including Salesforce, HubSpot, Pipedrive, and Zoho CRM. Subscription events — new signups, plan upgrades, cancellations, and renewal completions — are pushed to the CRM as contact record updates and activity log entries in real time, keeping sales and customer success teams working from current subscription intelligence without manual data entry. CRM contact and company data enriches subscriber profiles in the subscription platform with firmographic and relationship data captured during the sales process. Configure field mapping, sync frequency, and conflict resolution rules for each CRM connection.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Email Marketing Tool Integration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Connect to email marketing platforms including Mailchimp, Campaign Monitor, Klaviyo, ActiveCampaign, and Brevo to synchronise subscriber lists and trigger platform-native email campaigns from subscription lifecycle events. New subscribers are automatically added to onboarding sequences in the connected email marketing platform. Plan changes update list segment membership. Cancellation events move subscribers to win-back sequences. Usage milestones trigger feature adoption nurture flows. Bidirectional synchronisation ensures email marketing platform unsubscribe events are respected by the subscription platform's communication engine to maintain regulatory compliance.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6D28D9"/>
                <w:sz w:val="19"/>
                <w:szCs w:val="19"/>
              </w:rPr>
              <w:t xml:space="preserve">Webhook Support for Subscription Events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Emit real-time HTTP webhook notifications for every significant subscription lifecycle event — subscription created, payment succeeded, payment failed, plan changed, subscription cancelled, trial started, trial converted, trial expired, subscription paused, and subscription resumed — to any configured endpoint URL in the organisation's infrastructure. Webhooks carry a structured JSON payload with complete event context enabling receiving systems to take immediate automated action without polling the platform's API. Configure retry logic for failed webhook deliveries, signature verification for security, and per-endpoint event filtering to receive only the specific events relevant to each connected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API Access for Custom Integrations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 comprehensive, well-documented REST API enabling development teams to build custom integrations, automate administrative workflows, embed subscription management functionality within proprietary applications, and query subscription data programmatically for custom reporting and business intelligence workloads. The API covers all platform capabilities including plan management, subscriber provisioning, billing operations, entitlement queries, and analytics data access. Implement API key authentication with configurable permission scopes, rate limiting with transparent limit headers, versioned endpoints for breaking change management, and an interactive API reference with live request testing capabilities.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6D28D9"/>
                <w:sz w:val="19"/>
                <w:szCs w:val="19"/>
              </w:rPr>
              <w:t xml:space="preserve">Zapier / Automation Tool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Publish a Zapier integration enabling non-technical team members to build automated workflows connecting the subscription platform to hundreds of third-party applications without writing code. Pre-built Zap templates for common automation use cases — adding new subscribers to a Google Sheet, sending a Slack message on a new paid signup, creating a task in Asana when a subscription is cancelled, or logging a revenue event in a financial dashboard — are available as starting points that users can clone and customise. Support additional no-code automation platforms including Make (formerly Integromat), n8n, and Pipedream through published trigger and action definitions.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Accounting Software Integration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Synchronise revenue, invoice, and payment data with accounting platforms including Xero, QuickBooks, and FreshBooks through pre-built integrations that eliminate manual bookkeeping of subscription transactions. Invoices generated by the subscription platform are automatically created as sales invoices in the connected accounting system with the correct account code mapping, tax treatment, and customer record linkage. Payments received are reconciled against the corresponding invoices. Refunds and credit notes are synchronised as accounting adjustments. Month-end revenue figures in the accounting system match subscription platform revenue reports without manual reconciliation effort.</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374151"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14</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B1D35"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ADMIN &amp; SETTINGS</w:t>
            </w:r>
          </w:p>
          <w:p>
            <w:r>
              <w:rPr>
                <w:rFonts w:ascii="Arial" w:cs="Arial" w:eastAsia="Arial" w:hAnsi="Arial"/>
                <w:i/>
                <w:iCs/>
                <w:color w:val="94A3B8"/>
                <w:sz w:val="19"/>
                <w:szCs w:val="19"/>
              </w:rPr>
              <w:t xml:space="preserve">Complete platform governance, compliance controls, and operational configuration for subscription administrators.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374151"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374151"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Role-Based Access Control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 granular permission structure governing what each user type can see and do within the platform administration interface. The super-administrator role has unrestricted access to all platform capabilities including subscriber data, financial records, plan configuration, and system settings. Billing managers access financial dashboards, invoice management, payout settings, and tax configuration without visibility into product configuration or subscriber personal data beyond billing details. Support agents access subscriber profiles and billing history for issue resolution without permission to make plan changes or access financial reports. Create custom roles with individually selected permission sets for organisations with non-standard team structures.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Custom Branding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Apply comprehensive brand customisation to every subscriber-facing element of the platform. Upload the organisation's primary logo and favicon, set the brand primary colour, secondary colour, and accent colour to match the design system, and configure the typography preferences for the subscriber portal and all generated documents. Apply branding to the subscriber self-service portal, checkout and payment pages, all email communication templates, generated PDF invoices and receipts, and the public-facing pricing page. Preview all branded surfaces before activation. White-label configurations completely remove platform vendor attribution for organisations selling subscriptions under their own brand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Subscription Policy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the organisation's subscription policies governing refund eligibility rules, cancellation notice period requirements, pause duration limits, minimum contract length enforcement, automatic plan downgrade policies, and data retention schedules post-cancellation. Policies are configured once at the platform level and applied consistently to all subscribers in automated workflows and self-service flows without requiring individual case-by-case decisions. Display the applicable policies clearly within the subscriber self-service portal and checkout flow so subscribers are fully informed before making subscription decisions, reducing policy-related support queries and disputes.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Tax &amp; Compliance Settings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all tax and regulatory compliance settings in a dedicated compliance management panel. Set the organisation's VAT, GST, or sales tax registration details that appear on generated invoices. Configure tax collection rules per jurisdiction using either the platform's built-in rate table or an integration with a dedicated tax compliance platform such as Avalara or TaxJar for automated jurisdiction determination and rate calculation. Manage GDPR data processing compliance through consent management tools, data subject access request processing workflows, and right-to-erasure execution. Store data processing agreements and privacy policy version history in the compliance document vault.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Audit Log / Activity History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comprehensive, immutable audit log recording every action taken within the platform administration interface by any user. Logged events include all subscriber record modifications, plan configuration changes, pricing updates, manual payment adjustments, refund approvals, role permission changes, API key generation and revocation, system setting modifications, and data export operations. Each log entry records the acting user's identity, the timestamp, the affected record, and the before-and-after state of changed fields. The audit log is searchable and filterable and can be exported for compliance documentation, security incident investigation, and financial audit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Multi-Vendor / Multi-Product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subscriptions across multiple distinct product lines, brands, or vendor accounts from within a single platform instance using a multi-product configuration that maintains complete separation of subscriber data, plan libraries, billing accounts, and reporting between products while providing consolidated cross-product analytics for the overarching organisation. Assign team members to specific product scopes preventing accidental cross-product data access. Configure independent branding, pricing, and policy settings per product. Generate both product-specific and consolidated financial reports enabling both individual product P&amp;L analysis and total portfolio performance measurement.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Data Export &amp; Backup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administrators with the ability to export complete platform data snapshots in structured formats for migration, compliance archiving, and offline analysis. Full data exports encompass all subscriber records, subscription histories, billing transactions, communication logs, and analytics datasets in a documented schema. Configure automated scheduled exports deposited to a designated secure cloud storage location at configurable intervals. Maintain platform-managed backup copies of all data with point-in-time restoration capability covering a minimum 30-day rolling window, with longer retention periods available for compliance-intensive industries. Document the data restoration process in the platform's disaster recovery procedures.</w:t>
            </w:r>
          </w:p>
        </w:tc>
      </w:tr>
    </w:tbl>
    <w:p>
      <w:pPr>
        <w:spacing w:after="2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center"/>
    </w:pPr>
    <w:r>
      <w:rPr>
        <w:rFonts w:ascii="Arial" w:cs="Arial" w:eastAsia="Arial" w:hAnsi="Arial"/>
        <w:color w:val="94A3B8"/>
        <w:sz w:val="16"/>
        <w:szCs w:val="16"/>
      </w:rPr>
      <w:t xml:space="preserve">© 2025 Subscription Management Platform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pPr>
    <w:r>
      <w:rPr>
        <w:rFonts w:ascii="Arial" w:cs="Arial" w:eastAsia="Arial" w:hAnsi="Arial"/>
        <w:color w:val="94A3B8"/>
        <w:sz w:val="16"/>
        <w:szCs w:val="16"/>
      </w:rPr>
      <w:t xml:space="preserve">Subscription Management Platform — Vendor Feature Documentation  |  2025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B1D35"/>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2026-03-09T13:45:50.581Z</dcterms:created>
  <dcterms:modified xsi:type="dcterms:W3CDTF">2026-03-09T13:45:50.582Z</dcterms:modified>
</cp:coreProperties>
</file>

<file path=docProps/custom.xml><?xml version="1.0" encoding="utf-8"?>
<Properties xmlns="http://schemas.openxmlformats.org/officeDocument/2006/custom-properties" xmlns:vt="http://schemas.openxmlformats.org/officeDocument/2006/docPropsVTypes"/>
</file>