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4E8C"/>
          <w:sz w:val="36"/>
          <w:szCs w:val="36"/>
        </w:rPr>
        <w:t xml:space="preserve">ECOSKILLER PLATFORM</w:t>
      </w:r>
    </w:p>
    <w:p>
      <w:pPr>
        <w:spacing w:before="0" w:after="120"/>
        <w:jc w:val="center"/>
      </w:pPr>
      <w:r>
        <w:rPr>
          <w:rFonts w:ascii="Arial" w:cs="Arial" w:eastAsia="Arial" w:hAnsi="Arial"/>
          <w:i/>
          <w:iCs/>
          <w:color w:val="475569"/>
          <w:sz w:val="26"/>
          <w:szCs w:val="26"/>
        </w:rPr>
        <w:t xml:space="preserve">Backend Microservice Technical Reference</w:t>
      </w:r>
    </w:p>
    <w:p>
      <w:pPr>
        <w:pBdr>
          <w:bottom w:val="single" w:color="1A4E8C" w:sz="6" w:space="6"/>
        </w:pBdr>
        <w:spacing w:before="60" w:after="60"/>
        <w:jc w:val="center"/>
      </w:pPr>
    </w:p>
    <w:p>
      <w:pPr>
        <w:spacing w:before="300" w:after="120"/>
        <w:jc w:val="center"/>
      </w:pPr>
    </w:p>
    <w:p>
      <w:pPr>
        <w:spacing w:before="60" w:after="60"/>
        <w:jc w:val="center"/>
      </w:pPr>
      <w:r>
        <w:rPr>
          <w:rFonts w:ascii="Courier New" w:cs="Courier New" w:eastAsia="Courier New" w:hAnsi="Courier New"/>
          <w:b/>
          <w:bCs/>
          <w:color w:val="0F7B6E"/>
          <w:sz w:val="40"/>
          <w:szCs w:val="40"/>
        </w:rPr>
        <w:t xml:space="preserve">candidate-performance-aggregator</w:t>
      </w:r>
    </w:p>
    <w:p>
      <w:pPr>
        <w:spacing w:before="120" w:after="600"/>
        <w:jc w:val="center"/>
      </w:pPr>
      <w:r>
        <w:rPr>
          <w:rFonts w:ascii="Arial" w:cs="Arial" w:eastAsia="Arial" w:hAnsi="Arial"/>
          <w:color w:val="475569"/>
          <w:sz w:val="24"/>
          <w:szCs w:val="24"/>
        </w:rPr>
        <w:t xml:space="preserve">Service Architecture &amp; Developer Documentation</w:t>
      </w:r>
    </w:p>
    <w:p>
      <w:pPr>
        <w:spacing w:before="40" w:after="40"/>
        <w:jc w:val="center"/>
      </w:pPr>
      <w:r>
        <w:rPr>
          <w:rFonts w:ascii="Arial" w:cs="Arial" w:eastAsia="Arial" w:hAnsi="Arial"/>
          <w:color w:val="475569"/>
          <w:sz w:val="20"/>
          <w:szCs w:val="20"/>
        </w:rPr>
        <w:t xml:space="preserve">Version 1.0  ·  Ecoskiller Infrastructure v15  ·  March 2026</w:t>
      </w:r>
    </w:p>
    <w:p>
      <w:r>
        <w:br w:type="page"/>
      </w:r>
    </w:p>
    <w:p>
      <w:pPr>
        <w:pStyle w:val="Heading1"/>
        <w:pBdr>
          <w:bottom w:val="single" w:color="1A4E8C" w:sz="4" w:space="4"/>
        </w:pBdr>
        <w:spacing w:before="360" w:after="160"/>
      </w:pPr>
      <w:r>
        <w:rPr>
          <w:rFonts w:ascii="Arial" w:cs="Arial" w:eastAsia="Arial" w:hAnsi="Arial"/>
          <w:b/>
          <w:bCs/>
          <w:color w:val="1A4E8C"/>
          <w:sz w:val="30"/>
          <w:szCs w:val="30"/>
        </w:rPr>
        <w:t xml:space="preserve">1. Service Name &amp; Identity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A4E8C"/>
                <w:sz w:val="20"/>
                <w:szCs w:val="20"/>
              </w:rPr>
              <w:t xml:space="preserve">Service Name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candidate-performance-aggregator</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A4E8C"/>
                <w:sz w:val="20"/>
                <w:szCs w:val="20"/>
              </w:rPr>
              <w:t xml:space="preserve">Service Type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Backend Microservice — Node.js (JavaScript)</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A4E8C"/>
                <w:sz w:val="20"/>
                <w:szCs w:val="20"/>
              </w:rPr>
              <w:t xml:space="preserve">Namespace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ecoskiller / prod (k3s Kubernetes)</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A4E8C"/>
                <w:sz w:val="20"/>
                <w:szCs w:val="20"/>
              </w:rPr>
              <w:t xml:space="preserve">Container Image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ecoskiller/candidate-performance-aggregator:prod-latest</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A4E8C"/>
                <w:sz w:val="20"/>
                <w:szCs w:val="20"/>
              </w:rPr>
              <w:t xml:space="preserve">Registry</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harbor.ecoskiller.internal</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A4E8C"/>
                <w:sz w:val="20"/>
                <w:szCs w:val="20"/>
              </w:rPr>
              <w:t xml:space="preserve">Deployment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GCP asia-south1 + AWS ap-south-1 (Active-Active Multi-Cloud)</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A4E8C"/>
                <w:sz w:val="20"/>
                <w:szCs w:val="20"/>
              </w:rPr>
              <w:t xml:space="preserve">Platform</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Ecoskiller — AI-Powered Talent Assessment &amp; Hiring (B2B SaaS)</w:t>
            </w:r>
          </w:p>
        </w:tc>
      </w:tr>
      <w:tr>
        <w:tc>
          <w:tcPr>
            <w:tcW w:type="dxa" w:w="3000"/>
            <w:tcBorders>
              <w:top w:val="single" w:color="CBD5E1" w:sz="1"/>
              <w:left w:val="single" w:color="CBD5E1" w:sz="1"/>
              <w:bottom w:val="single" w:color="CBD5E1" w:sz="1"/>
              <w:right w:val="single" w:color="CBD5E1" w:sz="1"/>
            </w:tcBorders>
            <w:shd w:fill="EBF3FB" w:val="clear"/>
            <w:tcMar>
              <w:top w:type="dxa" w:w="100"/>
              <w:left w:type="dxa" w:w="160"/>
              <w:bottom w:type="dxa" w:w="100"/>
              <w:right w:type="dxa" w:w="120"/>
            </w:tcMar>
          </w:tcPr>
          <w:p>
            <w:r>
              <w:rPr>
                <w:rFonts w:ascii="Arial" w:cs="Arial" w:eastAsia="Arial" w:hAnsi="Arial"/>
                <w:b/>
                <w:bCs/>
                <w:color w:val="1A4E8C"/>
                <w:sz w:val="20"/>
                <w:szCs w:val="20"/>
              </w:rPr>
              <w:t xml:space="preserve">Status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Designed — Deployment Pending (Infrastructure v15)</w:t>
            </w:r>
          </w:p>
        </w:tc>
      </w:tr>
    </w:tbl>
    <w:p>
      <w:pPr>
        <w:spacing w:before="40" w:after="40"/>
      </w:pPr>
    </w:p>
    <w:p>
      <w:pPr>
        <w:spacing w:before="80" w:after="100"/>
      </w:pPr>
      <w:r>
        <w:rPr>
          <w:rFonts w:ascii="Arial" w:cs="Arial" w:eastAsia="Arial" w:hAnsi="Arial"/>
          <w:b w:val="false"/>
          <w:bCs w:val="false"/>
          <w:i w:val="false"/>
          <w:iCs w:val="false"/>
          <w:color w:val="1E293B"/>
          <w:sz w:val="22"/>
          <w:szCs w:val="22"/>
        </w:rPr>
        <w:t xml:space="preserve">The candidate-performance-aggregator is a stateless, event-driven microservice within the Ecoskiller platform responsible for consolidating raw scoring signals emitted across multiple assessment modalities — Group Discussions (GD), one-on-one Interviews, and Dojo coding matches — into a single, unified candidate performance record per assessment cycle. It acts as the authoritative aggregation layer between the Scoring Engine and all downstream consumers such as the Certification Engine, Analytics Service, and the Intelligence Profile (XI) module.</w:t>
      </w:r>
    </w:p>
    <w:p>
      <w:pPr>
        <w:pStyle w:val="Heading1"/>
        <w:pBdr>
          <w:bottom w:val="single" w:color="1A4E8C" w:sz="4" w:space="4"/>
        </w:pBdr>
        <w:spacing w:before="360" w:after="160"/>
      </w:pPr>
      <w:r>
        <w:rPr>
          <w:rFonts w:ascii="Arial" w:cs="Arial" w:eastAsia="Arial" w:hAnsi="Arial"/>
          <w:b/>
          <w:bCs/>
          <w:color w:val="1A4E8C"/>
          <w:sz w:val="30"/>
          <w:szCs w:val="30"/>
        </w:rPr>
        <w:t xml:space="preserve">2. Service Overview</w:t>
      </w:r>
    </w:p>
    <w:p>
      <w:pPr>
        <w:spacing w:before="80" w:after="100"/>
      </w:pPr>
      <w:r>
        <w:rPr>
          <w:rFonts w:ascii="Arial" w:cs="Arial" w:eastAsia="Arial" w:hAnsi="Arial"/>
          <w:b w:val="false"/>
          <w:bCs w:val="false"/>
          <w:i w:val="false"/>
          <w:iCs w:val="false"/>
          <w:color w:val="1E293B"/>
          <w:sz w:val="22"/>
          <w:szCs w:val="22"/>
        </w:rPr>
        <w:t xml:space="preserve">The Ecoskiller platform evaluates candidates through three independent assessment tracks that run concurrently and are scored independently: GD sessions, interviews, and dojo coding matches. Each track emits its own Kafka events (gd.completed, interview.completed, match.scored) consumed directly by the scoring-engine. However, no single upstream service has a holistic view of a candidate's total performance across all tracks within a given assessment cycle.</w:t>
      </w:r>
    </w:p>
    <w:p>
      <w:pPr>
        <w:spacing w:before="40" w:after="40"/>
      </w:pPr>
    </w:p>
    <w:p>
      <w:pPr>
        <w:spacing w:before="80" w:after="100"/>
      </w:pPr>
      <w:r>
        <w:rPr>
          <w:rFonts w:ascii="Arial" w:cs="Arial" w:eastAsia="Arial" w:hAnsi="Arial"/>
          <w:b w:val="false"/>
          <w:bCs w:val="false"/>
          <w:i w:val="false"/>
          <w:iCs w:val="false"/>
          <w:color w:val="1E293B"/>
          <w:sz w:val="22"/>
          <w:szCs w:val="22"/>
        </w:rPr>
        <w:t xml:space="preserve">The candidate-performance-aggregator fills this architectural gap. It subscribes to the match.scored Kafka topic (the final downstream event from the Scoring Engine after processing all three tracks) and additionally consumes scoring snapshots from dedicated internal topics. The service aggregates these multi-dimensional scores using a configurable weighted formula, normalizes them against tenant-defined rubrics, and produces a candidate.performance.computed event — the definitive per-candidate aggregate — that the Certification Engine uses to determine belt eligibility.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3FB" w:val="clear"/>
            <w:tcMar>
              <w:top w:type="dxa" w:w="120"/>
              <w:left w:type="dxa" w:w="200"/>
              <w:bottom w:type="dxa" w:w="120"/>
              <w:right w:type="dxa" w:w="200"/>
            </w:tcMar>
          </w:tcPr>
          <w:p>
            <w:pPr>
              <w:spacing w:before="0" w:after="60"/>
            </w:pPr>
            <w:r>
              <w:rPr>
                <w:rFonts w:ascii="Arial" w:cs="Arial" w:eastAsia="Arial" w:hAnsi="Arial"/>
                <w:b/>
                <w:bCs/>
                <w:color w:val="1A4E8C"/>
                <w:sz w:val="22"/>
                <w:szCs w:val="22"/>
              </w:rPr>
              <w:t xml:space="preserve">Architecture Position</w:t>
            </w:r>
          </w:p>
          <w:p>
            <w:r>
              <w:rPr>
                <w:rFonts w:ascii="Arial" w:cs="Arial" w:eastAsia="Arial" w:hAnsi="Arial"/>
                <w:color w:val="1E293B"/>
                <w:sz w:val="20"/>
                <w:szCs w:val="20"/>
              </w:rPr>
              <w:t xml:space="preserve">candidate-performance-aggregator sits between scoring-engine (upstream producer) and certification-engine + analytics-service (downstream consumers). It is NOT responsible for computing raw scores — it aggregates and normalizes pre-computed scores emitted by scoring-engine.</w:t>
            </w:r>
          </w:p>
        </w:tc>
      </w:tr>
    </w:tbl>
    <w:p>
      <w:pPr>
        <w:pStyle w:val="Heading1"/>
        <w:pBdr>
          <w:bottom w:val="single" w:color="1A4E8C" w:sz="4" w:space="4"/>
        </w:pBdr>
        <w:spacing w:before="360" w:after="160"/>
      </w:pPr>
      <w:r>
        <w:rPr>
          <w:rFonts w:ascii="Arial" w:cs="Arial" w:eastAsia="Arial" w:hAnsi="Arial"/>
          <w:b/>
          <w:bCs/>
          <w:color w:val="1A4E8C"/>
          <w:sz w:val="30"/>
          <w:szCs w:val="30"/>
        </w:rPr>
        <w:t xml:space="preserve">3. Core Responsibilities</w:t>
      </w:r>
    </w:p>
    <w:p>
      <w:pPr>
        <w:spacing w:before="80" w:after="100"/>
      </w:pPr>
      <w:r>
        <w:rPr>
          <w:rFonts w:ascii="Arial" w:cs="Arial" w:eastAsia="Arial" w:hAnsi="Arial"/>
          <w:b w:val="false"/>
          <w:bCs w:val="false"/>
          <w:i w:val="false"/>
          <w:iCs w:val="false"/>
          <w:color w:val="1E293B"/>
          <w:sz w:val="22"/>
          <w:szCs w:val="22"/>
        </w:rPr>
        <w:t xml:space="preserve">The following are the primary functional responsibilities of candidate-performance-aggregator within the Ecoskiller platform:</w:t>
      </w:r>
    </w:p>
    <w:p>
      <w:pPr>
        <w:spacing w:before="40" w:after="40"/>
      </w:pPr>
    </w:p>
    <w:p>
      <w:pPr>
        <w:pStyle w:val="Heading2"/>
        <w:spacing w:before="280" w:after="120"/>
      </w:pPr>
      <w:r>
        <w:rPr>
          <w:rFonts w:ascii="Arial" w:cs="Arial" w:eastAsia="Arial" w:hAnsi="Arial"/>
          <w:b/>
          <w:bCs/>
          <w:color w:val="0F7B6E"/>
          <w:sz w:val="24"/>
          <w:szCs w:val="24"/>
        </w:rPr>
        <w:t xml:space="preserve">3.1 Multi-Track Score Aggregation</w:t>
      </w:r>
    </w:p>
    <w:p>
      <w:pPr>
        <w:pStyle w:val="ListParagraph"/>
        <w:numPr>
          <w:ilvl w:val="0"/>
          <w:numId w:val="2"/>
        </w:numPr>
        <w:spacing w:before="60" w:after="60"/>
      </w:pPr>
      <w:r>
        <w:rPr>
          <w:rFonts w:ascii="Arial" w:cs="Arial" w:eastAsia="Arial" w:hAnsi="Arial"/>
          <w:color w:val="1E293B"/>
          <w:sz w:val="22"/>
          <w:szCs w:val="22"/>
        </w:rPr>
        <w:t xml:space="preserve">Consume scored event payloads from the scoring-engine for GD, interview, and dojo tracks.</w:t>
      </w:r>
    </w:p>
    <w:p>
      <w:pPr>
        <w:pStyle w:val="ListParagraph"/>
        <w:numPr>
          <w:ilvl w:val="0"/>
          <w:numId w:val="2"/>
        </w:numPr>
        <w:spacing w:before="60" w:after="60"/>
      </w:pPr>
      <w:r>
        <w:rPr>
          <w:rFonts w:ascii="Arial" w:cs="Arial" w:eastAsia="Arial" w:hAnsi="Arial"/>
          <w:color w:val="1E293B"/>
          <w:sz w:val="22"/>
          <w:szCs w:val="22"/>
        </w:rPr>
        <w:t xml:space="preserve">Correlate scores to the correct candidate_id and assessment_cycle_id using event metadata.</w:t>
      </w:r>
    </w:p>
    <w:p>
      <w:pPr>
        <w:pStyle w:val="ListParagraph"/>
        <w:numPr>
          <w:ilvl w:val="0"/>
          <w:numId w:val="2"/>
        </w:numPr>
        <w:spacing w:before="60" w:after="60"/>
      </w:pPr>
      <w:r>
        <w:rPr>
          <w:rFonts w:ascii="Arial" w:cs="Arial" w:eastAsia="Arial" w:hAnsi="Arial"/>
          <w:color w:val="1E293B"/>
          <w:sz w:val="22"/>
          <w:szCs w:val="22"/>
        </w:rPr>
        <w:t xml:space="preserve">Apply configurable weighted aggregation: GD score × w1 + Interview score × w2 + Dojo score × w3.</w:t>
      </w:r>
    </w:p>
    <w:p>
      <w:pPr>
        <w:pStyle w:val="ListParagraph"/>
        <w:numPr>
          <w:ilvl w:val="0"/>
          <w:numId w:val="2"/>
        </w:numPr>
        <w:spacing w:before="60" w:after="60"/>
      </w:pPr>
      <w:r>
        <w:rPr>
          <w:rFonts w:ascii="Arial" w:cs="Arial" w:eastAsia="Arial" w:hAnsi="Arial"/>
          <w:color w:val="1E293B"/>
          <w:sz w:val="22"/>
          <w:szCs w:val="22"/>
        </w:rPr>
        <w:t xml:space="preserve">Handle partial cycles (e.g., candidate participated in GD + Interview but not Dojo) with graceful null-weight redistribution.</w:t>
      </w:r>
    </w:p>
    <w:p>
      <w:pPr>
        <w:spacing w:before="40" w:after="40"/>
      </w:pPr>
    </w:p>
    <w:p>
      <w:pPr>
        <w:pStyle w:val="Heading2"/>
        <w:spacing w:before="280" w:after="120"/>
      </w:pPr>
      <w:r>
        <w:rPr>
          <w:rFonts w:ascii="Arial" w:cs="Arial" w:eastAsia="Arial" w:hAnsi="Arial"/>
          <w:b/>
          <w:bCs/>
          <w:color w:val="0F7B6E"/>
          <w:sz w:val="24"/>
          <w:szCs w:val="24"/>
        </w:rPr>
        <w:t xml:space="preserve">3.2 Score Normalization &amp; Rubric Application</w:t>
      </w:r>
    </w:p>
    <w:p>
      <w:pPr>
        <w:pStyle w:val="ListParagraph"/>
        <w:numPr>
          <w:ilvl w:val="0"/>
          <w:numId w:val="2"/>
        </w:numPr>
        <w:spacing w:before="60" w:after="60"/>
      </w:pPr>
      <w:r>
        <w:rPr>
          <w:rFonts w:ascii="Arial" w:cs="Arial" w:eastAsia="Arial" w:hAnsi="Arial"/>
          <w:color w:val="1E293B"/>
          <w:sz w:val="22"/>
          <w:szCs w:val="22"/>
        </w:rPr>
        <w:t xml:space="preserve">Fetch tenant-specific scoring rubrics from Redis cache (fallback: PostgreSQL ecoskiller.scoring_rubrics table).</w:t>
      </w:r>
    </w:p>
    <w:p>
      <w:pPr>
        <w:pStyle w:val="ListParagraph"/>
        <w:numPr>
          <w:ilvl w:val="0"/>
          <w:numId w:val="2"/>
        </w:numPr>
        <w:spacing w:before="60" w:after="60"/>
      </w:pPr>
      <w:r>
        <w:rPr>
          <w:rFonts w:ascii="Arial" w:cs="Arial" w:eastAsia="Arial" w:hAnsi="Arial"/>
          <w:color w:val="1E293B"/>
          <w:sz w:val="22"/>
          <w:szCs w:val="22"/>
        </w:rPr>
        <w:t xml:space="preserve">Normalize raw aggregate scores against rubric thresholds to produce normalized_score (0–100 scale).</w:t>
      </w:r>
    </w:p>
    <w:p>
      <w:pPr>
        <w:pStyle w:val="ListParagraph"/>
        <w:numPr>
          <w:ilvl w:val="0"/>
          <w:numId w:val="2"/>
        </w:numPr>
        <w:spacing w:before="60" w:after="60"/>
      </w:pPr>
      <w:r>
        <w:rPr>
          <w:rFonts w:ascii="Arial" w:cs="Arial" w:eastAsia="Arial" w:hAnsi="Arial"/>
          <w:color w:val="1E293B"/>
          <w:sz w:val="22"/>
          <w:szCs w:val="22"/>
        </w:rPr>
        <w:t xml:space="preserve">Apply belt level threshold mapping: Bronze / Silver / Gold / Platinum computed per rubric.</w:t>
      </w:r>
    </w:p>
    <w:p>
      <w:pPr>
        <w:spacing w:before="40" w:after="40"/>
      </w:pPr>
    </w:p>
    <w:p>
      <w:pPr>
        <w:pStyle w:val="Heading2"/>
        <w:spacing w:before="280" w:after="120"/>
      </w:pPr>
      <w:r>
        <w:rPr>
          <w:rFonts w:ascii="Arial" w:cs="Arial" w:eastAsia="Arial" w:hAnsi="Arial"/>
          <w:b/>
          <w:bCs/>
          <w:color w:val="0F7B6E"/>
          <w:sz w:val="24"/>
          <w:szCs w:val="24"/>
        </w:rPr>
        <w:t xml:space="preserve">3.3 Idempotent Event Processing</w:t>
      </w:r>
    </w:p>
    <w:p>
      <w:pPr>
        <w:pStyle w:val="ListParagraph"/>
        <w:numPr>
          <w:ilvl w:val="0"/>
          <w:numId w:val="2"/>
        </w:numPr>
        <w:spacing w:before="60" w:after="60"/>
      </w:pPr>
      <w:r>
        <w:rPr>
          <w:rFonts w:ascii="Arial" w:cs="Arial" w:eastAsia="Arial" w:hAnsi="Arial"/>
          <w:color w:val="1E293B"/>
          <w:sz w:val="22"/>
          <w:szCs w:val="22"/>
        </w:rPr>
        <w:t xml:space="preserve">Enforce exactly-once aggregation per (candidate_id, assessment_cycle_id) pair using Redis distributed locks.</w:t>
      </w:r>
    </w:p>
    <w:p>
      <w:pPr>
        <w:pStyle w:val="ListParagraph"/>
        <w:numPr>
          <w:ilvl w:val="0"/>
          <w:numId w:val="2"/>
        </w:numPr>
        <w:spacing w:before="60" w:after="60"/>
      </w:pPr>
      <w:r>
        <w:rPr>
          <w:rFonts w:ascii="Arial" w:cs="Arial" w:eastAsia="Arial" w:hAnsi="Arial"/>
          <w:color w:val="1E293B"/>
          <w:sz w:val="22"/>
          <w:szCs w:val="22"/>
        </w:rPr>
        <w:t xml:space="preserve">Deduplicate reprocessed Kafka events using an event_id → processed_at Redis hash with 48h TTL.</w:t>
      </w:r>
    </w:p>
    <w:p>
      <w:pPr>
        <w:pStyle w:val="ListParagraph"/>
        <w:numPr>
          <w:ilvl w:val="0"/>
          <w:numId w:val="2"/>
        </w:numPr>
        <w:spacing w:before="60" w:after="60"/>
      </w:pPr>
      <w:r>
        <w:rPr>
          <w:rFonts w:ascii="Arial" w:cs="Arial" w:eastAsia="Arial" w:hAnsi="Arial"/>
          <w:color w:val="1E293B"/>
          <w:sz w:val="22"/>
          <w:szCs w:val="22"/>
        </w:rPr>
        <w:t xml:space="preserve">Publish failed aggregation attempts to the candidate.performance.aggregated.dlq dead-letter queue for manual review.</w:t>
      </w:r>
    </w:p>
    <w:p>
      <w:pPr>
        <w:spacing w:before="40" w:after="40"/>
      </w:pPr>
    </w:p>
    <w:p>
      <w:pPr>
        <w:pStyle w:val="Heading2"/>
        <w:spacing w:before="280" w:after="120"/>
      </w:pPr>
      <w:r>
        <w:rPr>
          <w:rFonts w:ascii="Arial" w:cs="Arial" w:eastAsia="Arial" w:hAnsi="Arial"/>
          <w:b/>
          <w:bCs/>
          <w:color w:val="0F7B6E"/>
          <w:sz w:val="24"/>
          <w:szCs w:val="24"/>
        </w:rPr>
        <w:t xml:space="preserve">3.4 Persistence &amp; Auditability</w:t>
      </w:r>
    </w:p>
    <w:p>
      <w:pPr>
        <w:pStyle w:val="ListParagraph"/>
        <w:numPr>
          <w:ilvl w:val="0"/>
          <w:numId w:val="2"/>
        </w:numPr>
        <w:spacing w:before="60" w:after="60"/>
      </w:pPr>
      <w:r>
        <w:rPr>
          <w:rFonts w:ascii="Arial" w:cs="Arial" w:eastAsia="Arial" w:hAnsi="Arial"/>
          <w:color w:val="1E293B"/>
          <w:sz w:val="22"/>
          <w:szCs w:val="22"/>
        </w:rPr>
        <w:t xml:space="preserve">Write the finalized aggregate record to PostgreSQL table candidate_performance_aggregates (partitioned by tenant_id).</w:t>
      </w:r>
    </w:p>
    <w:p>
      <w:pPr>
        <w:pStyle w:val="ListParagraph"/>
        <w:numPr>
          <w:ilvl w:val="0"/>
          <w:numId w:val="2"/>
        </w:numPr>
        <w:spacing w:before="60" w:after="60"/>
      </w:pPr>
      <w:r>
        <w:rPr>
          <w:rFonts w:ascii="Arial" w:cs="Arial" w:eastAsia="Arial" w:hAnsi="Arial"/>
          <w:color w:val="1E293B"/>
          <w:sz w:val="22"/>
          <w:szCs w:val="22"/>
        </w:rPr>
        <w:t xml:space="preserve">Append an immutable audit entry to ClickHouse table ecoskiller.perf_agg_audit_log for compliance and analytics queries.</w:t>
      </w:r>
    </w:p>
    <w:p>
      <w:pPr>
        <w:pStyle w:val="ListParagraph"/>
        <w:numPr>
          <w:ilvl w:val="0"/>
          <w:numId w:val="2"/>
        </w:numPr>
        <w:spacing w:before="60" w:after="60"/>
      </w:pPr>
      <w:r>
        <w:rPr>
          <w:rFonts w:ascii="Arial" w:cs="Arial" w:eastAsia="Arial" w:hAnsi="Arial"/>
          <w:color w:val="1E293B"/>
          <w:sz w:val="22"/>
          <w:szCs w:val="22"/>
        </w:rPr>
        <w:t xml:space="preserve">Store per-track score breakdown alongside the aggregate to support score explainability in the recruiter dashboard.</w:t>
      </w:r>
    </w:p>
    <w:p>
      <w:pPr>
        <w:spacing w:before="40" w:after="40"/>
      </w:pPr>
    </w:p>
    <w:p>
      <w:pPr>
        <w:pStyle w:val="Heading2"/>
        <w:spacing w:before="280" w:after="120"/>
      </w:pPr>
      <w:r>
        <w:rPr>
          <w:rFonts w:ascii="Arial" w:cs="Arial" w:eastAsia="Arial" w:hAnsi="Arial"/>
          <w:b/>
          <w:bCs/>
          <w:color w:val="0F7B6E"/>
          <w:sz w:val="24"/>
          <w:szCs w:val="24"/>
        </w:rPr>
        <w:t xml:space="preserve">3.5 Event Emission</w:t>
      </w:r>
    </w:p>
    <w:p>
      <w:pPr>
        <w:pStyle w:val="ListParagraph"/>
        <w:numPr>
          <w:ilvl w:val="0"/>
          <w:numId w:val="2"/>
        </w:numPr>
        <w:spacing w:before="60" w:after="60"/>
      </w:pPr>
      <w:r>
        <w:rPr>
          <w:rFonts w:ascii="Arial" w:cs="Arial" w:eastAsia="Arial" w:hAnsi="Arial"/>
          <w:color w:val="1E293B"/>
          <w:sz w:val="22"/>
          <w:szCs w:val="22"/>
        </w:rPr>
        <w:t xml:space="preserve">Publish candidate.performance.computed events to Kafka (partitioned by tenant_id) upon successful aggregation.</w:t>
      </w:r>
    </w:p>
    <w:p>
      <w:pPr>
        <w:pStyle w:val="ListParagraph"/>
        <w:numPr>
          <w:ilvl w:val="0"/>
          <w:numId w:val="2"/>
        </w:numPr>
        <w:spacing w:before="60" w:after="60"/>
      </w:pPr>
      <w:r>
        <w:rPr>
          <w:rFonts w:ascii="Arial" w:cs="Arial" w:eastAsia="Arial" w:hAnsi="Arial"/>
          <w:color w:val="1E293B"/>
          <w:sz w:val="22"/>
          <w:szCs w:val="22"/>
        </w:rPr>
        <w:t xml:space="preserve">Include normalized_score, belt_eligible_level, per_track_breakdown, and rubric_version in the event payload.</w:t>
      </w:r>
    </w:p>
    <w:p>
      <w:pPr>
        <w:pStyle w:val="ListParagraph"/>
        <w:numPr>
          <w:ilvl w:val="0"/>
          <w:numId w:val="2"/>
        </w:numPr>
        <w:spacing w:before="60" w:after="60"/>
      </w:pPr>
      <w:r>
        <w:rPr>
          <w:rFonts w:ascii="Arial" w:cs="Arial" w:eastAsia="Arial" w:hAnsi="Arial"/>
          <w:color w:val="1E293B"/>
          <w:sz w:val="22"/>
          <w:szCs w:val="22"/>
        </w:rPr>
        <w:t xml:space="preserve">Emit candidate.performance.aggregated.failed events on unrecoverable errors to trigger ops alerts.</w:t>
      </w:r>
    </w:p>
    <w:p>
      <w:pPr>
        <w:pStyle w:val="Heading1"/>
        <w:pBdr>
          <w:bottom w:val="single" w:color="1A4E8C" w:sz="4" w:space="4"/>
        </w:pBdr>
        <w:spacing w:before="360" w:after="160"/>
      </w:pPr>
      <w:r>
        <w:rPr>
          <w:rFonts w:ascii="Arial" w:cs="Arial" w:eastAsia="Arial" w:hAnsi="Arial"/>
          <w:b/>
          <w:bCs/>
          <w:color w:val="1A4E8C"/>
          <w:sz w:val="30"/>
          <w:szCs w:val="30"/>
        </w:rPr>
        <w:t xml:space="preserve">4. Key Features</w:t>
      </w:r>
    </w:p>
    <w:p>
      <w:pPr>
        <w:pStyle w:val="Heading2"/>
        <w:spacing w:before="280" w:after="120"/>
      </w:pPr>
      <w:r>
        <w:rPr>
          <w:rFonts w:ascii="Arial" w:cs="Arial" w:eastAsia="Arial" w:hAnsi="Arial"/>
          <w:b/>
          <w:bCs/>
          <w:color w:val="0F7B6E"/>
          <w:sz w:val="24"/>
          <w:szCs w:val="24"/>
        </w:rPr>
        <w:t xml:space="preserve">4.1 Weighted Aggregation Engine</w:t>
      </w:r>
    </w:p>
    <w:p>
      <w:pPr>
        <w:spacing w:before="80" w:after="100"/>
      </w:pPr>
      <w:r>
        <w:rPr>
          <w:rFonts w:ascii="Arial" w:cs="Arial" w:eastAsia="Arial" w:hAnsi="Arial"/>
          <w:b w:val="false"/>
          <w:bCs w:val="false"/>
          <w:i w:val="false"/>
          <w:iCs w:val="false"/>
          <w:color w:val="1E293B"/>
          <w:sz w:val="22"/>
          <w:szCs w:val="22"/>
        </w:rPr>
        <w:t xml:space="preserve">Supports per-tenant, per-job-role weight configuration. Weights are stored in PostgreSQL and cached in Redis with a 5-minute TTL. The formula engine is pluggable — new assessment track types can be introduced without modifying core aggregation logic. Default weights follow the Ecoskiller standard: GD 35%, Interview 40%, Dojo 25%.</w:t>
      </w:r>
    </w:p>
    <w:p>
      <w:pPr>
        <w:spacing w:before="40" w:after="40"/>
      </w:pPr>
    </w:p>
    <w:p>
      <w:pPr>
        <w:pStyle w:val="Heading2"/>
        <w:spacing w:before="280" w:after="120"/>
      </w:pPr>
      <w:r>
        <w:rPr>
          <w:rFonts w:ascii="Arial" w:cs="Arial" w:eastAsia="Arial" w:hAnsi="Arial"/>
          <w:b/>
          <w:bCs/>
          <w:color w:val="0F7B6E"/>
          <w:sz w:val="24"/>
          <w:szCs w:val="24"/>
        </w:rPr>
        <w:t xml:space="preserve">4.2 Partial Participation Handling</w:t>
      </w:r>
    </w:p>
    <w:p>
      <w:pPr>
        <w:spacing w:before="80" w:after="100"/>
      </w:pPr>
      <w:r>
        <w:rPr>
          <w:rFonts w:ascii="Arial" w:cs="Arial" w:eastAsia="Arial" w:hAnsi="Arial"/>
          <w:b w:val="false"/>
          <w:bCs w:val="false"/>
          <w:i w:val="false"/>
          <w:iCs w:val="false"/>
          <w:color w:val="1E293B"/>
          <w:sz w:val="22"/>
          <w:szCs w:val="22"/>
        </w:rPr>
        <w:t xml:space="preserve">Candidates may be absent from one or more tracks (e.g., a purely technical role may omit GD). The service detects missing tracks from the assessment_cycle configuration table and redistributes weights proportionally among completed tracks, rather than penalising the candidate with a zero score for the absent track.</w:t>
      </w:r>
    </w:p>
    <w:p>
      <w:pPr>
        <w:spacing w:before="40" w:after="40"/>
      </w:pPr>
    </w:p>
    <w:p>
      <w:pPr>
        <w:pStyle w:val="Heading2"/>
        <w:spacing w:before="280" w:after="120"/>
      </w:pPr>
      <w:r>
        <w:rPr>
          <w:rFonts w:ascii="Arial" w:cs="Arial" w:eastAsia="Arial" w:hAnsi="Arial"/>
          <w:b/>
          <w:bCs/>
          <w:color w:val="0F7B6E"/>
          <w:sz w:val="24"/>
          <w:szCs w:val="24"/>
        </w:rPr>
        <w:t xml:space="preserve">4.3 Multi-Tenant Isolation</w:t>
      </w:r>
    </w:p>
    <w:p>
      <w:pPr>
        <w:spacing w:before="80" w:after="100"/>
      </w:pPr>
      <w:r>
        <w:rPr>
          <w:rFonts w:ascii="Arial" w:cs="Arial" w:eastAsia="Arial" w:hAnsi="Arial"/>
          <w:b w:val="false"/>
          <w:bCs w:val="false"/>
          <w:i w:val="false"/>
          <w:iCs w:val="false"/>
          <w:color w:val="1E293B"/>
          <w:sz w:val="22"/>
          <w:szCs w:val="22"/>
        </w:rPr>
        <w:t xml:space="preserve">All aggregation computations, rubric lookups, and database writes are tenant-scoped. PostgreSQL Row-Level Security (RLS) policies on candidate_performance_aggregates prevent cross-tenant data access even under misconfigured queries. ClickHouse audit logs include tenant_id as a partition key for query isolation.</w:t>
      </w:r>
    </w:p>
    <w:p>
      <w:pPr>
        <w:spacing w:before="40" w:after="40"/>
      </w:pPr>
    </w:p>
    <w:p>
      <w:pPr>
        <w:pStyle w:val="Heading2"/>
        <w:spacing w:before="280" w:after="120"/>
      </w:pPr>
      <w:r>
        <w:rPr>
          <w:rFonts w:ascii="Arial" w:cs="Arial" w:eastAsia="Arial" w:hAnsi="Arial"/>
          <w:b/>
          <w:bCs/>
          <w:color w:val="0F7B6E"/>
          <w:sz w:val="24"/>
          <w:szCs w:val="24"/>
        </w:rPr>
        <w:t xml:space="preserve">4.4 Idempotent, At-Least-Once Processing</w:t>
      </w:r>
    </w:p>
    <w:p>
      <w:pPr>
        <w:spacing w:before="80" w:after="100"/>
      </w:pPr>
      <w:r>
        <w:rPr>
          <w:rFonts w:ascii="Arial" w:cs="Arial" w:eastAsia="Arial" w:hAnsi="Arial"/>
          <w:b w:val="false"/>
          <w:bCs w:val="false"/>
          <w:i w:val="false"/>
          <w:iCs w:val="false"/>
          <w:color w:val="1E293B"/>
          <w:sz w:val="22"/>
          <w:szCs w:val="22"/>
        </w:rPr>
        <w:t xml:space="preserve">The service is deployed as a Kafka consumer in a dedicated consumer group (candidate-performance-aggregator-match.scored-consumer). It is built to tolerate Kafka redelivery: each event is checked against a Redis deduplication hash before processing. Only one aggregation is ever written per (candidate_id, assessment_cycle_id).</w:t>
      </w:r>
    </w:p>
    <w:p>
      <w:pPr>
        <w:spacing w:before="40" w:after="40"/>
      </w:pPr>
    </w:p>
    <w:p>
      <w:pPr>
        <w:pStyle w:val="Heading2"/>
        <w:spacing w:before="280" w:after="120"/>
      </w:pPr>
      <w:r>
        <w:rPr>
          <w:rFonts w:ascii="Arial" w:cs="Arial" w:eastAsia="Arial" w:hAnsi="Arial"/>
          <w:b/>
          <w:bCs/>
          <w:color w:val="0F7B6E"/>
          <w:sz w:val="24"/>
          <w:szCs w:val="24"/>
        </w:rPr>
        <w:t xml:space="preserve">4.5 Score Explainability Payload</w:t>
      </w:r>
    </w:p>
    <w:p>
      <w:pPr>
        <w:spacing w:before="80" w:after="100"/>
      </w:pPr>
      <w:r>
        <w:rPr>
          <w:rFonts w:ascii="Arial" w:cs="Arial" w:eastAsia="Arial" w:hAnsi="Arial"/>
          <w:b w:val="false"/>
          <w:bCs w:val="false"/>
          <w:i w:val="false"/>
          <w:iCs w:val="false"/>
          <w:color w:val="1E293B"/>
          <w:sz w:val="22"/>
          <w:szCs w:val="22"/>
        </w:rPr>
        <w:t xml:space="preserve">Every candidate.performance.computed event includes a structured per_track_breakdown object containing the raw score, weight applied, and normalized contribution of each track. This enables the recruiter dashboard to render a transparent, drill-down score breakdown rather than only showing the final aggregate — directly supporting compliance with India DPDPA 2023 transparency requirements.</w:t>
      </w:r>
    </w:p>
    <w:p>
      <w:pPr>
        <w:spacing w:before="40" w:after="40"/>
      </w:pPr>
    </w:p>
    <w:p>
      <w:pPr>
        <w:pStyle w:val="Heading2"/>
        <w:spacing w:before="280" w:after="120"/>
      </w:pPr>
      <w:r>
        <w:rPr>
          <w:rFonts w:ascii="Arial" w:cs="Arial" w:eastAsia="Arial" w:hAnsi="Arial"/>
          <w:b/>
          <w:bCs/>
          <w:color w:val="0F7B6E"/>
          <w:sz w:val="24"/>
          <w:szCs w:val="24"/>
        </w:rPr>
        <w:t xml:space="preserve">4.6 Dead-Letter Queue (DLQ) Integration</w:t>
      </w:r>
    </w:p>
    <w:p>
      <w:pPr>
        <w:spacing w:before="80" w:after="100"/>
      </w:pPr>
      <w:r>
        <w:rPr>
          <w:rFonts w:ascii="Arial" w:cs="Arial" w:eastAsia="Arial" w:hAnsi="Arial"/>
          <w:b w:val="false"/>
          <w:bCs w:val="false"/>
          <w:i w:val="false"/>
          <w:iCs w:val="false"/>
          <w:color w:val="1E293B"/>
          <w:sz w:val="22"/>
          <w:szCs w:val="22"/>
        </w:rPr>
        <w:t xml:space="preserve">Following Ecoskiller Kafka configuration standards, all failed consumption attempts (max 3 retries with exponential backoff) are published to candidate.performance.aggregated.dlq. An ops alert in Prometheus/Grafana monitors DLQ lag. DLQ messages include original_event, failure_reason, and retry_count for operator-assisted remediation.</w:t>
      </w:r>
    </w:p>
    <w:p>
      <w:pPr>
        <w:spacing w:before="40" w:after="40"/>
      </w:pPr>
    </w:p>
    <w:p>
      <w:pPr>
        <w:pStyle w:val="Heading2"/>
        <w:spacing w:before="280" w:after="120"/>
      </w:pPr>
      <w:r>
        <w:rPr>
          <w:rFonts w:ascii="Arial" w:cs="Arial" w:eastAsia="Arial" w:hAnsi="Arial"/>
          <w:b/>
          <w:bCs/>
          <w:color w:val="0F7B6E"/>
          <w:sz w:val="24"/>
          <w:szCs w:val="24"/>
        </w:rPr>
        <w:t xml:space="preserve">4.7 Observability</w:t>
      </w:r>
    </w:p>
    <w:p>
      <w:pPr>
        <w:spacing w:before="80" w:after="100"/>
      </w:pPr>
      <w:r>
        <w:rPr>
          <w:rFonts w:ascii="Arial" w:cs="Arial" w:eastAsia="Arial" w:hAnsi="Arial"/>
          <w:b w:val="false"/>
          <w:bCs w:val="false"/>
          <w:i w:val="false"/>
          <w:iCs w:val="false"/>
          <w:color w:val="1E293B"/>
          <w:sz w:val="22"/>
          <w:szCs w:val="22"/>
        </w:rPr>
        <w:t xml:space="preserve">Exposes /metrics endpoint (Prometheus format) with service-level indicators: events_consumed_total, aggregations_succeeded_total, aggregations_failed_total, processing_latency_p95, dlq_events_total, rubric_cache_hit_rate. Integrated with Ecoskiller's Jaeger-based distributed tracing: every aggregation flow emits a trace span with upstream scoring-engine trace context propagated via W3C TraceContext headers in Kafka message headers.</w:t>
      </w:r>
    </w:p>
    <w:p>
      <w:pPr>
        <w:pStyle w:val="Heading1"/>
        <w:pBdr>
          <w:bottom w:val="single" w:color="1A4E8C" w:sz="4" w:space="4"/>
        </w:pBdr>
        <w:spacing w:before="360" w:after="160"/>
      </w:pPr>
      <w:r>
        <w:rPr>
          <w:rFonts w:ascii="Arial" w:cs="Arial" w:eastAsia="Arial" w:hAnsi="Arial"/>
          <w:b/>
          <w:bCs/>
          <w:color w:val="1A4E8C"/>
          <w:sz w:val="30"/>
          <w:szCs w:val="30"/>
        </w:rPr>
        <w:t xml:space="preserve">5. Inputs</w:t>
      </w:r>
    </w:p>
    <w:p>
      <w:pPr>
        <w:spacing w:before="80" w:after="100"/>
      </w:pPr>
      <w:r>
        <w:rPr>
          <w:rFonts w:ascii="Arial" w:cs="Arial" w:eastAsia="Arial" w:hAnsi="Arial"/>
          <w:b w:val="false"/>
          <w:bCs w:val="false"/>
          <w:i w:val="false"/>
          <w:iCs w:val="false"/>
          <w:color w:val="1E293B"/>
          <w:sz w:val="22"/>
          <w:szCs w:val="22"/>
        </w:rPr>
        <w:t xml:space="preserve">The service receives inputs from three channels: Kafka event subscriptions, REST API calls (internal), and Redis cache reads.</w:t>
      </w:r>
    </w:p>
    <w:p>
      <w:pPr>
        <w:spacing w:before="40" w:after="40"/>
      </w:pPr>
    </w:p>
    <w:p>
      <w:pPr>
        <w:pStyle w:val="Heading2"/>
        <w:spacing w:before="280" w:after="120"/>
      </w:pPr>
      <w:r>
        <w:rPr>
          <w:rFonts w:ascii="Arial" w:cs="Arial" w:eastAsia="Arial" w:hAnsi="Arial"/>
          <w:b/>
          <w:bCs/>
          <w:color w:val="0F7B6E"/>
          <w:sz w:val="24"/>
          <w:szCs w:val="24"/>
        </w:rPr>
        <w:t xml:space="preserve">5.1 Kafka Topics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1080"/>
        <w:gridCol w:w="1080"/>
      </w:tblGrid>
      <w:tr>
        <w:trPr>
          <w:tblHeader/>
        </w:trPr>
        <w:tc>
          <w:tcPr>
            <w:tcW w:type="dxa" w:w="22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Topic</w:t>
            </w:r>
          </w:p>
        </w:tc>
        <w:tc>
          <w:tcPr>
            <w:tcW w:type="dxa" w:w="18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Producer</w:t>
            </w:r>
          </w:p>
        </w:tc>
        <w:tc>
          <w:tcPr>
            <w:tcW w:type="dxa" w:w="32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Trigger</w:t>
            </w:r>
          </w:p>
        </w:tc>
        <w:tc>
          <w:tcPr>
            <w:tcW w:type="dxa" w:w="108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Partitions</w:t>
            </w:r>
          </w:p>
        </w:tc>
        <w:tc>
          <w:tcPr>
            <w:tcW w:type="dxa" w:w="108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Retention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match.scored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scoring-engine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Dojo match scoring complete — used as the aggregation trigger event</w:t>
            </w:r>
          </w:p>
        </w:tc>
        <w:tc>
          <w:tcPr>
            <w:tcW w:type="dxa" w:w="10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w:t>
            </w:r>
          </w:p>
        </w:tc>
        <w:tc>
          <w:tcPr>
            <w:tcW w:type="dxa" w:w="10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30 days</w:t>
            </w:r>
          </w:p>
        </w:tc>
      </w:tr>
      <w:tr>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gd.scored.snapshot</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scoring-engine</w:t>
            </w:r>
          </w:p>
        </w:tc>
        <w:tc>
          <w:tcPr>
            <w:tcW w:type="dxa" w:w="3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Internal snapshot of GD score for the candidate in current cycle</w:t>
            </w:r>
          </w:p>
        </w:tc>
        <w:tc>
          <w:tcPr>
            <w:tcW w:type="dxa" w:w="108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6</w:t>
            </w:r>
          </w:p>
        </w:tc>
        <w:tc>
          <w:tcPr>
            <w:tcW w:type="dxa" w:w="108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30 days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interview.scored.snapshot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scoring-engine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Internal snapshot of interview score for the candidate in current cycle</w:t>
            </w:r>
          </w:p>
        </w:tc>
        <w:tc>
          <w:tcPr>
            <w:tcW w:type="dxa" w:w="10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6</w:t>
            </w:r>
          </w:p>
        </w:tc>
        <w:tc>
          <w:tcPr>
            <w:tcW w:type="dxa" w:w="10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30 days</w:t>
            </w:r>
          </w:p>
        </w:tc>
      </w:tr>
    </w:tbl>
    <w:p>
      <w:pPr>
        <w:spacing w:before="40" w:after="40"/>
      </w:pPr>
    </w:p>
    <w:p>
      <w:pPr>
        <w:pStyle w:val="Heading2"/>
        <w:spacing w:before="280" w:after="120"/>
      </w:pPr>
      <w:r>
        <w:rPr>
          <w:rFonts w:ascii="Arial" w:cs="Arial" w:eastAsia="Arial" w:hAnsi="Arial"/>
          <w:b/>
          <w:bCs/>
          <w:color w:val="0F7B6E"/>
          <w:sz w:val="24"/>
          <w:szCs w:val="24"/>
        </w:rPr>
        <w:t xml:space="preserve">5.2 REST API Inputs (Internal)</w:t>
      </w:r>
    </w:p>
    <w:p>
      <w:pPr>
        <w:pStyle w:val="ListParagraph"/>
        <w:numPr>
          <w:ilvl w:val="0"/>
          <w:numId w:val="2"/>
        </w:numPr>
        <w:spacing w:before="60" w:after="60"/>
      </w:pPr>
      <w:r>
        <w:rPr>
          <w:rFonts w:ascii="Arial" w:cs="Arial" w:eastAsia="Arial" w:hAnsi="Arial"/>
          <w:color w:val="1E293B"/>
          <w:sz w:val="22"/>
          <w:szCs w:val="22"/>
        </w:rPr>
        <w:t xml:space="preserve">GET /api/v1/cycles/:cycle_id/config — Fetches assessment_cycle configuration including track list and weight overrides. Called by job-service or admin-service to configure the cycle before it starts.</w:t>
      </w:r>
    </w:p>
    <w:p>
      <w:pPr>
        <w:pStyle w:val="ListParagraph"/>
        <w:numPr>
          <w:ilvl w:val="0"/>
          <w:numId w:val="2"/>
        </w:numPr>
        <w:spacing w:before="60" w:after="60"/>
      </w:pPr>
      <w:r>
        <w:rPr>
          <w:rFonts w:ascii="Arial" w:cs="Arial" w:eastAsia="Arial" w:hAnsi="Arial"/>
          <w:color w:val="1E293B"/>
          <w:sz w:val="22"/>
          <w:szCs w:val="22"/>
        </w:rPr>
        <w:t xml:space="preserve">POST /api/v1/aggregations/retry — Triggers a manual re-aggregation for a given (candidate_id, cycle_id). Accessible only to admin-service via Keycloak service account with role ecoskiller:aggregator:admin.</w:t>
      </w:r>
    </w:p>
    <w:p>
      <w:pPr>
        <w:pStyle w:val="ListParagraph"/>
        <w:numPr>
          <w:ilvl w:val="0"/>
          <w:numId w:val="2"/>
        </w:numPr>
        <w:spacing w:before="60" w:after="60"/>
      </w:pPr>
      <w:r>
        <w:rPr>
          <w:rFonts w:ascii="Arial" w:cs="Arial" w:eastAsia="Arial" w:hAnsi="Arial"/>
          <w:color w:val="1E293B"/>
          <w:sz w:val="22"/>
          <w:szCs w:val="22"/>
        </w:rPr>
        <w:t xml:space="preserve">GET /api/v1/aggregations/:candidate_id/:cycle_id — Returns the current aggregation status and result for a candidate+cycle pair. Used by interview-service and analytics-service dashboards.</w:t>
      </w:r>
    </w:p>
    <w:p>
      <w:pPr>
        <w:spacing w:before="40" w:after="40"/>
      </w:pPr>
    </w:p>
    <w:p>
      <w:pPr>
        <w:pStyle w:val="Heading2"/>
        <w:spacing w:before="280" w:after="120"/>
      </w:pPr>
      <w:r>
        <w:rPr>
          <w:rFonts w:ascii="Arial" w:cs="Arial" w:eastAsia="Arial" w:hAnsi="Arial"/>
          <w:b/>
          <w:bCs/>
          <w:color w:val="0F7B6E"/>
          <w:sz w:val="24"/>
          <w:szCs w:val="24"/>
        </w:rPr>
        <w:t xml:space="preserve">5.3 Redis Cache Reads</w:t>
      </w:r>
    </w:p>
    <w:p>
      <w:pPr>
        <w:pStyle w:val="ListParagraph"/>
        <w:numPr>
          <w:ilvl w:val="0"/>
          <w:numId w:val="2"/>
        </w:numPr>
        <w:spacing w:before="60" w:after="60"/>
      </w:pPr>
      <w:r>
        <w:rPr>
          <w:rFonts w:ascii="Arial" w:cs="Arial" w:eastAsia="Arial" w:hAnsi="Arial"/>
          <w:color w:val="1E293B"/>
          <w:sz w:val="22"/>
          <w:szCs w:val="22"/>
        </w:rPr>
        <w:t xml:space="preserve">scoring_rubric:{tenant_id}:{job_role_id} — Cached rubric configuration (TTL: 5 min).</w:t>
      </w:r>
    </w:p>
    <w:p>
      <w:pPr>
        <w:pStyle w:val="ListParagraph"/>
        <w:numPr>
          <w:ilvl w:val="0"/>
          <w:numId w:val="2"/>
        </w:numPr>
        <w:spacing w:before="60" w:after="60"/>
      </w:pPr>
      <w:r>
        <w:rPr>
          <w:rFonts w:ascii="Arial" w:cs="Arial" w:eastAsia="Arial" w:hAnsi="Arial"/>
          <w:color w:val="1E293B"/>
          <w:sz w:val="22"/>
          <w:szCs w:val="22"/>
        </w:rPr>
        <w:t xml:space="preserve">cycle_config:{cycle_id} — Cached assessment cycle track list and weights (TTL: 10 min).</w:t>
      </w:r>
    </w:p>
    <w:p>
      <w:pPr>
        <w:pStyle w:val="ListParagraph"/>
        <w:numPr>
          <w:ilvl w:val="0"/>
          <w:numId w:val="2"/>
        </w:numPr>
        <w:spacing w:before="60" w:after="60"/>
      </w:pPr>
      <w:r>
        <w:rPr>
          <w:rFonts w:ascii="Arial" w:cs="Arial" w:eastAsia="Arial" w:hAnsi="Arial"/>
          <w:color w:val="1E293B"/>
          <w:sz w:val="22"/>
          <w:szCs w:val="22"/>
        </w:rPr>
        <w:t xml:space="preserve">agg_lock:{candidate_id}:{cycle_id} — Distributed lock key (TTL: 30 sec) to prevent concurrent aggregation writes.</w:t>
      </w:r>
    </w:p>
    <w:p>
      <w:pPr>
        <w:pStyle w:val="ListParagraph"/>
        <w:numPr>
          <w:ilvl w:val="0"/>
          <w:numId w:val="2"/>
        </w:numPr>
        <w:spacing w:before="60" w:after="60"/>
      </w:pPr>
      <w:r>
        <w:rPr>
          <w:rFonts w:ascii="Arial" w:cs="Arial" w:eastAsia="Arial" w:hAnsi="Arial"/>
          <w:color w:val="1E293B"/>
          <w:sz w:val="22"/>
          <w:szCs w:val="22"/>
        </w:rPr>
        <w:t xml:space="preserve">dedup:{event_id} — Deduplication flag (TTL: 48h) to prevent reprocessing Kafka redeliveries.</w:t>
      </w:r>
    </w:p>
    <w:p>
      <w:pPr>
        <w:spacing w:before="40" w:after="40"/>
      </w:pPr>
    </w:p>
    <w:p>
      <w:pPr>
        <w:pStyle w:val="Heading2"/>
        <w:spacing w:before="280" w:after="120"/>
      </w:pPr>
      <w:r>
        <w:rPr>
          <w:rFonts w:ascii="Arial" w:cs="Arial" w:eastAsia="Arial" w:hAnsi="Arial"/>
          <w:b/>
          <w:bCs/>
          <w:color w:val="0F7B6E"/>
          <w:sz w:val="24"/>
          <w:szCs w:val="24"/>
        </w:rPr>
        <w:t xml:space="preserve">5.4 PostgreSQL Direct Reads</w:t>
      </w:r>
    </w:p>
    <w:p>
      <w:pPr>
        <w:pStyle w:val="ListParagraph"/>
        <w:numPr>
          <w:ilvl w:val="0"/>
          <w:numId w:val="2"/>
        </w:numPr>
        <w:spacing w:before="60" w:after="60"/>
      </w:pPr>
      <w:r>
        <w:rPr>
          <w:rFonts w:ascii="Arial" w:cs="Arial" w:eastAsia="Arial" w:hAnsi="Arial"/>
          <w:color w:val="1E293B"/>
          <w:sz w:val="22"/>
          <w:szCs w:val="22"/>
        </w:rPr>
        <w:t xml:space="preserve">ecoskiller.scoring_rubrics — Fallback when Redis cache is cold; contains per-tenant, per-role rubric weight and threshold configuration.</w:t>
      </w:r>
    </w:p>
    <w:p>
      <w:pPr>
        <w:pStyle w:val="ListParagraph"/>
        <w:numPr>
          <w:ilvl w:val="0"/>
          <w:numId w:val="2"/>
        </w:numPr>
        <w:spacing w:before="60" w:after="60"/>
      </w:pPr>
      <w:r>
        <w:rPr>
          <w:rFonts w:ascii="Arial" w:cs="Arial" w:eastAsia="Arial" w:hAnsi="Arial"/>
          <w:color w:val="1E293B"/>
          <w:sz w:val="22"/>
          <w:szCs w:val="22"/>
        </w:rPr>
        <w:t xml:space="preserve">ecoskiller.assessment_cycles — Metadata about active cycles including participating tracks and candidate roster.</w:t>
      </w:r>
    </w:p>
    <w:p>
      <w:pPr>
        <w:pStyle w:val="ListParagraph"/>
        <w:numPr>
          <w:ilvl w:val="0"/>
          <w:numId w:val="2"/>
        </w:numPr>
        <w:spacing w:before="60" w:after="60"/>
      </w:pPr>
      <w:r>
        <w:rPr>
          <w:rFonts w:ascii="Arial" w:cs="Arial" w:eastAsia="Arial" w:hAnsi="Arial"/>
          <w:color w:val="1E293B"/>
          <w:sz w:val="22"/>
          <w:szCs w:val="22"/>
        </w:rPr>
        <w:t xml:space="preserve">ecoskiller.candidate_track_scores — Pre-existing raw scores written by scoring-engine; read during retry/re-aggregation flows.</w:t>
      </w:r>
    </w:p>
    <w:p>
      <w:pPr>
        <w:pStyle w:val="Heading1"/>
        <w:pBdr>
          <w:bottom w:val="single" w:color="1A4E8C" w:sz="4" w:space="4"/>
        </w:pBdr>
        <w:spacing w:before="360" w:after="160"/>
      </w:pPr>
      <w:r>
        <w:rPr>
          <w:rFonts w:ascii="Arial" w:cs="Arial" w:eastAsia="Arial" w:hAnsi="Arial"/>
          <w:b/>
          <w:bCs/>
          <w:color w:val="1A4E8C"/>
          <w:sz w:val="30"/>
          <w:szCs w:val="30"/>
        </w:rPr>
        <w:t xml:space="preserve">6. Outputs</w:t>
      </w:r>
    </w:p>
    <w:p>
      <w:pPr>
        <w:spacing w:before="80" w:after="100"/>
      </w:pPr>
      <w:r>
        <w:rPr>
          <w:rFonts w:ascii="Arial" w:cs="Arial" w:eastAsia="Arial" w:hAnsi="Arial"/>
          <w:b w:val="false"/>
          <w:bCs w:val="false"/>
          <w:i w:val="false"/>
          <w:iCs w:val="false"/>
          <w:color w:val="1E293B"/>
          <w:sz w:val="22"/>
          <w:szCs w:val="22"/>
        </w:rPr>
        <w:t xml:space="preserve">The service produces outputs across Kafka (primary), PostgreSQL (persistent store), ClickHouse (audit/analytics), and REST responses.</w:t>
      </w:r>
    </w:p>
    <w:p>
      <w:pPr>
        <w:spacing w:before="40" w:after="40"/>
      </w:pPr>
    </w:p>
    <w:p>
      <w:pPr>
        <w:pStyle w:val="Heading2"/>
        <w:spacing w:before="280" w:after="120"/>
      </w:pPr>
      <w:r>
        <w:rPr>
          <w:rFonts w:ascii="Arial" w:cs="Arial" w:eastAsia="Arial" w:hAnsi="Arial"/>
          <w:b/>
          <w:bCs/>
          <w:color w:val="0F7B6E"/>
          <w:sz w:val="24"/>
          <w:szCs w:val="24"/>
        </w:rPr>
        <w:t xml:space="preserve">6.1 Kafka Events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100"/>
        <w:gridCol w:w="1260"/>
      </w:tblGrid>
      <w:tr>
        <w:trPr>
          <w:tblHeader/>
        </w:trPr>
        <w:tc>
          <w:tcPr>
            <w:tcW w:type="dxa" w:w="24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Event</w:t>
            </w:r>
          </w:p>
        </w:tc>
        <w:tc>
          <w:tcPr>
            <w:tcW w:type="dxa" w:w="26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Consumer(s)</w:t>
            </w:r>
          </w:p>
        </w:tc>
        <w:tc>
          <w:tcPr>
            <w:tcW w:type="dxa" w:w="31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Payload Summary</w:t>
            </w:r>
          </w:p>
        </w:tc>
        <w:tc>
          <w:tcPr>
            <w:tcW w:type="dxa" w:w="126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Partitions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candidate.performance.computed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certification-engine, analytics-service, notification-service</w:t>
            </w:r>
          </w:p>
        </w:tc>
        <w:tc>
          <w:tcPr>
            <w:tcW w:type="dxa" w:w="3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candidate_id, cycle_id, tenant_id, normalized_score, belt_eligible_level, per_track_breakdown, rubric_version, computed_at</w:t>
            </w:r>
          </w:p>
        </w:tc>
        <w:tc>
          <w:tcPr>
            <w:tcW w:type="dxa" w:w="12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6</w:t>
            </w:r>
          </w:p>
        </w:tc>
      </w:tr>
      <w:tr>
        <w:tc>
          <w:tcPr>
            <w:tcW w:type="dxa" w:w="24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candidate.performance.aggregated.failed</w:t>
            </w:r>
          </w:p>
        </w:tc>
        <w:tc>
          <w:tcPr>
            <w:tcW w:type="dxa" w:w="26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admin-service, notification-service (ops alert)</w:t>
            </w:r>
          </w:p>
        </w:tc>
        <w:tc>
          <w:tcPr>
            <w:tcW w:type="dxa" w:w="31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candidate_id, cycle_id, failure_reason, retry_count, original_event_id</w:t>
            </w:r>
          </w:p>
        </w:tc>
        <w:tc>
          <w:tcPr>
            <w:tcW w:type="dxa" w:w="12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3</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candidate.performance.aggregated.dlq</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ops team / manual remediation</w:t>
            </w:r>
          </w:p>
        </w:tc>
        <w:tc>
          <w:tcPr>
            <w:tcW w:type="dxa" w:w="3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Full original event + failure metadata</w:t>
            </w:r>
          </w:p>
        </w:tc>
        <w:tc>
          <w:tcPr>
            <w:tcW w:type="dxa" w:w="12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w:t>
            </w:r>
          </w:p>
        </w:tc>
      </w:tr>
    </w:tbl>
    <w:p>
      <w:pPr>
        <w:spacing w:before="40" w:after="40"/>
      </w:pPr>
    </w:p>
    <w:p>
      <w:pPr>
        <w:pStyle w:val="Heading2"/>
        <w:spacing w:before="280" w:after="120"/>
      </w:pPr>
      <w:r>
        <w:rPr>
          <w:rFonts w:ascii="Arial" w:cs="Arial" w:eastAsia="Arial" w:hAnsi="Arial"/>
          <w:b/>
          <w:bCs/>
          <w:color w:val="0F7B6E"/>
          <w:sz w:val="24"/>
          <w:szCs w:val="24"/>
        </w:rPr>
        <w:t xml:space="preserve">6.2 PostgreSQL Writes</w:t>
      </w:r>
    </w:p>
    <w:p>
      <w:pPr>
        <w:pStyle w:val="ListParagraph"/>
        <w:numPr>
          <w:ilvl w:val="0"/>
          <w:numId w:val="2"/>
        </w:numPr>
        <w:spacing w:before="60" w:after="60"/>
      </w:pPr>
      <w:r>
        <w:rPr>
          <w:rFonts w:ascii="Arial" w:cs="Arial" w:eastAsia="Arial" w:hAnsi="Arial"/>
          <w:color w:val="1E293B"/>
          <w:sz w:val="22"/>
          <w:szCs w:val="22"/>
        </w:rPr>
        <w:t xml:space="preserve">ecoskiller.candidate_performance_aggregates — Primary persistence: candidate_id, cycle_id, tenant_id, gd_score, interview_score, dojo_score, weights_used, normalized_score, belt_eligible_level, rubric_version, tracks_participated, computed_at.</w:t>
      </w:r>
    </w:p>
    <w:p>
      <w:pPr>
        <w:pStyle w:val="ListParagraph"/>
        <w:numPr>
          <w:ilvl w:val="0"/>
          <w:numId w:val="2"/>
        </w:numPr>
        <w:spacing w:before="60" w:after="60"/>
      </w:pPr>
      <w:r>
        <w:rPr>
          <w:rFonts w:ascii="Arial" w:cs="Arial" w:eastAsia="Arial" w:hAnsi="Arial"/>
          <w:color w:val="1E293B"/>
          <w:sz w:val="22"/>
          <w:szCs w:val="22"/>
        </w:rPr>
        <w:t xml:space="preserve">ecoskiller.aggregation_audit_trail — Lightweight write log: event_id, candidate_id, cycle_id, action (COMPUTED | RETRIED | FAILED), timestamp, actor_service.</w:t>
      </w:r>
    </w:p>
    <w:p>
      <w:pPr>
        <w:spacing w:before="40" w:after="40"/>
      </w:pPr>
    </w:p>
    <w:p>
      <w:pPr>
        <w:pStyle w:val="Heading2"/>
        <w:spacing w:before="280" w:after="120"/>
      </w:pPr>
      <w:r>
        <w:rPr>
          <w:rFonts w:ascii="Arial" w:cs="Arial" w:eastAsia="Arial" w:hAnsi="Arial"/>
          <w:b/>
          <w:bCs/>
          <w:color w:val="0F7B6E"/>
          <w:sz w:val="24"/>
          <w:szCs w:val="24"/>
        </w:rPr>
        <w:t xml:space="preserve">6.3 ClickHouse Writes</w:t>
      </w:r>
    </w:p>
    <w:p>
      <w:pPr>
        <w:pStyle w:val="ListParagraph"/>
        <w:numPr>
          <w:ilvl w:val="0"/>
          <w:numId w:val="2"/>
        </w:numPr>
        <w:spacing w:before="60" w:after="60"/>
      </w:pPr>
      <w:r>
        <w:rPr>
          <w:rFonts w:ascii="Arial" w:cs="Arial" w:eastAsia="Arial" w:hAnsi="Arial"/>
          <w:color w:val="1E293B"/>
          <w:sz w:val="22"/>
          <w:szCs w:val="22"/>
        </w:rPr>
        <w:t xml:space="preserve">ecoskiller.perf_agg_audit_log — Columnar immutable write for analytics and compliance. Includes full per-track breakdown, weight configuration snapshot, and processing latency. Queried by the Analytics Service for scoring distribution dashboards.</w:t>
      </w:r>
    </w:p>
    <w:p>
      <w:pPr>
        <w:spacing w:before="40" w:after="40"/>
      </w:pPr>
    </w:p>
    <w:p>
      <w:pPr>
        <w:pStyle w:val="Heading2"/>
        <w:spacing w:before="280" w:after="120"/>
      </w:pPr>
      <w:r>
        <w:rPr>
          <w:rFonts w:ascii="Arial" w:cs="Arial" w:eastAsia="Arial" w:hAnsi="Arial"/>
          <w:b/>
          <w:bCs/>
          <w:color w:val="0F7B6E"/>
          <w:sz w:val="24"/>
          <w:szCs w:val="24"/>
        </w:rPr>
        <w:t xml:space="preserve">6.4 REST API Responses</w:t>
      </w:r>
    </w:p>
    <w:p>
      <w:pPr>
        <w:pStyle w:val="ListParagraph"/>
        <w:numPr>
          <w:ilvl w:val="0"/>
          <w:numId w:val="2"/>
        </w:numPr>
        <w:spacing w:before="60" w:after="60"/>
      </w:pPr>
      <w:r>
        <w:rPr>
          <w:rFonts w:ascii="Arial" w:cs="Arial" w:eastAsia="Arial" w:hAnsi="Arial"/>
          <w:color w:val="1E293B"/>
          <w:sz w:val="22"/>
          <w:szCs w:val="22"/>
        </w:rPr>
        <w:t xml:space="preserve">GET /api/v1/aggregations/:candidate_id/:cycle_id → 200 JSON: { status, normalized_score, belt_eligible_level, per_track_breakdown, computed_at } or 404 if not yet aggregated.</w:t>
      </w:r>
    </w:p>
    <w:p>
      <w:pPr>
        <w:pStyle w:val="ListParagraph"/>
        <w:numPr>
          <w:ilvl w:val="0"/>
          <w:numId w:val="2"/>
        </w:numPr>
        <w:spacing w:before="60" w:after="60"/>
      </w:pPr>
      <w:r>
        <w:rPr>
          <w:rFonts w:ascii="Arial" w:cs="Arial" w:eastAsia="Arial" w:hAnsi="Arial"/>
          <w:color w:val="1E293B"/>
          <w:sz w:val="22"/>
          <w:szCs w:val="22"/>
        </w:rPr>
        <w:t xml:space="preserve">POST /api/v1/aggregations/retry → 202 Accepted on successful retry enqueue, 409 Conflict if aggregation already in progress (lock held).</w:t>
      </w:r>
    </w:p>
    <w:p>
      <w:pPr>
        <w:pStyle w:val="Heading1"/>
        <w:pBdr>
          <w:bottom w:val="single" w:color="1A4E8C" w:sz="4" w:space="4"/>
        </w:pBdr>
        <w:spacing w:before="360" w:after="160"/>
      </w:pPr>
      <w:r>
        <w:rPr>
          <w:rFonts w:ascii="Arial" w:cs="Arial" w:eastAsia="Arial" w:hAnsi="Arial"/>
          <w:b/>
          <w:bCs/>
          <w:color w:val="1A4E8C"/>
          <w:sz w:val="30"/>
          <w:szCs w:val="30"/>
        </w:rPr>
        <w:t xml:space="preserve">7. Dependencies</w:t>
      </w:r>
    </w:p>
    <w:p>
      <w:pPr>
        <w:spacing w:before="80" w:after="100"/>
      </w:pPr>
      <w:r>
        <w:rPr>
          <w:rFonts w:ascii="Arial" w:cs="Arial" w:eastAsia="Arial" w:hAnsi="Arial"/>
          <w:b w:val="false"/>
          <w:bCs w:val="false"/>
          <w:i w:val="false"/>
          <w:iCs w:val="false"/>
          <w:color w:val="1E293B"/>
          <w:sz w:val="22"/>
          <w:szCs w:val="22"/>
        </w:rPr>
        <w:t xml:space="preserve">The following services and infrastructure components are required for candidate-performance-aggregator to operate correctly in the Ecoskiller platform.</w:t>
      </w:r>
    </w:p>
    <w:p>
      <w:pPr>
        <w:spacing w:before="40" w:after="40"/>
      </w:pPr>
    </w:p>
    <w:p>
      <w:pPr>
        <w:pStyle w:val="Heading2"/>
        <w:spacing w:before="280" w:after="120"/>
      </w:pPr>
      <w:r>
        <w:rPr>
          <w:rFonts w:ascii="Arial" w:cs="Arial" w:eastAsia="Arial" w:hAnsi="Arial"/>
          <w:b/>
          <w:bCs/>
          <w:color w:val="0F7B6E"/>
          <w:sz w:val="24"/>
          <w:szCs w:val="24"/>
        </w:rPr>
        <w:t xml:space="preserve">7.1 Upstream Service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3300"/>
        <w:gridCol w:w="2160"/>
      </w:tblGrid>
      <w:tr>
        <w:trPr>
          <w:tblHeader/>
        </w:trPr>
        <w:tc>
          <w:tcPr>
            <w:tcW w:type="dxa" w:w="21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Service</w:t>
            </w:r>
          </w:p>
        </w:tc>
        <w:tc>
          <w:tcPr>
            <w:tcW w:type="dxa" w:w="18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Dependency Type</w:t>
            </w:r>
          </w:p>
        </w:tc>
        <w:tc>
          <w:tcPr>
            <w:tcW w:type="dxa" w:w="33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Purpose</w:t>
            </w:r>
          </w:p>
        </w:tc>
        <w:tc>
          <w:tcPr>
            <w:tcW w:type="dxa" w:w="216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Failure Mode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scoring-engine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 producer (upstream)</w:t>
            </w:r>
          </w:p>
        </w:tc>
        <w:tc>
          <w:tcPr>
            <w:tcW w:type="dxa" w:w="33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Emits match.scored, gd.scored.snapshot, interview.scored.snapshot events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Aggregation paused; events buffered in Kafka</w:t>
            </w:r>
          </w:p>
        </w:tc>
      </w:tr>
      <w:tr>
        <w:tc>
          <w:tcPr>
            <w:tcW w:type="dxa" w:w="21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job-service</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REST (internal)</w:t>
            </w:r>
          </w:p>
        </w:tc>
        <w:tc>
          <w:tcPr>
            <w:tcW w:type="dxa" w:w="33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Provides assessment_cycle configuration and track weight overrides</w:t>
            </w:r>
          </w:p>
        </w:tc>
        <w:tc>
          <w:tcPr>
            <w:tcW w:type="dxa" w:w="21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Uses Redis cache / PostgreSQL fallback</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user-service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REST (internal)</w:t>
            </w:r>
          </w:p>
        </w:tc>
        <w:tc>
          <w:tcPr>
            <w:tcW w:type="dxa" w:w="33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Validates candidate_id existence before persisting aggregate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Aggregation skipped; DLQ event emitted</w:t>
            </w:r>
          </w:p>
        </w:tc>
      </w:tr>
      <w:tr>
        <w:tc>
          <w:tcPr>
            <w:tcW w:type="dxa" w:w="21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admin-service</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REST (internal)</w:t>
            </w:r>
          </w:p>
        </w:tc>
        <w:tc>
          <w:tcPr>
            <w:tcW w:type="dxa" w:w="33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Issues manual retry commands; receives failure alert events</w:t>
            </w:r>
          </w:p>
        </w:tc>
        <w:tc>
          <w:tcPr>
            <w:tcW w:type="dxa" w:w="21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Ops visibility degraded</w:t>
            </w:r>
          </w:p>
        </w:tc>
      </w:tr>
    </w:tbl>
    <w:p>
      <w:pPr>
        <w:spacing w:before="40" w:after="40"/>
      </w:pPr>
    </w:p>
    <w:p>
      <w:pPr>
        <w:pStyle w:val="Heading2"/>
        <w:spacing w:before="280" w:after="120"/>
      </w:pPr>
      <w:r>
        <w:rPr>
          <w:rFonts w:ascii="Arial" w:cs="Arial" w:eastAsia="Arial" w:hAnsi="Arial"/>
          <w:b/>
          <w:bCs/>
          <w:color w:val="0F7B6E"/>
          <w:sz w:val="24"/>
          <w:szCs w:val="24"/>
        </w:rPr>
        <w:t xml:space="preserve">7.2 Infrastructure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200"/>
        <w:gridCol w:w="3260"/>
      </w:tblGrid>
      <w:tr>
        <w:trPr>
          <w:tblHeader/>
        </w:trPr>
        <w:tc>
          <w:tcPr>
            <w:tcW w:type="dxa" w:w="20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Component</w:t>
            </w:r>
          </w:p>
        </w:tc>
        <w:tc>
          <w:tcPr>
            <w:tcW w:type="dxa" w:w="9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Version</w:t>
            </w:r>
          </w:p>
        </w:tc>
        <w:tc>
          <w:tcPr>
            <w:tcW w:type="dxa" w:w="32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Role</w:t>
            </w:r>
          </w:p>
        </w:tc>
        <w:tc>
          <w:tcPr>
            <w:tcW w:type="dxa" w:w="326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Failure Impact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Apache Kafka</w:t>
            </w:r>
          </w:p>
        </w:tc>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3.7.0</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Primary event bus — consumes scored snapshots, publishes computed performance events</w:t>
            </w:r>
          </w:p>
        </w:tc>
        <w:tc>
          <w:tcPr>
            <w:tcW w:type="dxa" w:w="32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CRITICAL — service cannot function without Kafka</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PostgreSQL</w:t>
            </w:r>
          </w:p>
        </w:tc>
        <w:tc>
          <w:tcPr>
            <w:tcW w:type="dxa" w:w="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15</w:t>
            </w:r>
          </w:p>
        </w:tc>
        <w:tc>
          <w:tcPr>
            <w:tcW w:type="dxa" w:w="3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Persistent storage for aggregate records and rubric configuration</w:t>
            </w:r>
          </w:p>
        </w:tc>
        <w:tc>
          <w:tcPr>
            <w:tcW w:type="dxa" w:w="32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CRITICAL — aggregation writes fail; Redis cache extends availability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w:t>
            </w:r>
          </w:p>
        </w:tc>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7.x</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Distributed locking, deduplication cache, rubric cache, cycle config cache</w:t>
            </w:r>
          </w:p>
        </w:tc>
        <w:tc>
          <w:tcPr>
            <w:tcW w:type="dxa" w:w="32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HIGH — lock contention risk; falls back to PostgreSQL for rubric/cycle data</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ClickHouse</w:t>
            </w:r>
          </w:p>
        </w:tc>
        <w:tc>
          <w:tcPr>
            <w:tcW w:type="dxa" w:w="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3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Analytics audit log writes for scoring distributions and compliance</w:t>
            </w:r>
          </w:p>
        </w:tc>
        <w:tc>
          <w:tcPr>
            <w:tcW w:type="dxa" w:w="32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LOW — audit writes fail silently; re-synced via scheduled Airflow job</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Keycloak</w:t>
            </w:r>
          </w:p>
        </w:tc>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24.0</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JWT validation for internal REST API auth; service account for admin-only endpoints</w:t>
            </w:r>
          </w:p>
        </w:tc>
        <w:tc>
          <w:tcPr>
            <w:tcW w:type="dxa" w:w="32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MEDIUM — admin/retry endpoints unavailable; Kafka processing continues</w:t>
            </w:r>
          </w:p>
        </w:tc>
      </w:tr>
      <w:tr>
        <w:tc>
          <w:tcPr>
            <w:tcW w:type="dxa" w:w="20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Apicurio Schema Registry</w:t>
            </w:r>
          </w:p>
        </w:tc>
        <w:tc>
          <w:tcPr>
            <w:tcW w:type="dxa" w:w="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Self-hosted</w:t>
            </w:r>
          </w:p>
        </w:tc>
        <w:tc>
          <w:tcPr>
            <w:tcW w:type="dxa" w:w="3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Avro schema enforcement on consumed and produced Kafka events</w:t>
            </w:r>
          </w:p>
        </w:tc>
        <w:tc>
          <w:tcPr>
            <w:tcW w:type="dxa" w:w="32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HIGH — schema validation bypassed; risk of malformed event propagation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(k3s)</w:t>
            </w:r>
          </w:p>
        </w:tc>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Pod scheduling, HPA scaling, ConfigMap for weight defaults, Kubernetes Secrets for DB credentials</w:t>
            </w:r>
          </w:p>
        </w:tc>
        <w:tc>
          <w:tcPr>
            <w:tcW w:type="dxa" w:w="32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CRITICAL — service unavailable without orchestration</w:t>
            </w:r>
          </w:p>
        </w:tc>
      </w:tr>
    </w:tbl>
    <w:p>
      <w:pPr>
        <w:spacing w:before="40" w:after="40"/>
      </w:pPr>
    </w:p>
    <w:p>
      <w:pPr>
        <w:pStyle w:val="Heading2"/>
        <w:spacing w:before="280" w:after="120"/>
      </w:pPr>
      <w:r>
        <w:rPr>
          <w:rFonts w:ascii="Arial" w:cs="Arial" w:eastAsia="Arial" w:hAnsi="Arial"/>
          <w:b/>
          <w:bCs/>
          <w:color w:val="0F7B6E"/>
          <w:sz w:val="24"/>
          <w:szCs w:val="24"/>
        </w:rPr>
        <w:t xml:space="preserve">7.3 Downstream Dependents (Services Consuming This Service's Output)</w:t>
      </w:r>
    </w:p>
    <w:p>
      <w:pPr>
        <w:pStyle w:val="ListParagraph"/>
        <w:numPr>
          <w:ilvl w:val="0"/>
          <w:numId w:val="2"/>
        </w:numPr>
        <w:spacing w:before="60" w:after="60"/>
      </w:pPr>
      <w:r>
        <w:rPr>
          <w:rFonts w:ascii="Arial" w:cs="Arial" w:eastAsia="Arial" w:hAnsi="Arial"/>
          <w:b/>
          <w:bCs/>
          <w:color w:val="1A4E8C"/>
          <w:sz w:val="22"/>
          <w:szCs w:val="22"/>
        </w:rPr>
        <w:t xml:space="preserve">Consumes candidate.performance.computed to determine belt eligibility and trigger certificate issuance.: </w:t>
      </w:r>
      <w:r>
        <w:rPr>
          <w:rFonts w:ascii="Arial" w:cs="Arial" w:eastAsia="Arial" w:hAnsi="Arial"/>
          <w:color w:val="1E293B"/>
          <w:sz w:val="22"/>
          <w:szCs w:val="22"/>
        </w:rPr>
        <w:t xml:space="preserve">certification-engine</w:t>
      </w:r>
    </w:p>
    <w:p>
      <w:pPr>
        <w:pStyle w:val="ListParagraph"/>
        <w:numPr>
          <w:ilvl w:val="0"/>
          <w:numId w:val="2"/>
        </w:numPr>
        <w:spacing w:before="60" w:after="60"/>
      </w:pPr>
      <w:r>
        <w:rPr>
          <w:rFonts w:ascii="Arial" w:cs="Arial" w:eastAsia="Arial" w:hAnsi="Arial"/>
          <w:b/>
          <w:bCs/>
          <w:color w:val="1A4E8C"/>
          <w:sz w:val="22"/>
          <w:szCs w:val="22"/>
        </w:rPr>
        <w:t xml:space="preserve">Consumes candidate.performance.computed and queries ClickHouse for scoring distribution dashboards.: </w:t>
      </w:r>
      <w:r>
        <w:rPr>
          <w:rFonts w:ascii="Arial" w:cs="Arial" w:eastAsia="Arial" w:hAnsi="Arial"/>
          <w:color w:val="1E293B"/>
          <w:sz w:val="22"/>
          <w:szCs w:val="22"/>
        </w:rPr>
        <w:t xml:space="preserve">analytics-service</w:t>
      </w:r>
    </w:p>
    <w:p>
      <w:pPr>
        <w:pStyle w:val="ListParagraph"/>
        <w:numPr>
          <w:ilvl w:val="0"/>
          <w:numId w:val="2"/>
        </w:numPr>
        <w:spacing w:before="60" w:after="60"/>
      </w:pPr>
      <w:r>
        <w:rPr>
          <w:rFonts w:ascii="Arial" w:cs="Arial" w:eastAsia="Arial" w:hAnsi="Arial"/>
          <w:b/>
          <w:bCs/>
          <w:color w:val="1A4E8C"/>
          <w:sz w:val="22"/>
          <w:szCs w:val="22"/>
        </w:rPr>
        <w:t xml:space="preserve">Consumes candidate.performance.computed to send candidate score notifications via email/push.: </w:t>
      </w:r>
      <w:r>
        <w:rPr>
          <w:rFonts w:ascii="Arial" w:cs="Arial" w:eastAsia="Arial" w:hAnsi="Arial"/>
          <w:color w:val="1E293B"/>
          <w:sz w:val="22"/>
          <w:szCs w:val="22"/>
        </w:rPr>
        <w:t xml:space="preserve">notification-service</w:t>
      </w:r>
    </w:p>
    <w:p>
      <w:pPr>
        <w:pStyle w:val="ListParagraph"/>
        <w:numPr>
          <w:ilvl w:val="0"/>
          <w:numId w:val="2"/>
        </w:numPr>
        <w:spacing w:before="60" w:after="60"/>
      </w:pPr>
      <w:r>
        <w:rPr>
          <w:rFonts w:ascii="Arial" w:cs="Arial" w:eastAsia="Arial" w:hAnsi="Arial"/>
          <w:b/>
          <w:bCs/>
          <w:color w:val="1A4E8C"/>
          <w:sz w:val="22"/>
          <w:szCs w:val="22"/>
        </w:rPr>
        <w:t xml:space="preserve">Consumes normalized_score and per_track_breakdown to update the 8-dimension intelligence vector.: </w:t>
      </w:r>
      <w:r>
        <w:rPr>
          <w:rFonts w:ascii="Arial" w:cs="Arial" w:eastAsia="Arial" w:hAnsi="Arial"/>
          <w:color w:val="1E293B"/>
          <w:sz w:val="22"/>
          <w:szCs w:val="22"/>
        </w:rPr>
        <w:t xml:space="preserve">intelligence-profile-service (XI)</w:t>
      </w:r>
    </w:p>
    <w:p>
      <w:pPr>
        <w:pStyle w:val="Heading1"/>
        <w:pBdr>
          <w:bottom w:val="single" w:color="1A4E8C" w:sz="4" w:space="4"/>
        </w:pBdr>
        <w:spacing w:before="360" w:after="160"/>
      </w:pPr>
      <w:r>
        <w:rPr>
          <w:rFonts w:ascii="Arial" w:cs="Arial" w:eastAsia="Arial" w:hAnsi="Arial"/>
          <w:b/>
          <w:bCs/>
          <w:color w:val="1A4E8C"/>
          <w:sz w:val="30"/>
          <w:szCs w:val="30"/>
        </w:rPr>
        <w:t xml:space="preserve">8.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Technology</w:t>
            </w:r>
          </w:p>
        </w:tc>
        <w:tc>
          <w:tcPr>
            <w:tcW w:type="dxa" w:w="12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Version</w:t>
            </w:r>
          </w:p>
        </w:tc>
        <w:tc>
          <w:tcPr>
            <w:tcW w:type="dxa" w:w="596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Role in This Service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Node.js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LTS (v20.x)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Primary runtime — stateless microservice, async Kafka consumer/producer, REST API server</w:t>
            </w:r>
          </w:p>
        </w:tc>
      </w:tr>
      <w:tr>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Express.js</w:t>
            </w:r>
          </w:p>
        </w:tc>
        <w:tc>
          <w:tcPr>
            <w:tcW w:type="dxa" w:w="1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4.x</w:t>
            </w:r>
          </w:p>
        </w:tc>
        <w:tc>
          <w:tcPr>
            <w:tcW w:type="dxa" w:w="59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Lightweight HTTP server for internal REST API (/metrics, /health, /aggregations)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KafkaJS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2.x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 consumer and producer client — consumer group management, partition assignment, retry/DLQ routing</w:t>
            </w:r>
          </w:p>
        </w:tc>
      </w:tr>
      <w:tr>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ioredis</w:t>
            </w:r>
          </w:p>
        </w:tc>
        <w:tc>
          <w:tcPr>
            <w:tcW w:type="dxa" w:w="1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5.x</w:t>
            </w:r>
          </w:p>
        </w:tc>
        <w:tc>
          <w:tcPr>
            <w:tcW w:type="dxa" w:w="59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Redis client — distributed locking (SET NX EX), deduplication cache, rubric/cycle cache reads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pg (node-postgres)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8.x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PostgreSQL client — aggregate writes, rubric fallback reads, cycle config reads</w:t>
            </w:r>
          </w:p>
        </w:tc>
      </w:tr>
      <w:tr>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ClickHouse HTTP Client</w:t>
            </w:r>
          </w:p>
        </w:tc>
        <w:tc>
          <w:tcPr>
            <w:tcW w:type="dxa" w:w="1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59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HTTP-based ClickHouse insert for audit log writes (INSERT INTO ecoskiller.perf_agg_audit_log)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Apache Kafka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3.7.0</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Event streaming backbone — decouples aggregator from scoring-engine and downstream consumers</w:t>
            </w:r>
          </w:p>
        </w:tc>
      </w:tr>
      <w:tr>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PostgreSQL</w:t>
            </w:r>
          </w:p>
        </w:tc>
        <w:tc>
          <w:tcPr>
            <w:tcW w:type="dxa" w:w="1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15</w:t>
            </w:r>
          </w:p>
        </w:tc>
        <w:tc>
          <w:tcPr>
            <w:tcW w:type="dxa" w:w="59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Relational persistence with Row-Level Security for multi-tenant isolation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7.x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In-memory store for locks, deduplication, and rubric/config caching</w:t>
            </w:r>
          </w:p>
        </w:tc>
      </w:tr>
      <w:tr>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ClickHouse</w:t>
            </w:r>
          </w:p>
        </w:tc>
        <w:tc>
          <w:tcPr>
            <w:tcW w:type="dxa" w:w="1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59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Columnar OLAP store for immutable audit logs and analytics-ready aggregation history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Apicurio Schema Registry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Self-hosted</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Avro/JSON schema validation on all Kafka events consumed and produced</w:t>
            </w:r>
          </w:p>
        </w:tc>
      </w:tr>
      <w:tr>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Kubernetes (k3s)</w:t>
            </w:r>
          </w:p>
        </w:tc>
        <w:tc>
          <w:tcPr>
            <w:tcW w:type="dxa" w:w="1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59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Container orchestration — HPA for consumer lag scaling, ConfigMaps, Kubernetes Secrets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Helm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v3.x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Deployment packaging — per-environment value overrides (dev/test/stage/prod)</w:t>
            </w:r>
          </w:p>
        </w:tc>
      </w:tr>
      <w:tr>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Docker</w:t>
            </w:r>
          </w:p>
        </w:tc>
        <w:tc>
          <w:tcPr>
            <w:tcW w:type="dxa" w:w="1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59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Containerization — image: ecoskiller/candidate-performance-aggregator (~1.58 GB, alpine migration planned)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Prometheus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Metrics scrape — custom counters for aggregation throughput, latency, DLQ lag</w:t>
            </w:r>
          </w:p>
        </w:tc>
      </w:tr>
      <w:tr>
        <w:tc>
          <w:tcPr>
            <w:tcW w:type="dxa" w:w="2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Jaeger (OpenTelemetry)</w:t>
            </w:r>
          </w:p>
        </w:tc>
        <w:tc>
          <w:tcPr>
            <w:tcW w:type="dxa" w:w="12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59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Distributed tracing — W3C TraceContext propagation through Kafka headers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GitLab CI (Self-Hosted)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Latest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CI/CD — build → Trivy scan → dev/test/stage/prod pipeline via Harbor registry</w:t>
            </w:r>
          </w:p>
        </w:tc>
      </w:tr>
    </w:tbl>
    <w:p>
      <w:pPr>
        <w:pStyle w:val="Heading1"/>
        <w:pBdr>
          <w:bottom w:val="single" w:color="1A4E8C" w:sz="4" w:space="4"/>
        </w:pBdr>
        <w:spacing w:before="360" w:after="160"/>
      </w:pPr>
      <w:r>
        <w:rPr>
          <w:rFonts w:ascii="Arial" w:cs="Arial" w:eastAsia="Arial" w:hAnsi="Arial"/>
          <w:b/>
          <w:bCs/>
          <w:color w:val="1A4E8C"/>
          <w:sz w:val="30"/>
          <w:szCs w:val="30"/>
        </w:rPr>
        <w:t xml:space="preserve">9. Business Value</w:t>
      </w:r>
    </w:p>
    <w:p>
      <w:pPr>
        <w:spacing w:before="80" w:after="100"/>
      </w:pPr>
      <w:r>
        <w:rPr>
          <w:rFonts w:ascii="Arial" w:cs="Arial" w:eastAsia="Arial" w:hAnsi="Arial"/>
          <w:b w:val="false"/>
          <w:bCs w:val="false"/>
          <w:i w:val="false"/>
          <w:iCs w:val="false"/>
          <w:color w:val="1E293B"/>
          <w:sz w:val="22"/>
          <w:szCs w:val="22"/>
        </w:rPr>
        <w:t xml:space="preserve">The candidate-performance-aggregator is the critical convergence point in Ecoskiller's multi-track assessment pipeline. Without it, the platform has no mechanism to produce a single, fair, explainable candidate score across Group Discussion, Interview, and Dojo assessments — the three pillars of Ecoskiller's AI-driven hiring methodology.</w:t>
      </w:r>
    </w:p>
    <w:p>
      <w:pPr>
        <w:spacing w:before="40" w:after="40"/>
      </w:pPr>
    </w:p>
    <w:p>
      <w:pPr>
        <w:pStyle w:val="Heading2"/>
        <w:spacing w:before="280" w:after="120"/>
      </w:pPr>
      <w:r>
        <w:rPr>
          <w:rFonts w:ascii="Arial" w:cs="Arial" w:eastAsia="Arial" w:hAnsi="Arial"/>
          <w:b/>
          <w:bCs/>
          <w:color w:val="0F7B6E"/>
          <w:sz w:val="24"/>
          <w:szCs w:val="24"/>
        </w:rPr>
        <w:t xml:space="preserve">9.1 Enables Belt Certification</w:t>
      </w:r>
    </w:p>
    <w:p>
      <w:pPr>
        <w:spacing w:before="80" w:after="100"/>
      </w:pPr>
      <w:r>
        <w:rPr>
          <w:rFonts w:ascii="Arial" w:cs="Arial" w:eastAsia="Arial" w:hAnsi="Arial"/>
          <w:b w:val="false"/>
          <w:bCs w:val="false"/>
          <w:i w:val="false"/>
          <w:iCs w:val="false"/>
          <w:color w:val="1E293B"/>
          <w:sz w:val="22"/>
          <w:szCs w:val="22"/>
        </w:rPr>
        <w:t xml:space="preserve">The Ecoskiller certification system (belt levels: Bronze → Silver → Gold → Platinum) is entirely dependent on the normalized_score and belt_eligible_level fields produced by this service. The certification-engine cannot make any eligibility determination without a candidate.performance.computed event — making candidate-performance-aggregator a blocking dependency in the certification pipeline. Every digital certificate issued on the platform traces directly to this service.</w:t>
      </w:r>
    </w:p>
    <w:p>
      <w:pPr>
        <w:spacing w:before="40" w:after="40"/>
      </w:pPr>
    </w:p>
    <w:p>
      <w:pPr>
        <w:pStyle w:val="Heading2"/>
        <w:spacing w:before="280" w:after="120"/>
      </w:pPr>
      <w:r>
        <w:rPr>
          <w:rFonts w:ascii="Arial" w:cs="Arial" w:eastAsia="Arial" w:hAnsi="Arial"/>
          <w:b/>
          <w:bCs/>
          <w:color w:val="0F7B6E"/>
          <w:sz w:val="24"/>
          <w:szCs w:val="24"/>
        </w:rPr>
        <w:t xml:space="preserve">9.2 Powers Recruiter Decision Intelligence</w:t>
      </w:r>
    </w:p>
    <w:p>
      <w:pPr>
        <w:spacing w:before="80" w:after="100"/>
      </w:pPr>
      <w:r>
        <w:rPr>
          <w:rFonts w:ascii="Arial" w:cs="Arial" w:eastAsia="Arial" w:hAnsi="Arial"/>
          <w:b w:val="false"/>
          <w:bCs w:val="false"/>
          <w:i w:val="false"/>
          <w:iCs w:val="false"/>
          <w:color w:val="1E293B"/>
          <w:sz w:val="22"/>
          <w:szCs w:val="22"/>
        </w:rPr>
        <w:t xml:space="preserve">Recruiters on the Ecoskiller platform make hiring decisions based on candidate ranking dashboards fed by analytics-service, which in turn queries ClickHouse audit logs written by this service. The per_track_breakdown payload enables transparent, dimension-by-dimension performance comparison across candidates — significantly reducing unconscious hiring bias by providing structured, rubric-normalized data rather than raw interviewer impressions.</w:t>
      </w:r>
    </w:p>
    <w:p>
      <w:pPr>
        <w:spacing w:before="40" w:after="40"/>
      </w:pPr>
    </w:p>
    <w:p>
      <w:pPr>
        <w:pStyle w:val="Heading2"/>
        <w:spacing w:before="280" w:after="120"/>
      </w:pPr>
      <w:r>
        <w:rPr>
          <w:rFonts w:ascii="Arial" w:cs="Arial" w:eastAsia="Arial" w:hAnsi="Arial"/>
          <w:b/>
          <w:bCs/>
          <w:color w:val="0F7B6E"/>
          <w:sz w:val="24"/>
          <w:szCs w:val="24"/>
        </w:rPr>
        <w:t xml:space="preserve">9.3 Supports Intelligence Profile (XI) Construction</w:t>
      </w:r>
    </w:p>
    <w:p>
      <w:pPr>
        <w:spacing w:before="80" w:after="100"/>
      </w:pPr>
      <w:r>
        <w:rPr>
          <w:rFonts w:ascii="Arial" w:cs="Arial" w:eastAsia="Arial" w:hAnsi="Arial"/>
          <w:b w:val="false"/>
          <w:bCs w:val="false"/>
          <w:i w:val="false"/>
          <w:iCs w:val="false"/>
          <w:color w:val="1E293B"/>
          <w:sz w:val="22"/>
          <w:szCs w:val="22"/>
        </w:rPr>
        <w:t xml:space="preserve">Ecoskiller's 8-dimension intelligence vector (XI) is built passively from behavioural signals including normalized assessment scores. The candidate-performance-aggregator's output feeds the xi-profile-service to update Communication, Analytical, Leadership, and Technical intelligence dimensions — enriching the platform's long-term candidate reputation model across hiring cycles.</w:t>
      </w:r>
    </w:p>
    <w:p>
      <w:pPr>
        <w:spacing w:before="40" w:after="40"/>
      </w:pPr>
    </w:p>
    <w:p>
      <w:pPr>
        <w:pStyle w:val="Heading2"/>
        <w:spacing w:before="280" w:after="120"/>
      </w:pPr>
      <w:r>
        <w:rPr>
          <w:rFonts w:ascii="Arial" w:cs="Arial" w:eastAsia="Arial" w:hAnsi="Arial"/>
          <w:b/>
          <w:bCs/>
          <w:color w:val="0F7B6E"/>
          <w:sz w:val="24"/>
          <w:szCs w:val="24"/>
        </w:rPr>
        <w:t xml:space="preserve">9.4 Ensures Platform Fairness &amp; Compliance</w:t>
      </w:r>
    </w:p>
    <w:p>
      <w:pPr>
        <w:spacing w:before="80" w:after="100"/>
      </w:pPr>
      <w:r>
        <w:rPr>
          <w:rFonts w:ascii="Arial" w:cs="Arial" w:eastAsia="Arial" w:hAnsi="Arial"/>
          <w:b w:val="false"/>
          <w:bCs w:val="false"/>
          <w:i w:val="false"/>
          <w:iCs w:val="false"/>
          <w:color w:val="1E293B"/>
          <w:sz w:val="22"/>
          <w:szCs w:val="22"/>
        </w:rPr>
        <w:t xml:space="preserve">By applying configurable, tenant-defined weighted rubrics rather than hardcoded scoring logic, the service enables enterprise clients to customise assessment weighting for different job roles (e.g., higher interview weight for management roles, higher dojo weight for engineering roles) — while Ecoskiller maintains a consistent, auditable score computation trail in ClickHouse for regulatory review under India DPDPA 2023. The score explainability payload also provides a technical basis for candidates to exercise their right to an explanation of automated decisions.</w:t>
      </w:r>
    </w:p>
    <w:p>
      <w:pPr>
        <w:spacing w:before="40" w:after="40"/>
      </w:pPr>
    </w:p>
    <w:p>
      <w:pPr>
        <w:pStyle w:val="Heading2"/>
        <w:spacing w:before="280" w:after="120"/>
      </w:pPr>
      <w:r>
        <w:rPr>
          <w:rFonts w:ascii="Arial" w:cs="Arial" w:eastAsia="Arial" w:hAnsi="Arial"/>
          <w:b/>
          <w:bCs/>
          <w:color w:val="0F7B6E"/>
          <w:sz w:val="24"/>
          <w:szCs w:val="24"/>
        </w:rPr>
        <w:t xml:space="preserve">9.5 Decoupled Scalability</w:t>
      </w:r>
    </w:p>
    <w:p>
      <w:pPr>
        <w:spacing w:before="80" w:after="100"/>
      </w:pPr>
      <w:r>
        <w:rPr>
          <w:rFonts w:ascii="Arial" w:cs="Arial" w:eastAsia="Arial" w:hAnsi="Arial"/>
          <w:b w:val="false"/>
          <w:bCs w:val="false"/>
          <w:i w:val="false"/>
          <w:iCs w:val="false"/>
          <w:color w:val="1E293B"/>
          <w:sz w:val="22"/>
          <w:szCs w:val="22"/>
        </w:rPr>
        <w:t xml:space="preserve">As an independent Kafka consumer microservice, candidate-performance-aggregator scales horizontally via Kubernetes HPA based on Kafka consumer group lag — independently of the scoring-engine and certification-engine. This prevents assessment scoring bottlenecks during high-volume hiring events (e.g., campus recruitment drives with hundreds of concurrent GD sessions) from cascading into the certification pipeline.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8F5F3" w:val="clear"/>
            <w:tcMar>
              <w:top w:type="dxa" w:w="120"/>
              <w:left w:type="dxa" w:w="200"/>
              <w:bottom w:type="dxa" w:w="120"/>
              <w:right w:type="dxa" w:w="200"/>
            </w:tcMar>
          </w:tcPr>
          <w:p>
            <w:pPr>
              <w:spacing w:before="0" w:after="60"/>
            </w:pPr>
            <w:r>
              <w:rPr>
                <w:rFonts w:ascii="Arial" w:cs="Arial" w:eastAsia="Arial" w:hAnsi="Arial"/>
                <w:b/>
                <w:bCs/>
                <w:color w:val="0F7B6E"/>
                <w:sz w:val="22"/>
                <w:szCs w:val="22"/>
              </w:rPr>
              <w:t xml:space="preserve">Summary</w:t>
            </w:r>
          </w:p>
          <w:p>
            <w:r>
              <w:rPr>
                <w:rFonts w:ascii="Arial" w:cs="Arial" w:eastAsia="Arial" w:hAnsi="Arial"/>
                <w:color w:val="1E293B"/>
                <w:sz w:val="20"/>
                <w:szCs w:val="20"/>
              </w:rPr>
              <w:t xml:space="preserve">candidate-performance-aggregator is the authoritative, tenant-aware, multi-track score consolidation layer of the Ecoskiller platform. It transforms independently-scored assessment events into a single, normalized, explainable candidate performance record — enabling fair hiring decisions, digital certification issuance, intelligence profiling, and compliance auditability at scale across the GCP + AWS multi-cloud deployment.</w:t>
            </w:r>
          </w:p>
        </w:tc>
      </w:tr>
    </w:tbl>
    <w:p>
      <w:r>
        <w:br w:type="page"/>
      </w:r>
    </w:p>
    <w:p>
      <w:pPr>
        <w:pStyle w:val="Heading1"/>
        <w:pBdr>
          <w:bottom w:val="single" w:color="1A4E8C" w:sz="4" w:space="4"/>
        </w:pBdr>
        <w:spacing w:before="360" w:after="160"/>
      </w:pPr>
      <w:r>
        <w:rPr>
          <w:rFonts w:ascii="Arial" w:cs="Arial" w:eastAsia="Arial" w:hAnsi="Arial"/>
          <w:b/>
          <w:bCs/>
          <w:color w:val="1A4E8C"/>
          <w:sz w:val="30"/>
          <w:szCs w:val="30"/>
        </w:rPr>
        <w:t xml:space="preserve">10. Data Flow &amp; Event Pipeline</w:t>
      </w:r>
    </w:p>
    <w:p>
      <w:pPr>
        <w:spacing w:before="80" w:after="100"/>
      </w:pPr>
      <w:r>
        <w:rPr>
          <w:rFonts w:ascii="Arial" w:cs="Arial" w:eastAsia="Arial" w:hAnsi="Arial"/>
          <w:b w:val="false"/>
          <w:bCs w:val="false"/>
          <w:i w:val="false"/>
          <w:iCs w:val="false"/>
          <w:color w:val="1E293B"/>
          <w:sz w:val="22"/>
          <w:szCs w:val="22"/>
        </w:rPr>
        <w:t xml:space="preserve">The following diagram illustrates the end-to-end data flow through candidate-performance-aggregator within the Ecoskiller event-driven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200"/>
              <w:left w:type="dxa" w:w="300"/>
              <w:bottom w:type="dxa" w:w="200"/>
              <w:right w:type="dxa" w:w="300"/>
            </w:tcMar>
          </w:tcPr>
          <w:p>
            <w:pPr>
              <w:spacing w:before="40" w:after="60"/>
            </w:pPr>
            <w:r>
              <w:rPr>
                <w:rFonts w:ascii="Courier New" w:cs="Courier New" w:eastAsia="Courier New" w:hAnsi="Courier New"/>
                <w:b/>
                <w:bCs/>
                <w:color w:val="00E5CC"/>
                <w:sz w:val="18"/>
                <w:szCs w:val="18"/>
              </w:rPr>
              <w:t xml:space="preserve">ECOSKILLER EVENT PIPELINE — candidate-performance-aggregator</w:t>
            </w:r>
          </w:p>
          <w:p>
            <w:pPr>
              <w:spacing w:before="20" w:after="20"/>
            </w:pPr>
            <w:r>
              <w:rPr>
                <w:rFonts w:ascii="Courier New" w:cs="Courier New" w:eastAsia="Courier New" w:hAnsi="Courier New"/>
                <w:color w:val="64748B"/>
                <w:sz w:val="16"/>
                <w:szCs w:val="16"/>
              </w:rPr>
              <w:t xml:space="preserve">────────────────────────────────────────────────────────────────────</w:t>
            </w:r>
          </w:p>
          <w:p>
            <w:pPr>
              <w:spacing w:before="20" w:after="20"/>
            </w:pPr>
            <w:r>
              <w:rPr>
                <w:rFonts w:ascii="Courier New" w:cs="Courier New" w:eastAsia="Courier New" w:hAnsi="Courier New"/>
                <w:b/>
                <w:bCs/>
                <w:color w:val="94A3B8"/>
                <w:sz w:val="18"/>
                <w:szCs w:val="18"/>
              </w:rPr>
              <w:t xml:space="preserve">UPSTREAM PRODUCERS                  KAFKA TOPICS</w:t>
            </w:r>
          </w:p>
          <w:p>
            <w:pPr>
              <w:spacing w:before="20" w:after="20"/>
            </w:pPr>
            <w:r>
              <w:rPr>
                <w:rFonts w:ascii="Courier New" w:cs="Courier New" w:eastAsia="Courier New" w:hAnsi="Courier New"/>
                <w:color w:val="E2E8F0"/>
                <w:sz w:val="18"/>
                <w:szCs w:val="18"/>
              </w:rPr>
              <w:t xml:space="preserve">  gd-orchestrator          ──►  gd.completed</w:t>
            </w:r>
          </w:p>
          <w:p>
            <w:pPr>
              <w:spacing w:before="20" w:after="20"/>
            </w:pPr>
            <w:r>
              <w:rPr>
                <w:rFonts w:ascii="Courier New" w:cs="Courier New" w:eastAsia="Courier New" w:hAnsi="Courier New"/>
                <w:color w:val="E2E8F0"/>
                <w:sz w:val="18"/>
                <w:szCs w:val="18"/>
              </w:rPr>
              <w:t xml:space="preserve">  interview-service         ──►  interview.completed</w:t>
            </w:r>
          </w:p>
          <w:p>
            <w:pPr>
              <w:spacing w:before="20" w:after="20"/>
            </w:pPr>
            <w:r>
              <w:rPr>
                <w:rFonts w:ascii="Courier New" w:cs="Courier New" w:eastAsia="Courier New" w:hAnsi="Courier New"/>
                <w:color w:val="E2E8F0"/>
                <w:sz w:val="18"/>
                <w:szCs w:val="18"/>
              </w:rPr>
              <w:t xml:space="preserve">  dojo-match-engine         ──►  match.scored (trigger)</w:t>
            </w:r>
          </w:p>
          <w:p>
            <w:pPr>
              <w:spacing w:before="20" w:after="20"/>
            </w:pPr>
            <w:r>
              <w:rPr>
                <w:rFonts w:ascii="Courier New" w:cs="Courier New" w:eastAsia="Courier New" w:hAnsi="Courier New"/>
                <w:color w:val="64748B"/>
                <w:sz w:val="18"/>
                <w:szCs w:val="18"/>
              </w:rPr>
              <w:t xml:space="preserve">                                          │</w:t>
            </w:r>
          </w:p>
          <w:p>
            <w:pPr>
              <w:spacing w:before="20" w:after="20"/>
            </w:pPr>
            <w:r>
              <w:rPr>
                <w:rFonts w:ascii="Courier New" w:cs="Courier New" w:eastAsia="Courier New" w:hAnsi="Courier New"/>
                <w:color w:val="64748B"/>
                <w:sz w:val="18"/>
                <w:szCs w:val="18"/>
              </w:rPr>
              <w:t xml:space="preserve">                              ┌───────────▼─────────────────┐</w:t>
            </w:r>
          </w:p>
          <w:p>
            <w:pPr>
              <w:spacing w:before="20" w:after="20"/>
            </w:pPr>
            <w:r>
              <w:rPr>
                <w:rFonts w:ascii="Courier New" w:cs="Courier New" w:eastAsia="Courier New" w:hAnsi="Courier New"/>
                <w:color w:val="FBBF24"/>
                <w:sz w:val="18"/>
                <w:szCs w:val="18"/>
              </w:rPr>
              <w:t xml:space="preserve">                              │       scoring-engine        │</w:t>
            </w:r>
          </w:p>
          <w:p>
            <w:pPr>
              <w:spacing w:before="20" w:after="20"/>
            </w:pPr>
            <w:r>
              <w:rPr>
                <w:rFonts w:ascii="Courier New" w:cs="Courier New" w:eastAsia="Courier New" w:hAnsi="Courier New"/>
                <w:color w:val="94A3B8"/>
                <w:sz w:val="18"/>
                <w:szCs w:val="18"/>
              </w:rPr>
              <w:t xml:space="preserve">                              │  Computes per-track scores  │</w:t>
            </w:r>
          </w:p>
          <w:p>
            <w:pPr>
              <w:spacing w:before="20" w:after="20"/>
            </w:pPr>
            <w:r>
              <w:rPr>
                <w:rFonts w:ascii="Courier New" w:cs="Courier New" w:eastAsia="Courier New" w:hAnsi="Courier New"/>
                <w:color w:val="64748B"/>
                <w:sz w:val="18"/>
                <w:szCs w:val="18"/>
              </w:rPr>
              <w:t xml:space="preserve">                              └───────────┬─────────────────┘</w:t>
            </w:r>
          </w:p>
          <w:p>
            <w:pPr>
              <w:spacing w:before="20" w:after="20"/>
            </w:pPr>
            <w:r>
              <w:rPr>
                <w:rFonts w:ascii="Courier New" w:cs="Courier New" w:eastAsia="Courier New" w:hAnsi="Courier New"/>
                <w:color w:val="64748B"/>
                <w:sz w:val="18"/>
                <w:szCs w:val="18"/>
              </w:rPr>
              <w:t xml:space="preserve">                            match.scored + *.scored.snapshot</w:t>
            </w:r>
          </w:p>
          <w:p>
            <w:pPr>
              <w:spacing w:before="20" w:after="20"/>
            </w:pPr>
            <w:r>
              <w:rPr>
                <w:rFonts w:ascii="Courier New" w:cs="Courier New" w:eastAsia="Courier New" w:hAnsi="Courier New"/>
                <w:color w:val="64748B"/>
                <w:sz w:val="18"/>
                <w:szCs w:val="18"/>
              </w:rPr>
              <w:t xml:space="preserve">                                          │</w:t>
            </w:r>
          </w:p>
          <w:p>
            <w:pPr>
              <w:spacing w:before="20" w:after="20"/>
            </w:pPr>
            <w:r>
              <w:rPr>
                <w:rFonts w:ascii="Courier New" w:cs="Courier New" w:eastAsia="Courier New" w:hAnsi="Courier New"/>
                <w:color w:val="64748B"/>
                <w:sz w:val="18"/>
                <w:szCs w:val="18"/>
              </w:rPr>
              <w:t xml:space="preserve">                              ┌───────────▼─────────────────┐</w:t>
            </w:r>
          </w:p>
          <w:p>
            <w:pPr>
              <w:spacing w:before="20" w:after="20"/>
            </w:pPr>
            <w:r>
              <w:rPr>
                <w:rFonts w:ascii="Courier New" w:cs="Courier New" w:eastAsia="Courier New" w:hAnsi="Courier New"/>
                <w:color w:val="00E5CC"/>
                <w:sz w:val="18"/>
                <w:szCs w:val="18"/>
              </w:rPr>
              <w:t xml:space="preserve">                              │ candidate-performance-      │</w:t>
            </w:r>
          </w:p>
          <w:p>
            <w:pPr>
              <w:spacing w:before="20" w:after="20"/>
            </w:pPr>
            <w:r>
              <w:rPr>
                <w:rFonts w:ascii="Courier New" w:cs="Courier New" w:eastAsia="Courier New" w:hAnsi="Courier New"/>
                <w:color w:val="00E5CC"/>
                <w:sz w:val="18"/>
                <w:szCs w:val="18"/>
              </w:rPr>
              <w:t xml:space="preserve">                              │     aggregator (THIS)       │</w:t>
            </w:r>
          </w:p>
          <w:p>
            <w:pPr>
              <w:spacing w:before="20" w:after="20"/>
            </w:pPr>
            <w:r>
              <w:rPr>
                <w:rFonts w:ascii="Courier New" w:cs="Courier New" w:eastAsia="Courier New" w:hAnsi="Courier New"/>
                <w:color w:val="94A3B8"/>
                <w:sz w:val="18"/>
                <w:szCs w:val="18"/>
              </w:rPr>
              <w:t xml:space="preserve">                              │  Weighted agg + normalize   │</w:t>
            </w:r>
          </w:p>
          <w:p>
            <w:pPr>
              <w:spacing w:before="20" w:after="20"/>
            </w:pPr>
            <w:r>
              <w:rPr>
                <w:rFonts w:ascii="Courier New" w:cs="Courier New" w:eastAsia="Courier New" w:hAnsi="Courier New"/>
                <w:color w:val="94A3B8"/>
                <w:sz w:val="18"/>
                <w:szCs w:val="18"/>
              </w:rPr>
              <w:t xml:space="preserve">                              │  Redis lock + dedup         │</w:t>
            </w:r>
          </w:p>
          <w:p>
            <w:pPr>
              <w:spacing w:before="20" w:after="20"/>
            </w:pPr>
            <w:r>
              <w:rPr>
                <w:rFonts w:ascii="Courier New" w:cs="Courier New" w:eastAsia="Courier New" w:hAnsi="Courier New"/>
                <w:color w:val="94A3B8"/>
                <w:sz w:val="18"/>
                <w:szCs w:val="18"/>
              </w:rPr>
              <w:t xml:space="preserve">                              │  PostgreSQL + ClickHouse    │</w:t>
            </w:r>
          </w:p>
          <w:p>
            <w:pPr>
              <w:spacing w:before="20" w:after="20"/>
            </w:pPr>
            <w:r>
              <w:rPr>
                <w:rFonts w:ascii="Courier New" w:cs="Courier New" w:eastAsia="Courier New" w:hAnsi="Courier New"/>
                <w:color w:val="64748B"/>
                <w:sz w:val="18"/>
                <w:szCs w:val="18"/>
              </w:rPr>
              <w:t xml:space="preserve">                              └───────────┬─────────────────┘</w:t>
            </w:r>
          </w:p>
          <w:p>
            <w:pPr>
              <w:spacing w:before="20" w:after="20"/>
            </w:pPr>
            <w:r>
              <w:rPr>
                <w:rFonts w:ascii="Courier New" w:cs="Courier New" w:eastAsia="Courier New" w:hAnsi="Courier New"/>
                <w:color w:val="64748B"/>
                <w:sz w:val="18"/>
                <w:szCs w:val="18"/>
              </w:rPr>
              <w:t xml:space="preserve">                    candidate.performance.computed (Kafka)</w:t>
            </w:r>
          </w:p>
          <w:p>
            <w:pPr>
              <w:spacing w:before="20" w:after="20"/>
            </w:pPr>
            <w:r>
              <w:rPr>
                <w:rFonts w:ascii="Courier New" w:cs="Courier New" w:eastAsia="Courier New" w:hAnsi="Courier New"/>
                <w:color w:val="64748B"/>
                <w:sz w:val="18"/>
                <w:szCs w:val="18"/>
              </w:rPr>
              <w:t xml:space="preserve">               ┌─────────────┬────────────┬──────────────┐</w:t>
            </w:r>
          </w:p>
          <w:p>
            <w:pPr>
              <w:spacing w:before="20" w:after="20"/>
            </w:pPr>
            <w:r>
              <w:rPr>
                <w:rFonts w:ascii="Courier New" w:cs="Courier New" w:eastAsia="Courier New" w:hAnsi="Courier New"/>
                <w:color w:val="64748B"/>
                <w:sz w:val="18"/>
                <w:szCs w:val="18"/>
              </w:rPr>
              <w:t xml:space="preserve">               ▼             ▼            ▼              ▼</w:t>
            </w:r>
          </w:p>
          <w:p>
            <w:pPr>
              <w:spacing w:before="20" w:after="60"/>
            </w:pPr>
            <w:r>
              <w:rPr>
                <w:rFonts w:ascii="Courier New" w:cs="Courier New" w:eastAsia="Courier New" w:hAnsi="Courier New"/>
                <w:color w:val="E2E8F0"/>
                <w:sz w:val="18"/>
                <w:szCs w:val="18"/>
              </w:rPr>
              <w:t xml:space="preserve">  cert-engine  analytics  notif-svc  xi-profile-svc</w:t>
            </w:r>
          </w:p>
        </w:tc>
      </w:tr>
    </w:tbl>
    <w:p>
      <w:pPr>
        <w:pStyle w:val="Heading1"/>
        <w:pBdr>
          <w:bottom w:val="single" w:color="1A4E8C" w:sz="4" w:space="4"/>
        </w:pBdr>
        <w:spacing w:before="360" w:after="160"/>
      </w:pPr>
      <w:r>
        <w:rPr>
          <w:rFonts w:ascii="Arial" w:cs="Arial" w:eastAsia="Arial" w:hAnsi="Arial"/>
          <w:b/>
          <w:bCs/>
          <w:color w:val="1A4E8C"/>
          <w:sz w:val="30"/>
          <w:szCs w:val="30"/>
        </w:rPr>
        <w:t xml:space="preserve">11. Internal REST API Reference</w:t>
      </w:r>
    </w:p>
    <w:p>
      <w:pPr>
        <w:spacing w:before="80" w:after="100"/>
      </w:pPr>
      <w:r>
        <w:rPr>
          <w:rFonts w:ascii="Arial" w:cs="Arial" w:eastAsia="Arial" w:hAnsi="Arial"/>
          <w:b w:val="false"/>
          <w:bCs w:val="false"/>
          <w:i w:val="false"/>
          <w:iCs w:val="false"/>
          <w:color w:val="1E293B"/>
          <w:sz w:val="22"/>
          <w:szCs w:val="22"/>
        </w:rPr>
        <w:t xml:space="preserve">All endpoints are internal-only, secured via Keycloak JWT bearer tokens. Accessible within the Kubernetes cluster at http://candidate-performance-aggregator.ecoskiller.svc.cluster.local:3000.</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160"/>
        <w:gridCol w:w="3500"/>
      </w:tblGrid>
      <w:tr>
        <w:trPr>
          <w:tblHeader/>
        </w:trPr>
        <w:tc>
          <w:tcPr>
            <w:tcW w:type="dxa" w:w="9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Path</w:t>
            </w:r>
          </w:p>
        </w:tc>
        <w:tc>
          <w:tcPr>
            <w:tcW w:type="dxa" w:w="216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Auth Role</w:t>
            </w:r>
          </w:p>
        </w:tc>
        <w:tc>
          <w:tcPr>
            <w:tcW w:type="dxa" w:w="35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/health</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None (k8s probe)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Liveness and readiness probe. Returns { status: 'ok', kafka: bool, pg: bool, redis: bool }</w:t>
            </w:r>
          </w:p>
        </w:tc>
      </w:tr>
      <w:tr>
        <w:tc>
          <w:tcPr>
            <w:tcW w:type="dxa" w:w="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/metrics</w:t>
            </w:r>
          </w:p>
        </w:tc>
        <w:tc>
          <w:tcPr>
            <w:tcW w:type="dxa" w:w="21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None (Prometheus scrape)</w:t>
            </w:r>
          </w:p>
        </w:tc>
        <w:tc>
          <w:tcPr>
            <w:tcW w:type="dxa" w:w="3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Prometheus metrics endpoint — counters, histograms, gauge for Kafka consumer lag</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/api/v1/aggregations/:candidate_id/:cycle_id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ecoskiller:viewer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Returns current aggregation result for a candidate + cycle pair</w:t>
            </w:r>
          </w:p>
        </w:tc>
      </w:tr>
      <w:tr>
        <w:tc>
          <w:tcPr>
            <w:tcW w:type="dxa" w:w="9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/api/v1/aggregations/retry</w:t>
            </w:r>
          </w:p>
        </w:tc>
        <w:tc>
          <w:tcPr>
            <w:tcW w:type="dxa" w:w="21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ecoskiller:aggregator:admin</w:t>
            </w:r>
          </w:p>
        </w:tc>
        <w:tc>
          <w:tcPr>
            <w:tcW w:type="dxa" w:w="3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Enqueues a manual re-aggregation for (candidate_id, cycle_id). Body: { candidate_id, cycle_id, tenant_id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/api/v1/cycles/:cycle_id/config</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ecoskiller:viewer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Returns the resolved aggregation config (weights, tracks) for a given assessment cycle</w:t>
            </w:r>
          </w:p>
        </w:tc>
      </w:tr>
    </w:tbl>
    <w:p>
      <w:pPr>
        <w:pStyle w:val="Heading1"/>
        <w:pBdr>
          <w:bottom w:val="single" w:color="1A4E8C" w:sz="4" w:space="4"/>
        </w:pBdr>
        <w:spacing w:before="360" w:after="160"/>
      </w:pPr>
      <w:r>
        <w:rPr>
          <w:rFonts w:ascii="Arial" w:cs="Arial" w:eastAsia="Arial" w:hAnsi="Arial"/>
          <w:b/>
          <w:bCs/>
          <w:color w:val="1A4E8C"/>
          <w:sz w:val="30"/>
          <w:szCs w:val="30"/>
        </w:rPr>
        <w:t xml:space="preserve">12. Deployment &amp; Operational Notes</w:t>
      </w:r>
    </w:p>
    <w:p>
      <w:pPr>
        <w:pStyle w:val="Heading2"/>
        <w:spacing w:before="280" w:after="120"/>
      </w:pPr>
      <w:r>
        <w:rPr>
          <w:rFonts w:ascii="Arial" w:cs="Arial" w:eastAsia="Arial" w:hAnsi="Arial"/>
          <w:b/>
          <w:bCs/>
          <w:color w:val="0F7B6E"/>
          <w:sz w:val="24"/>
          <w:szCs w:val="24"/>
        </w:rPr>
        <w:t xml:space="preserve">12.1 Kubernetes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Resource</w:t>
            </w:r>
          </w:p>
        </w:tc>
        <w:tc>
          <w:tcPr>
            <w:tcW w:type="dxa" w:w="586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Value / Config</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Deployment replicas (prod)</w:t>
            </w:r>
          </w:p>
        </w:tc>
        <w:tc>
          <w:tcPr>
            <w:tcW w:type="dxa" w:w="5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2 minimum (anti-affinity: one per cloud zone)</w:t>
            </w:r>
          </w:p>
        </w:tc>
      </w:tr>
      <w:tr>
        <w:tc>
          <w:tcPr>
            <w:tcW w:type="dxa" w:w="3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HPA trigger</w:t>
            </w:r>
          </w:p>
        </w:tc>
        <w:tc>
          <w:tcPr>
            <w:tcW w:type="dxa" w:w="58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Kafka consumer group lag &gt; 500 messages → scale up; &lt; 100 → scale down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Resource requests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CPU: 200m, Memory: 256Mi</w:t>
            </w:r>
          </w:p>
        </w:tc>
      </w:tr>
      <w:tr>
        <w:tc>
          <w:tcPr>
            <w:tcW w:type="dxa" w:w="3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Resource limits</w:t>
            </w:r>
          </w:p>
        </w:tc>
        <w:tc>
          <w:tcPr>
            <w:tcW w:type="dxa" w:w="58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CPU: 1000m, Memory: 512Mi</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Liveness probe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GET /health every 15s, timeout 5s, failure threshold 3</w:t>
            </w:r>
          </w:p>
        </w:tc>
      </w:tr>
      <w:tr>
        <w:tc>
          <w:tcPr>
            <w:tcW w:type="dxa" w:w="3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Readiness probe</w:t>
            </w:r>
          </w:p>
        </w:tc>
        <w:tc>
          <w:tcPr>
            <w:tcW w:type="dxa" w:w="58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GET /health every 10s, timeout 3s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 source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ConfigMap: candidate-performance-aggregator-config</w:t>
            </w:r>
          </w:p>
        </w:tc>
      </w:tr>
      <w:tr>
        <w:tc>
          <w:tcPr>
            <w:tcW w:type="dxa" w:w="35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Secrets source</w:t>
            </w:r>
          </w:p>
        </w:tc>
        <w:tc>
          <w:tcPr>
            <w:tcW w:type="dxa" w:w="58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Kubernetes Secrets: pg-credentials, redis-credentials, kafka-credentials</w:t>
            </w:r>
          </w:p>
        </w:tc>
      </w:tr>
    </w:tbl>
    <w:p>
      <w:pPr>
        <w:spacing w:before="40" w:after="40"/>
      </w:pPr>
    </w:p>
    <w:p>
      <w:pPr>
        <w:pStyle w:val="Heading2"/>
        <w:spacing w:before="280" w:after="120"/>
      </w:pPr>
      <w:r>
        <w:rPr>
          <w:rFonts w:ascii="Arial" w:cs="Arial" w:eastAsia="Arial" w:hAnsi="Arial"/>
          <w:b/>
          <w:bCs/>
          <w:color w:val="0F7B6E"/>
          <w:sz w:val="24"/>
          <w:szCs w:val="24"/>
        </w:rPr>
        <w:t xml:space="preserve">12.2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Variable</w:t>
            </w:r>
          </w:p>
        </w:tc>
        <w:tc>
          <w:tcPr>
            <w:tcW w:type="dxa" w:w="180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Source</w:t>
            </w:r>
          </w:p>
        </w:tc>
        <w:tc>
          <w:tcPr>
            <w:tcW w:type="dxa" w:w="4760"/>
            <w:tcBorders>
              <w:top w:val="single" w:color="CBD5E1" w:sz="1"/>
              <w:left w:val="single" w:color="CBD5E1" w:sz="1"/>
              <w:bottom w:val="single" w:color="CBD5E1" w:sz="1"/>
              <w:right w:val="single" w:color="CBD5E1" w:sz="1"/>
            </w:tcBorders>
            <w:shd w:fill="1A4E8C"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KAFKA_BROKERS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Secret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Comma-separated Kafka broker addresses</w:t>
            </w:r>
          </w:p>
        </w:tc>
      </w:tr>
      <w:tr>
        <w:tc>
          <w:tcPr>
            <w:tcW w:type="dxa" w:w="2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KAFKA_CONSUMER_GROUP</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Consumer group ID: candidate-performance-aggregator-match.scored-consumer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POSTGRES_URI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Kubernetes Secret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PostgreSQL connection string (RLS-scoped service user)</w:t>
            </w:r>
          </w:p>
        </w:tc>
      </w:tr>
      <w:tr>
        <w:tc>
          <w:tcPr>
            <w:tcW w:type="dxa" w:w="2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REDIS_URL</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Kubernetes Secret</w:t>
            </w:r>
          </w:p>
        </w:tc>
        <w:tc>
          <w:tcPr>
            <w:tcW w:type="dxa" w:w="4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Redis connection URL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CLICKHOUSE_URL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ClickHouse HTTP endpoint for audit log inserts</w:t>
            </w:r>
          </w:p>
        </w:tc>
      </w:tr>
      <w:tr>
        <w:tc>
          <w:tcPr>
            <w:tcW w:type="dxa" w:w="2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SCHEMA_REGISTRY_URL</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Apicurio Schema Registry base URL for Avro schema validation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DEFAULT_GD_WEIGHT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Default GD track weight (0.35) — overridden by tenant rubric</w:t>
            </w:r>
          </w:p>
        </w:tc>
      </w:tr>
      <w:tr>
        <w:tc>
          <w:tcPr>
            <w:tcW w:type="dxa" w:w="2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DEFAULT_INTERVIEW_WEIGHT</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Default interview track weight (0.40)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DEFAULT_DOJO_WEIGHT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Default dojo track weight (0.25)</w:t>
            </w:r>
          </w:p>
        </w:tc>
      </w:tr>
      <w:tr>
        <w:tc>
          <w:tcPr>
            <w:tcW w:type="dxa" w:w="2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RUBRIC_CACHE_TTL_SECONDS</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Redis TTL for rubric cache entries (default: 300)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LOCK_TTL_SECONDS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0"/>
                <w:szCs w:val="20"/>
              </w:rPr>
              <w:t xml:space="preserve">Redis distributed lock TTL to prevent duplicate aggregation (default: 30)</w:t>
            </w:r>
          </w:p>
        </w:tc>
      </w:tr>
      <w:tr>
        <w:tc>
          <w:tcPr>
            <w:tcW w:type="dxa" w:w="2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JAEGER_ENDPOINT</w:t>
            </w:r>
          </w:p>
        </w:tc>
        <w:tc>
          <w:tcPr>
            <w:tcW w:type="dxa" w:w="180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ConfigMap</w:t>
            </w:r>
          </w:p>
        </w:tc>
        <w:tc>
          <w:tcPr>
            <w:tcW w:type="dxa" w:w="4760"/>
            <w:tcBorders>
              <w:top w:val="single" w:color="CBD5E1" w:sz="1"/>
              <w:left w:val="single" w:color="CBD5E1" w:sz="1"/>
              <w:bottom w:val="single" w:color="CBD5E1" w:sz="1"/>
              <w:right w:val="single" w:color="CBD5E1" w:sz="1"/>
            </w:tcBorders>
            <w:shd w:fill="F4F6F8" w:val="clear"/>
            <w:tcMar>
              <w:top w:type="dxa" w:w="80"/>
              <w:left w:type="dxa" w:w="160"/>
              <w:bottom w:type="dxa" w:w="80"/>
              <w:right w:type="dxa" w:w="120"/>
            </w:tcMar>
          </w:tcPr>
          <w:p>
            <w:r>
              <w:rPr>
                <w:rFonts w:ascii="Arial" w:cs="Arial" w:eastAsia="Arial" w:hAnsi="Arial"/>
                <w:color w:val="1E293B"/>
                <w:sz w:val="20"/>
                <w:szCs w:val="20"/>
              </w:rPr>
              <w:t xml:space="preserve">OpenTelemetry Jaeger collector endpoint for distributed tracing</w:t>
            </w:r>
          </w:p>
        </w:tc>
      </w:tr>
    </w:tbl>
    <w:sectPr>
      <w:footerReference w:type="default" r:id="rId6"/>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color w:val="475569"/>
        <w:sz w:val="16"/>
        <w:szCs w:val="16"/>
      </w:rPr>
      <w:t xml:space="preserve">Ecoskiller Platform — candidate-performance-aggregator — Internal Technical Reference v1.0</w:t>
    </w:r>
    <w:r>
      <w:rPr>
        <w:rFonts w:ascii="Arial" w:cs="Arial" w:eastAsia="Arial" w:hAnsi="Arial"/>
        <w:sz w:val="16"/>
        <w:szCs w:val="16"/>
      </w:rPr>
      <w:t xml:space="preserve">	</w:t>
    </w:r>
    <w:r>
      <w:rPr>
        <w:rFonts w:ascii="Arial" w:cs="Arial" w:eastAsia="Arial" w:hAnsi="Arial"/>
        <w:color w:val="475569"/>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4E8C"/>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0F7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2026-03-10T06:13:23.326Z</dcterms:created>
  <dcterms:modified xsi:type="dcterms:W3CDTF">2026-03-10T06:13:23.327Z</dcterms:modified>
</cp:coreProperties>
</file>

<file path=docProps/custom.xml><?xml version="1.0" encoding="utf-8"?>
<Properties xmlns="http://schemas.openxmlformats.org/officeDocument/2006/custom-properties" xmlns:vt="http://schemas.openxmlformats.org/officeDocument/2006/docPropsVTypes"/>
</file>