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40"/>
        <w:jc w:val="center"/>
      </w:pPr>
      <w:r>
        <w:rPr>
          <w:rFonts w:ascii="Arial" w:cs="Arial" w:eastAsia="Arial" w:hAnsi="Arial"/>
          <w:b/>
          <w:bCs/>
          <w:caps/>
          <w:color w:val="888888"/>
          <w:sz w:val="22"/>
          <w:szCs w:val="22"/>
        </w:rPr>
        <w:t xml:space="preserve">ECOSKILLER PLATFORM</w:t>
      </w:r>
    </w:p>
    <w:p>
      <w:pPr>
        <w:spacing w:before="0" w:after="40"/>
        <w:jc w:val="center"/>
      </w:pPr>
      <w:r>
        <w:rPr>
          <w:rFonts w:ascii="Arial" w:cs="Arial" w:eastAsia="Arial" w:hAnsi="Arial"/>
          <w:color w:val="999999"/>
          <w:sz w:val="20"/>
          <w:szCs w:val="20"/>
        </w:rPr>
        <w:t xml:space="preserve">Backend Microservice Technical Documentation</w:t>
      </w:r>
    </w:p>
    <w:p>
      <w:pPr>
        <w:spacing w:before="60" w:after="0"/>
      </w:pPr>
      <w:r>
        <w:t xml:space="preserve"/>
      </w:r>
    </w:p>
    <w:p>
      <w:pPr>
        <w:pBdr>
          <w:top w:val="single" w:color="B45309" w:sz="12"/>
          <w:bottom w:val="single" w:color="B45309" w:sz="12"/>
        </w:pBdr>
        <w:spacing w:before="180" w:after="180"/>
        <w:jc w:val="center"/>
      </w:pPr>
      <w:r>
        <w:rPr>
          <w:rFonts w:ascii="Arial" w:cs="Arial" w:eastAsia="Arial" w:hAnsi="Arial"/>
          <w:b/>
          <w:bCs/>
          <w:color w:val="B45309"/>
          <w:sz w:val="72"/>
          <w:szCs w:val="72"/>
        </w:rPr>
        <w:t xml:space="preserve">ClickHouse</w:t>
      </w:r>
    </w:p>
    <w:p>
      <w:pPr>
        <w:spacing w:before="60" w:after="60"/>
        <w:jc w:val="center"/>
      </w:pPr>
      <w:r>
        <w:rPr>
          <w:rFonts w:ascii="Arial" w:cs="Arial" w:eastAsia="Arial" w:hAnsi="Arial"/>
          <w:b/>
          <w:bCs/>
          <w:color w:val="7C3A00"/>
          <w:sz w:val="24"/>
          <w:szCs w:val="24"/>
        </w:rPr>
        <w:t xml:space="preserve">Columnar OLAP Analytics, Immutable Audit Logging &amp; SLO Metrics Engine</w:t>
      </w:r>
    </w:p>
    <w:p>
      <w:pPr>
        <w:spacing w:before="60" w:after="0"/>
      </w:pPr>
      <w:r>
        <w:t xml:space="preserve"/>
      </w:r>
    </w:p>
    <w:p>
      <w:pPr>
        <w:spacing w:before="0" w:after="0"/>
        <w:jc w:val="center"/>
      </w:pPr>
      <w:r>
        <w:rPr>
          <w:rFonts w:ascii="Arial" w:cs="Arial" w:eastAsia="Arial" w:hAnsi="Arial"/>
          <w:color w:val="777777"/>
          <w:sz w:val="18"/>
          <w:szCs w:val="18"/>
        </w:rPr>
        <w:t xml:space="preserve">Analytics Namespace  |  AES-128-CTR Encryption  |  Kafka-Driven Inserts  |  Grafana Data Source  |  DPDPA Compliance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Service Name</w:t>
            </w:r>
          </w:p>
        </w:tc>
        <w:tc>
          <w:tcPr>
            <w:tcW w:type="dxa" w:w="65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Latest (clickhouse/clickhouse-server:latest)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Columnar OLAP Database — Analytics, Audit Logging &amp; SLO Metrics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Execution Context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StatefulSet — analytics namespace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Node Pool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GCP n2-standard-8 / AWS m5.2xlarge (8 vCPU, 32 GB RAM) — shared with Kafka &amp; OpenSearch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Primary Consumers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Grafana, scoring-engine, Royalty Audit Service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Encryption at Rest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AES-128-CTR — ClickHouse native encryption on Longhorn volumes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 Isolation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tenant_id column in every table — row-level filtering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Backup Tool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 daily snapshot to secondary MinIO (AWS us-east-1)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Backup Retention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14 days | Restore target: &lt; 1 hour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Audit Log Retention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3 years (ClickHouse TTL) — DPDPA 2023 + IT Act 2000 compliance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DR Tier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Tier 3 — Medium | RTO &lt; 1 hour | RPO &lt; 4 hours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Docker Image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clickhouse/clickhouse-server:latest — 1.12 GB — ✅ KEEP (self-hosted)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v1.0 — In-depth Technical Reference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2025</w:t>
            </w:r>
          </w:p>
        </w:tc>
      </w:tr>
    </w:tbl>
    <w:p>
      <w:pPr>
        <w:spacing w:before="300" w:after="0"/>
      </w:pPr>
      <w:r>
        <w:t xml:space="preserve"/>
      </w:r>
    </w:p>
    <w:p>
      <w:pPr>
        <w:pStyle w:val="Heading1"/>
        <w:spacing w:before="400" w:after="120"/>
      </w:pPr>
      <w:r>
        <w:rPr>
          <w:rFonts w:ascii="Arial" w:cs="Arial" w:eastAsia="Arial" w:hAnsi="Arial"/>
          <w:b/>
          <w:bCs/>
          <w:color w:val="B45309"/>
          <w:sz w:val="34"/>
          <w:szCs w:val="34"/>
        </w:rPr>
        <w:t xml:space="preserve">1. Service Name</w:t>
      </w:r>
    </w:p>
    <w:p>
      <w:pPr>
        <w:spacing w:before="80" w:after="80"/>
      </w:pPr>
      <w:r>
        <w:rPr>
          <w:rFonts w:ascii="Arial" w:cs="Arial" w:eastAsia="Arial" w:hAnsi="Arial"/>
          <w:sz w:val="20"/>
          <w:szCs w:val="20"/>
        </w:rPr>
        <w:t xml:space="preserve">ClickHouse is the high-performance columnar OLAP (Online Analytical Processing) database powering the analytics, audit logging, and SLO observability layers of the Ecoskiller AI-driven talent assessment platform. Running as a self-hosted deployment in the analytics Kubernetes namespace, ClickHouse ingests high-volume event streams from Apache Kafka and delivers sub-second aggregation query responses for Grafana dashboards, recruiter performance analytics, scoring distribution reports, funnel analytics, and immutable compliance audit trails — workloads that are orders of magnitude faster in ClickHouse than in the platform's transactional PostgreSQL 15 store.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60"/>
              <w:left w:type="dxa" w:w="240"/>
              <w:bottom w:type="dxa" w:w="160"/>
              <w:right w:type="dxa" w:w="240"/>
            </w:tcMar>
          </w:tcPr>
          <w:p>
            <w:pPr>
              <w:spacing w:before="0" w:after="60"/>
            </w:pPr>
            <w:r>
              <w:rPr>
                <w:rFonts w:ascii="Arial" w:cs="Arial" w:eastAsia="Arial" w:hAnsi="Arial"/>
                <w:b/>
                <w:bCs/>
                <w:color w:val="B45309"/>
                <w:sz w:val="20"/>
                <w:szCs w:val="20"/>
              </w:rPr>
              <w:t xml:space="preserve">Quick Summary</w:t>
            </w:r>
          </w:p>
          <w:p>
            <w:pPr>
              <w:spacing w:before="0" w:after="0"/>
            </w:pPr>
            <w:r>
              <w:rPr>
                <w:rFonts w:ascii="Arial" w:cs="Arial" w:eastAsia="Arial" w:hAnsi="Arial"/>
                <w:color w:val="333333"/>
                <w:sz w:val="19"/>
                <w:szCs w:val="19"/>
              </w:rPr>
              <w:t xml:space="preserve">ClickHouse (clickhouse/clickhouse-server:latest) is deployed on the Ecoskiller dedicated data worker node (8 vCPU, 32 GB RAM). It stores GD session metrics, speaking time distributions, scoring data, dojo performance, funnel analytics, phone call transcripts, royalty audit logs, innovation scoring records, and intelligence timeline data — all with tenant_id column isolation and AES-128-CTR native encryption on Longhorn persistent volumes. Grafana queries ClickHouse cross-namespace via ClusterIP for the 8 critical SLO and analytics dashboards.</w:t>
            </w:r>
          </w:p>
        </w:tc>
      </w:tr>
    </w:tbl>
    <w:p>
      <w:pPr>
        <w:spacing w:before="200" w:after="0"/>
      </w:pPr>
      <w:r>
        <w:t xml:space="preserve"/>
      </w:r>
    </w:p>
    <w:p>
      <w:pPr>
        <w:pStyle w:val="Heading1"/>
        <w:spacing w:before="400" w:after="120"/>
      </w:pPr>
      <w:r>
        <w:rPr>
          <w:rFonts w:ascii="Arial" w:cs="Arial" w:eastAsia="Arial" w:hAnsi="Arial"/>
          <w:b/>
          <w:bCs/>
          <w:color w:val="B45309"/>
          <w:sz w:val="34"/>
          <w:szCs w:val="34"/>
        </w:rPr>
        <w:t xml:space="preserve">2. Service Overview</w:t>
      </w:r>
    </w:p>
    <w:p>
      <w:pPr>
        <w:spacing w:before="80" w:after="80"/>
      </w:pPr>
      <w:r>
        <w:rPr>
          <w:rFonts w:ascii="Arial" w:cs="Arial" w:eastAsia="Arial" w:hAnsi="Arial"/>
          <w:sz w:val="20"/>
          <w:szCs w:val="20"/>
        </w:rPr>
        <w:t xml:space="preserve">The Ecoskiller platform generates a continuous stream of high-volume, append-only analytical events: every group discussion speaking turn, every AI scoring computation, every interview session completion, every coding challenge match result, every billing funnel conversion step, every royalty calculation, and every compliance audit action produces structured event data that must be stored, queried, and reported on at scale.</w:t>
      </w:r>
    </w:p>
    <w:p>
      <w:pPr>
        <w:spacing w:before="80" w:after="0"/>
      </w:pPr>
      <w:r>
        <w:t xml:space="preserve"/>
      </w:r>
    </w:p>
    <w:p>
      <w:pPr>
        <w:spacing w:before="80" w:after="80"/>
      </w:pPr>
      <w:r>
        <w:rPr>
          <w:rFonts w:ascii="Arial" w:cs="Arial" w:eastAsia="Arial" w:hAnsi="Arial"/>
          <w:sz w:val="20"/>
          <w:szCs w:val="20"/>
        </w:rPr>
        <w:t xml:space="preserve">PostgreSQL 15 — Ecoskiller's transactional source-of-truth — is not designed for these workloads. Running GROUP BY aggregations, time-series window functions, or multi-million-row COUNT / SUM queries on PostgreSQL under production write load degrades OLTP response times and violates the platform's p95 &lt; 500ms API SLO targets. ClickHouse fills this analytical gap as a dedicated columnar store: its column-oriented storage format, vectorised query execution, and native data compression make it 100–1000x faster than row-oriented databases for the aggregation queries that power Ecoskiller's analytics layer.</w:t>
      </w:r>
    </w:p>
    <w:p>
      <w:pPr>
        <w:spacing w:before="80" w:after="0"/>
      </w:pPr>
      <w:r>
        <w:t xml:space="preserve"/>
      </w:r>
    </w:p>
    <w:p>
      <w:pPr>
        <w:spacing w:before="80" w:after="80"/>
      </w:pPr>
      <w:r>
        <w:rPr>
          <w:rFonts w:ascii="Arial" w:cs="Arial" w:eastAsia="Arial" w:hAnsi="Arial"/>
          <w:sz w:val="20"/>
          <w:szCs w:val="20"/>
        </w:rPr>
        <w:t xml:space="preserve">ClickHouse receives data through two paths: the analytics-service acts as a Kafka consumer and writes post-processed events as bulk inserts into ClickHouse tables; and direct inserts from services like the Royalty Audit Service for immutable compliance records. Grafana, deployed in the ops namespace, queries ClickHouse cross-namespace via ClusterIP service to render the 8 critical operational dashboards covering GD session health, interview completion rates, billing errors, media QoS, auth events, SLO burn rates, recruiter performance, and cost tracking.</w:t>
      </w:r>
    </w:p>
    <w:p>
      <w:pPr>
        <w:spacing w:before="80" w:after="0"/>
      </w:pPr>
      <w:r>
        <w:t xml:space="preserve"/>
      </w:r>
    </w:p>
    <w:p>
      <w:pPr>
        <w:spacing w:before="80" w:after="80"/>
      </w:pPr>
      <w:r>
        <w:rPr>
          <w:rFonts w:ascii="Arial" w:cs="Arial" w:eastAsia="Arial" w:hAnsi="Arial"/>
          <w:sz w:val="20"/>
          <w:szCs w:val="20"/>
        </w:rPr>
        <w:t xml:space="preserve">ClickHouse also serves as Ecoskiller's immutable audit log store — audit records inserted with TTL-based retention (3 years for compliance audit logs per DPDPA 2023 and IT Act 2000) are never updated or deleted before their TTL expires, providing tamper-evident compliance evidence.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Layer</w:t>
            </w:r>
          </w:p>
        </w:tc>
        <w:tc>
          <w:tcPr>
            <w:tcW w:type="dxa" w:w="34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34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ClickHouse Role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Event Ingestion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Apache Kafka 3.7.0 → analytics-service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Kafka consumer writes post-session events as bulk ClickHouse inserts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 API</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(Node.js, 1.58 GB)</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Queries ClickHouse for scoring distributions, funnel metrics, recruiter dashboards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Dashboards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(ops namespace → analytics namespace)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Queries ClickHouse via ClusterIP — 8 critical dashboards including SLO burn rates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Audit Store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 Audit, Compliance, Assessment logs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Immutable INSERT-only tables with 3-year TTL for regulatory compliance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 Analytics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scoring-engine → analytics-service → ClickHouse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Score distributions, belt eligibility rates, and multi-dimensional score histograms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 Analytics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 Accounting Engine → ClickHouse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royalty_audit_log table — immutable double-entry royalty compliance records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Storage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Longhorn PV (GCP PD / AWS EBS, AES-128-CTR)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Encrypted columnar index files and data parts on persistent volumes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Backup</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 MinIO (secondary AWS)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Daily backup — 14-day retention, &lt; 1 hour restore, cross-cloud DR coverage</w:t>
            </w:r>
          </w:p>
        </w:tc>
      </w:tr>
    </w:tbl>
    <w:p>
      <w:pPr>
        <w:spacing w:before="200" w:after="0"/>
      </w:pPr>
      <w:r>
        <w:t xml:space="preserve"/>
      </w:r>
    </w:p>
    <w:p>
      <w:pPr>
        <w:pStyle w:val="Heading1"/>
        <w:spacing w:before="400" w:after="120"/>
      </w:pPr>
      <w:r>
        <w:rPr>
          <w:rFonts w:ascii="Arial" w:cs="Arial" w:eastAsia="Arial" w:hAnsi="Arial"/>
          <w:b/>
          <w:bCs/>
          <w:color w:val="B45309"/>
          <w:sz w:val="34"/>
          <w:szCs w:val="34"/>
        </w:rPr>
        <w:t xml:space="preserve">3. Core Responsibilities</w:t>
      </w:r>
    </w:p>
    <w:p>
      <w:pPr>
        <w:spacing w:before="80" w:after="80"/>
      </w:pPr>
      <w:r>
        <w:rPr>
          <w:rFonts w:ascii="Arial" w:cs="Arial" w:eastAsia="Arial" w:hAnsi="Arial"/>
          <w:sz w:val="20"/>
          <w:szCs w:val="20"/>
        </w:rPr>
        <w:t xml:space="preserve">ClickHouse carries the following core responsibilities within the Ecoskiller platform:</w:t>
      </w:r>
    </w:p>
    <w:p>
      <w:pPr>
        <w:spacing w:before="80" w:after="0"/>
      </w:pPr>
      <w:r>
        <w:t xml:space="preserve"/>
      </w:r>
    </w:p>
    <w:p>
      <w:pPr>
        <w:spacing w:before="200" w:after="80"/>
      </w:pPr>
      <w:r>
        <w:rPr>
          <w:rFonts w:ascii="Arial" w:cs="Arial" w:eastAsia="Arial" w:hAnsi="Arial"/>
          <w:b/>
          <w:bCs/>
          <w:color w:val="1A1A2E"/>
          <w:sz w:val="22"/>
          <w:szCs w:val="22"/>
        </w:rPr>
        <w:t xml:space="preserve">3.1  Group Discussion (GD) Session Metrics Storage</w:t>
      </w:r>
    </w:p>
    <w:p>
      <w:pPr>
        <w:pStyle w:val="ListParagraph"/>
        <w:numPr>
          <w:ilvl w:val="0"/>
          <w:numId w:val="2"/>
        </w:numPr>
        <w:spacing w:before="60" w:after="60"/>
      </w:pPr>
      <w:r>
        <w:rPr>
          <w:rFonts w:ascii="Arial" w:cs="Arial" w:eastAsia="Arial" w:hAnsi="Arial"/>
          <w:sz w:val="20"/>
          <w:szCs w:val="20"/>
        </w:rPr>
        <w:t xml:space="preserve">Store per-session GD metrics: session_id, tenant_id, topic, participant count, session duration, completion status, and drop-out count.</w:t>
      </w:r>
    </w:p>
    <w:p>
      <w:pPr>
        <w:pStyle w:val="ListParagraph"/>
        <w:numPr>
          <w:ilvl w:val="0"/>
          <w:numId w:val="2"/>
        </w:numPr>
        <w:spacing w:before="60" w:after="60"/>
      </w:pPr>
      <w:r>
        <w:rPr>
          <w:rFonts w:ascii="Arial" w:cs="Arial" w:eastAsia="Arial" w:hAnsi="Arial"/>
          <w:sz w:val="20"/>
          <w:szCs w:val="20"/>
        </w:rPr>
        <w:t xml:space="preserve">Record speaking time distributions per candidate per GD session: who spoke, for how long, in which order — derived from the GD Orchestrator's Redis state machine events published to Kafka on session completion (gd.completed).</w:t>
      </w:r>
    </w:p>
    <w:p>
      <w:pPr>
        <w:pStyle w:val="ListParagraph"/>
        <w:numPr>
          <w:ilvl w:val="0"/>
          <w:numId w:val="2"/>
        </w:numPr>
        <w:spacing w:before="60" w:after="60"/>
      </w:pPr>
      <w:r>
        <w:rPr>
          <w:rFonts w:ascii="Arial" w:cs="Arial" w:eastAsia="Arial" w:hAnsi="Arial"/>
          <w:sz w:val="20"/>
          <w:szCs w:val="20"/>
        </w:rPr>
        <w:t xml:space="preserve">Power the GD Session Health Grafana dashboard: failure rate, average completion percentage, drop-out rate, per-tenant breakdown — one of the 8 critical Ecoskiller dashboards.</w:t>
      </w:r>
    </w:p>
    <w:p>
      <w:pPr>
        <w:spacing w:before="80" w:after="0"/>
      </w:pPr>
      <w:r>
        <w:t xml:space="preserve"/>
      </w:r>
    </w:p>
    <w:p>
      <w:pPr>
        <w:spacing w:before="200" w:after="80"/>
      </w:pPr>
      <w:r>
        <w:rPr>
          <w:rFonts w:ascii="Arial" w:cs="Arial" w:eastAsia="Arial" w:hAnsi="Arial"/>
          <w:b/>
          <w:bCs/>
          <w:color w:val="1A1A2E"/>
          <w:sz w:val="22"/>
          <w:szCs w:val="22"/>
        </w:rPr>
        <w:t xml:space="preserve">3.2  AI Scoring Data &amp; Distribution Analytics</w:t>
      </w:r>
    </w:p>
    <w:p>
      <w:pPr>
        <w:pStyle w:val="ListParagraph"/>
        <w:numPr>
          <w:ilvl w:val="0"/>
          <w:numId w:val="2"/>
        </w:numPr>
        <w:spacing w:before="60" w:after="60"/>
      </w:pPr>
      <w:r>
        <w:rPr>
          <w:rFonts w:ascii="Arial" w:cs="Arial" w:eastAsia="Arial" w:hAnsi="Arial"/>
          <w:sz w:val="20"/>
          <w:szCs w:val="20"/>
        </w:rPr>
        <w:t xml:space="preserve">Store all multi-dimensional AI scoring results produced by the scoring-engine: GD scores, interview assessment scores, coding challenge (dojo) scores, and composite match scores — each tagged with tenant_id, candidate_id, job_id, and assessment_type.</w:t>
      </w:r>
    </w:p>
    <w:p>
      <w:pPr>
        <w:pStyle w:val="ListParagraph"/>
        <w:numPr>
          <w:ilvl w:val="0"/>
          <w:numId w:val="2"/>
        </w:numPr>
        <w:spacing w:before="60" w:after="60"/>
      </w:pPr>
      <w:r>
        <w:rPr>
          <w:rFonts w:ascii="Arial" w:cs="Arial" w:eastAsia="Arial" w:hAnsi="Arial"/>
          <w:sz w:val="20"/>
          <w:szCs w:val="20"/>
        </w:rPr>
        <w:t xml:space="preserve">Serve scoring distribution queries for recruiter dashboards: score histograms, percentile rankings, belt eligibility rates, and assessment type completion rates.</w:t>
      </w:r>
    </w:p>
    <w:p>
      <w:pPr>
        <w:pStyle w:val="ListParagraph"/>
        <w:numPr>
          <w:ilvl w:val="0"/>
          <w:numId w:val="2"/>
        </w:numPr>
        <w:spacing w:before="60" w:after="60"/>
      </w:pPr>
      <w:r>
        <w:rPr>
          <w:rFonts w:ascii="Arial" w:cs="Arial" w:eastAsia="Arial" w:hAnsi="Arial"/>
          <w:sz w:val="20"/>
          <w:szCs w:val="20"/>
        </w:rPr>
        <w:t xml:space="preserve">Support the match.scored Kafka event consumer pipeline: analytics-service consumes match.scored events and bulk-inserts score records into ClickHouse for longitudinal scoring trend analysis.</w:t>
      </w:r>
    </w:p>
    <w:p>
      <w:pPr>
        <w:spacing w:before="80" w:after="0"/>
      </w:pPr>
      <w:r>
        <w:t xml:space="preserve"/>
      </w:r>
    </w:p>
    <w:p>
      <w:pPr>
        <w:spacing w:before="200" w:after="80"/>
      </w:pPr>
      <w:r>
        <w:rPr>
          <w:rFonts w:ascii="Arial" w:cs="Arial" w:eastAsia="Arial" w:hAnsi="Arial"/>
          <w:b/>
          <w:bCs/>
          <w:color w:val="1A1A2E"/>
          <w:sz w:val="22"/>
          <w:szCs w:val="22"/>
        </w:rPr>
        <w:t xml:space="preserve">3.3  Platform Funnel Analytics</w:t>
      </w:r>
    </w:p>
    <w:p>
      <w:pPr>
        <w:pStyle w:val="ListParagraph"/>
        <w:numPr>
          <w:ilvl w:val="0"/>
          <w:numId w:val="2"/>
        </w:numPr>
        <w:spacing w:before="60" w:after="60"/>
      </w:pPr>
      <w:r>
        <w:rPr>
          <w:rFonts w:ascii="Arial" w:cs="Arial" w:eastAsia="Arial" w:hAnsi="Arial"/>
          <w:sz w:val="20"/>
          <w:szCs w:val="20"/>
        </w:rPr>
        <w:t xml:space="preserve">Track the Ecoskiller hiring funnel end-to-end: job_posted → applied → interview_scheduled → interview_completed → gd_completed → match_scored → belt_eligible → hired.</w:t>
      </w:r>
    </w:p>
    <w:p>
      <w:pPr>
        <w:pStyle w:val="ListParagraph"/>
        <w:numPr>
          <w:ilvl w:val="0"/>
          <w:numId w:val="2"/>
        </w:numPr>
        <w:spacing w:before="60" w:after="60"/>
      </w:pPr>
      <w:r>
        <w:rPr>
          <w:rFonts w:ascii="Arial" w:cs="Arial" w:eastAsia="Arial" w:hAnsi="Arial"/>
          <w:sz w:val="20"/>
          <w:szCs w:val="20"/>
        </w:rPr>
        <w:t xml:space="preserve">Store conversion rates, drop-off points, and time-in-stage metrics per job posting, per tenant, and per assessment type.</w:t>
      </w:r>
    </w:p>
    <w:p>
      <w:pPr>
        <w:pStyle w:val="ListParagraph"/>
        <w:numPr>
          <w:ilvl w:val="0"/>
          <w:numId w:val="2"/>
        </w:numPr>
        <w:spacing w:before="60" w:after="60"/>
      </w:pPr>
      <w:r>
        <w:rPr>
          <w:rFonts w:ascii="Arial" w:cs="Arial" w:eastAsia="Arial" w:hAnsi="Arial"/>
          <w:sz w:val="20"/>
          <w:szCs w:val="20"/>
        </w:rPr>
        <w:t xml:space="preserve">Feed the recruiter performance dashboard: interview no-show rate by recruiter, GD completion rate by job category, candidate engagement metrics.</w:t>
      </w:r>
    </w:p>
    <w:p>
      <w:pPr>
        <w:spacing w:before="80" w:after="0"/>
      </w:pPr>
      <w:r>
        <w:t xml:space="preserve"/>
      </w:r>
    </w:p>
    <w:p>
      <w:pPr>
        <w:spacing w:before="200" w:after="80"/>
      </w:pPr>
      <w:r>
        <w:rPr>
          <w:rFonts w:ascii="Arial" w:cs="Arial" w:eastAsia="Arial" w:hAnsi="Arial"/>
          <w:b/>
          <w:bCs/>
          <w:color w:val="1A1A2E"/>
          <w:sz w:val="22"/>
          <w:szCs w:val="22"/>
        </w:rPr>
        <w:t xml:space="preserve">3.4  Immutable Audit Log Storage — Compliance</w:t>
      </w:r>
    </w:p>
    <w:p>
      <w:pPr>
        <w:pStyle w:val="ListParagraph"/>
        <w:numPr>
          <w:ilvl w:val="0"/>
          <w:numId w:val="2"/>
        </w:numPr>
        <w:spacing w:before="60" w:after="60"/>
      </w:pPr>
      <w:r>
        <w:rPr>
          <w:rFonts w:ascii="Arial" w:cs="Arial" w:eastAsia="Arial" w:hAnsi="Arial"/>
          <w:sz w:val="20"/>
          <w:szCs w:val="20"/>
        </w:rPr>
        <w:t xml:space="preserve">Maintain INSERT-only audit tables with TTL-based retention: audit logs retained for 3 years per DPDPA 2023 and IT Act 2000 requirements — ClickHouse TTL expressions automatically purge records after the compliance retention window expires.</w:t>
      </w:r>
    </w:p>
    <w:p>
      <w:pPr>
        <w:pStyle w:val="ListParagraph"/>
        <w:numPr>
          <w:ilvl w:val="0"/>
          <w:numId w:val="2"/>
        </w:numPr>
        <w:spacing w:before="60" w:after="60"/>
      </w:pPr>
      <w:r>
        <w:rPr>
          <w:rFonts w:ascii="Arial" w:cs="Arial" w:eastAsia="Arial" w:hAnsi="Arial"/>
          <w:sz w:val="20"/>
          <w:szCs w:val="20"/>
        </w:rPr>
        <w:t xml:space="preserve">Store royalty_audit_log: immutable double-entry royalty accounting records from the Royalty Audit Service — including revenue calculations, payout events, and minimum royalty clause evaluations.</w:t>
      </w:r>
    </w:p>
    <w:p>
      <w:pPr>
        <w:pStyle w:val="ListParagraph"/>
        <w:numPr>
          <w:ilvl w:val="0"/>
          <w:numId w:val="2"/>
        </w:numPr>
        <w:spacing w:before="60" w:after="60"/>
      </w:pPr>
      <w:r>
        <w:rPr>
          <w:rFonts w:ascii="Arial" w:cs="Arial" w:eastAsia="Arial" w:hAnsi="Arial"/>
          <w:sz w:val="20"/>
          <w:szCs w:val="20"/>
        </w:rPr>
        <w:t xml:space="preserve">Store assessment audit events: who was assessed, by which recruiter, with which scoring model version, at what timestamp — tamper-evident compliance records for hiring process auditability.</w:t>
      </w:r>
    </w:p>
    <w:p>
      <w:pPr>
        <w:pStyle w:val="ListParagraph"/>
        <w:numPr>
          <w:ilvl w:val="0"/>
          <w:numId w:val="2"/>
        </w:numPr>
        <w:spacing w:before="60" w:after="60"/>
      </w:pPr>
      <w:r>
        <w:rPr>
          <w:rFonts w:ascii="Arial" w:cs="Arial" w:eastAsia="Arial" w:hAnsi="Arial"/>
          <w:sz w:val="20"/>
          <w:szCs w:val="20"/>
        </w:rPr>
        <w:t xml:space="preserve">Classified as ✅ READY in the Ecoskiller security baseline under 'Audit Logs — Immutable logs (ClickHouse)' — preventing tampering and supporting compliance failure investigation.</w:t>
      </w:r>
    </w:p>
    <w:p>
      <w:pPr>
        <w:spacing w:before="80" w:after="0"/>
      </w:pPr>
      <w:r>
        <w:t xml:space="preserve"/>
      </w:r>
    </w:p>
    <w:p>
      <w:pPr>
        <w:spacing w:before="200" w:after="80"/>
      </w:pPr>
      <w:r>
        <w:rPr>
          <w:rFonts w:ascii="Arial" w:cs="Arial" w:eastAsia="Arial" w:hAnsi="Arial"/>
          <w:b/>
          <w:bCs/>
          <w:color w:val="1A1A2E"/>
          <w:sz w:val="22"/>
          <w:szCs w:val="22"/>
        </w:rPr>
        <w:t xml:space="preserve">3.5  Intelligence Timeline Data</w:t>
      </w:r>
    </w:p>
    <w:p>
      <w:pPr>
        <w:pStyle w:val="ListParagraph"/>
        <w:numPr>
          <w:ilvl w:val="0"/>
          <w:numId w:val="2"/>
        </w:numPr>
        <w:spacing w:before="60" w:after="60"/>
      </w:pPr>
      <w:r>
        <w:rPr>
          <w:rFonts w:ascii="Arial" w:cs="Arial" w:eastAsia="Arial" w:hAnsi="Arial"/>
          <w:sz w:val="20"/>
          <w:szCs w:val="20"/>
        </w:rPr>
        <w:t xml:space="preserve">Maintain the intelligence_timeline table: longitudinal intelligence data tracking candidate skill development, belt progression, scoring improvement, and assessment history over time.</w:t>
      </w:r>
    </w:p>
    <w:p>
      <w:pPr>
        <w:pStyle w:val="ListParagraph"/>
        <w:numPr>
          <w:ilvl w:val="0"/>
          <w:numId w:val="2"/>
        </w:numPr>
        <w:spacing w:before="60" w:after="60"/>
      </w:pPr>
      <w:r>
        <w:rPr>
          <w:rFonts w:ascii="Arial" w:cs="Arial" w:eastAsia="Arial" w:hAnsi="Arial"/>
          <w:sz w:val="20"/>
          <w:szCs w:val="20"/>
        </w:rPr>
        <w:t xml:space="preserve">Serve the Intelligence Evolution Timeline Service — providing user-facing intelligence history for candidate profile dashboards and mentor evaluation.</w:t>
      </w:r>
    </w:p>
    <w:p>
      <w:pPr>
        <w:spacing w:before="80" w:after="0"/>
      </w:pPr>
      <w:r>
        <w:t xml:space="preserve"/>
      </w:r>
    </w:p>
    <w:p>
      <w:pPr>
        <w:spacing w:before="200" w:after="80"/>
      </w:pPr>
      <w:r>
        <w:rPr>
          <w:rFonts w:ascii="Arial" w:cs="Arial" w:eastAsia="Arial" w:hAnsi="Arial"/>
          <w:b/>
          <w:bCs/>
          <w:color w:val="1A1A2E"/>
          <w:sz w:val="22"/>
          <w:szCs w:val="22"/>
        </w:rPr>
        <w:t xml:space="preserve">3.6  Innovation Scoring Analytics</w:t>
      </w:r>
    </w:p>
    <w:p>
      <w:pPr>
        <w:pStyle w:val="ListParagraph"/>
        <w:numPr>
          <w:ilvl w:val="0"/>
          <w:numId w:val="2"/>
        </w:numPr>
        <w:spacing w:before="60" w:after="60"/>
      </w:pPr>
      <w:r>
        <w:rPr>
          <w:rFonts w:ascii="Arial" w:cs="Arial" w:eastAsia="Arial" w:hAnsi="Arial"/>
          <w:sz w:val="20"/>
          <w:szCs w:val="20"/>
        </w:rPr>
        <w:t xml:space="preserve">Store Innovation Scoring Engine results: originality scores, feasibility scores, and market potential evaluations for ideas submitted to the Idea Marketplace.</w:t>
      </w:r>
    </w:p>
    <w:p>
      <w:pPr>
        <w:pStyle w:val="ListParagraph"/>
        <w:numPr>
          <w:ilvl w:val="0"/>
          <w:numId w:val="2"/>
        </w:numPr>
        <w:spacing w:before="60" w:after="60"/>
      </w:pPr>
      <w:r>
        <w:rPr>
          <w:rFonts w:ascii="Arial" w:cs="Arial" w:eastAsia="Arial" w:hAnsi="Arial"/>
          <w:sz w:val="20"/>
          <w:szCs w:val="20"/>
        </w:rPr>
        <w:t xml:space="preserve">Maintain the ecoskiller-{tenant_id}-innovations analytical data complementing the OpenSearch full-text index with time-series scoring trends and batch innovation ranking aggregations.</w:t>
      </w:r>
    </w:p>
    <w:p>
      <w:pPr>
        <w:spacing w:before="80" w:after="0"/>
      </w:pPr>
      <w:r>
        <w:t xml:space="preserve"/>
      </w:r>
    </w:p>
    <w:p>
      <w:pPr>
        <w:spacing w:before="200" w:after="80"/>
      </w:pPr>
      <w:r>
        <w:rPr>
          <w:rFonts w:ascii="Arial" w:cs="Arial" w:eastAsia="Arial" w:hAnsi="Arial"/>
          <w:b/>
          <w:bCs/>
          <w:color w:val="1A1A2E"/>
          <w:sz w:val="22"/>
          <w:szCs w:val="22"/>
        </w:rPr>
        <w:t xml:space="preserve">3.7  Phone Call &amp; Transcript Analytics</w:t>
      </w:r>
    </w:p>
    <w:p>
      <w:pPr>
        <w:pStyle w:val="ListParagraph"/>
        <w:numPr>
          <w:ilvl w:val="0"/>
          <w:numId w:val="2"/>
        </w:numPr>
        <w:spacing w:before="60" w:after="60"/>
      </w:pPr>
      <w:r>
        <w:rPr>
          <w:rFonts w:ascii="Arial" w:cs="Arial" w:eastAsia="Arial" w:hAnsi="Arial"/>
          <w:sz w:val="20"/>
          <w:szCs w:val="20"/>
        </w:rPr>
        <w:t xml:space="preserve">Store GD phone bridge call logs: call_uuid → session_id → participant_id mappings, call duration, PSTN connection quality metrics, and FreeSWITCH ESL event sequences.</w:t>
      </w:r>
    </w:p>
    <w:p>
      <w:pPr>
        <w:pStyle w:val="ListParagraph"/>
        <w:numPr>
          <w:ilvl w:val="0"/>
          <w:numId w:val="2"/>
        </w:numPr>
        <w:spacing w:before="60" w:after="60"/>
      </w:pPr>
      <w:r>
        <w:rPr>
          <w:rFonts w:ascii="Arial" w:cs="Arial" w:eastAsia="Arial" w:hAnsi="Arial"/>
          <w:sz w:val="20"/>
          <w:szCs w:val="20"/>
        </w:rPr>
        <w:t xml:space="preserve">Archive Vosk STT phone call transcripts for scoring — transcript records linked to GD session_id for AI scoring-engine consumption and compliance audit trails.</w:t>
      </w:r>
    </w:p>
    <w:p>
      <w:pPr>
        <w:spacing w:before="80" w:after="0"/>
      </w:pPr>
      <w:r>
        <w:t xml:space="preserve"/>
      </w:r>
    </w:p>
    <w:p>
      <w:pPr>
        <w:spacing w:before="200" w:after="80"/>
      </w:pPr>
      <w:r>
        <w:rPr>
          <w:rFonts w:ascii="Arial" w:cs="Arial" w:eastAsia="Arial" w:hAnsi="Arial"/>
          <w:b/>
          <w:bCs/>
          <w:color w:val="1A1A2E"/>
          <w:sz w:val="22"/>
          <w:szCs w:val="22"/>
        </w:rPr>
        <w:t xml:space="preserve">3.8  SLO Burn Rate &amp; Operational Metrics</w:t>
      </w:r>
    </w:p>
    <w:p>
      <w:pPr>
        <w:pStyle w:val="ListParagraph"/>
        <w:numPr>
          <w:ilvl w:val="0"/>
          <w:numId w:val="2"/>
        </w:numPr>
        <w:spacing w:before="60" w:after="60"/>
      </w:pPr>
      <w:r>
        <w:rPr>
          <w:rFonts w:ascii="Arial" w:cs="Arial" w:eastAsia="Arial" w:hAnsi="Arial"/>
          <w:sz w:val="20"/>
          <w:szCs w:val="20"/>
        </w:rPr>
        <w:t xml:space="preserve">Store custom business metric time-series for Grafana SLO dashboards: GD completion rate, scoring latency percentiles, interview WebSocket connection stability, billing error rates, and auth event anomaly counts.</w:t>
      </w:r>
    </w:p>
    <w:p>
      <w:pPr>
        <w:pStyle w:val="ListParagraph"/>
        <w:numPr>
          <w:ilvl w:val="0"/>
          <w:numId w:val="2"/>
        </w:numPr>
        <w:spacing w:before="60" w:after="60"/>
      </w:pPr>
      <w:r>
        <w:rPr>
          <w:rFonts w:ascii="Arial" w:cs="Arial" w:eastAsia="Arial" w:hAnsi="Arial"/>
          <w:sz w:val="20"/>
          <w:szCs w:val="20"/>
        </w:rPr>
        <w:t xml:space="preserve">Feed Alertmanager threshold calculations: P0/P1 alert rules that trigger ntfy push notifications and Mattermost #incidents channel messages when SLO burn rates exceed alert thresholds.</w:t>
      </w:r>
    </w:p>
    <w:p>
      <w:pPr>
        <w:spacing w:before="80" w:after="0"/>
      </w:pPr>
      <w:r>
        <w:t xml:space="preserve"/>
      </w:r>
    </w:p>
    <w:p>
      <w:pPr>
        <w:spacing w:before="200" w:after="80"/>
      </w:pPr>
      <w:r>
        <w:rPr>
          <w:rFonts w:ascii="Arial" w:cs="Arial" w:eastAsia="Arial" w:hAnsi="Arial"/>
          <w:b/>
          <w:bCs/>
          <w:color w:val="1A1A2E"/>
          <w:sz w:val="22"/>
          <w:szCs w:val="22"/>
        </w:rPr>
        <w:t xml:space="preserve">3.9  Royalty &amp; Licensing Analytics (Section XIII)</w:t>
      </w:r>
    </w:p>
    <w:p>
      <w:pPr>
        <w:pStyle w:val="ListParagraph"/>
        <w:numPr>
          <w:ilvl w:val="0"/>
          <w:numId w:val="2"/>
        </w:numPr>
        <w:spacing w:before="60" w:after="60"/>
      </w:pPr>
      <w:r>
        <w:rPr>
          <w:rFonts w:ascii="Arial" w:cs="Arial" w:eastAsia="Arial" w:hAnsi="Arial"/>
          <w:sz w:val="20"/>
          <w:szCs w:val="20"/>
        </w:rPr>
        <w:t xml:space="preserve">Store royalty calculation outputs from the Royalty Accounting Engine — double-entry ledger analytics, revenue distribution reports, and royalty wallet balance histories.</w:t>
      </w:r>
    </w:p>
    <w:p>
      <w:pPr>
        <w:pStyle w:val="ListParagraph"/>
        <w:numPr>
          <w:ilvl w:val="0"/>
          <w:numId w:val="2"/>
        </w:numPr>
        <w:spacing w:before="60" w:after="60"/>
      </w:pPr>
      <w:r>
        <w:rPr>
          <w:rFonts w:ascii="Arial" w:cs="Arial" w:eastAsia="Arial" w:hAnsi="Arial"/>
          <w:sz w:val="20"/>
          <w:szCs w:val="20"/>
        </w:rPr>
        <w:t xml:space="preserve">Support the Royalty Audit Service's compliance queries: minimum royalty clause evaluations, payout eligibility checks, and licensing agreement performance metrics.</w:t>
      </w:r>
    </w:p>
    <w:p>
      <w:pPr>
        <w:spacing w:before="200" w:after="0"/>
      </w:pPr>
      <w:r>
        <w:t xml:space="preserve"/>
      </w:r>
    </w:p>
    <w:p>
      <w:pPr>
        <w:pStyle w:val="Heading1"/>
        <w:spacing w:before="400" w:after="120"/>
      </w:pPr>
      <w:r>
        <w:rPr>
          <w:rFonts w:ascii="Arial" w:cs="Arial" w:eastAsia="Arial" w:hAnsi="Arial"/>
          <w:b/>
          <w:bCs/>
          <w:color w:val="B45309"/>
          <w:sz w:val="34"/>
          <w:szCs w:val="34"/>
        </w:rPr>
        <w:t xml:space="preserve">4. Key Features</w:t>
      </w:r>
    </w:p>
    <w:p>
      <w:pPr>
        <w:spacing w:before="200" w:after="80"/>
      </w:pPr>
      <w:r>
        <w:rPr>
          <w:rFonts w:ascii="Arial" w:cs="Arial" w:eastAsia="Arial" w:hAnsi="Arial"/>
          <w:b/>
          <w:bCs/>
          <w:color w:val="1A1A2E"/>
          <w:sz w:val="22"/>
          <w:szCs w:val="22"/>
        </w:rPr>
        <w:t xml:space="preserve">4.1  Columnar Storage — Orders of Magnitude Faster Than PostgreSQL</w:t>
      </w:r>
    </w:p>
    <w:p>
      <w:pPr>
        <w:spacing w:before="80" w:after="80"/>
      </w:pPr>
      <w:r>
        <w:rPr>
          <w:rFonts w:ascii="Arial" w:cs="Arial" w:eastAsia="Arial" w:hAnsi="Arial"/>
          <w:sz w:val="20"/>
          <w:szCs w:val="20"/>
        </w:rPr>
        <w:t xml:space="preserve">ClickHouse's column-oriented storage format stores each column of a table as a separate compressed file on disk — rather than storing rows as contiguous units. For Ecoskiller's analytical workloads (COUNT, SUM, AVG, GROUP BY, window functions across millions of event rows), this means:</w:t>
      </w:r>
    </w:p>
    <w:p>
      <w:pPr>
        <w:pStyle w:val="ListParagraph"/>
        <w:numPr>
          <w:ilvl w:val="0"/>
          <w:numId w:val="2"/>
        </w:numPr>
        <w:spacing w:before="60" w:after="60"/>
      </w:pPr>
      <w:r>
        <w:rPr>
          <w:rFonts w:ascii="Arial" w:cs="Arial" w:eastAsia="Arial" w:hAnsi="Arial"/>
          <w:sz w:val="20"/>
          <w:szCs w:val="20"/>
        </w:rPr>
        <w:t xml:space="preserve">Only the specific columns referenced in a query are read from disk — queries touching 3 of 20 columns read only 15% of the data a row store would scan.</w:t>
      </w:r>
    </w:p>
    <w:p>
      <w:pPr>
        <w:pStyle w:val="ListParagraph"/>
        <w:numPr>
          <w:ilvl w:val="0"/>
          <w:numId w:val="2"/>
        </w:numPr>
        <w:spacing w:before="60" w:after="60"/>
      </w:pPr>
      <w:r>
        <w:rPr>
          <w:rFonts w:ascii="Arial" w:cs="Arial" w:eastAsia="Arial" w:hAnsi="Arial"/>
          <w:sz w:val="20"/>
          <w:szCs w:val="20"/>
        </w:rPr>
        <w:t xml:space="preserve">Column data compresses dramatically better than row data — ClickHouse achieves 5–10x compression ratios with LZ4 and ZSTD codecs on typical Ecoskiller event data (scores, timestamps, IDs).</w:t>
      </w:r>
    </w:p>
    <w:p>
      <w:pPr>
        <w:pStyle w:val="ListParagraph"/>
        <w:numPr>
          <w:ilvl w:val="0"/>
          <w:numId w:val="2"/>
        </w:numPr>
        <w:spacing w:before="60" w:after="60"/>
      </w:pPr>
      <w:r>
        <w:rPr>
          <w:rFonts w:ascii="Arial" w:cs="Arial" w:eastAsia="Arial" w:hAnsi="Arial"/>
          <w:sz w:val="20"/>
          <w:szCs w:val="20"/>
        </w:rPr>
        <w:t xml:space="preserve">Vectorised query execution processes data in SIMD batches — aggregate functions run on 16–256 values per CPU instruction cycle.</w:t>
      </w:r>
    </w:p>
    <w:p>
      <w:pPr>
        <w:pStyle w:val="ListParagraph"/>
        <w:numPr>
          <w:ilvl w:val="0"/>
          <w:numId w:val="2"/>
        </w:numPr>
        <w:spacing w:before="60" w:after="60"/>
      </w:pPr>
      <w:r>
        <w:rPr>
          <w:rFonts w:ascii="Arial" w:cs="Arial" w:eastAsia="Arial" w:hAnsi="Arial"/>
          <w:sz w:val="20"/>
          <w:szCs w:val="20"/>
        </w:rPr>
        <w:t xml:space="preserve">The Ecoskiller infrastructure specification explicitly states ClickHouse is 'orders of magnitude faster than PostgreSQL for aggregation queries' — this is the architectural justification for maintaining a separate analytical store.</w:t>
      </w:r>
    </w:p>
    <w:p>
      <w:pPr>
        <w:spacing w:before="80" w:after="0"/>
      </w:pPr>
      <w:r>
        <w:t xml:space="preserve"/>
      </w:r>
    </w:p>
    <w:p>
      <w:pPr>
        <w:spacing w:before="200" w:after="80"/>
      </w:pPr>
      <w:r>
        <w:rPr>
          <w:rFonts w:ascii="Arial" w:cs="Arial" w:eastAsia="Arial" w:hAnsi="Arial"/>
          <w:b/>
          <w:bCs/>
          <w:color w:val="1A1A2E"/>
          <w:sz w:val="22"/>
          <w:szCs w:val="22"/>
        </w:rPr>
        <w:t xml:space="preserve">4.2  AES-128-CTR Native Encryption at Rest</w:t>
      </w:r>
    </w:p>
    <w:p>
      <w:pPr>
        <w:spacing w:before="80" w:after="80"/>
      </w:pPr>
      <w:r>
        <w:rPr>
          <w:rFonts w:ascii="Arial" w:cs="Arial" w:eastAsia="Arial" w:hAnsi="Arial"/>
          <w:sz w:val="20"/>
          <w:szCs w:val="20"/>
        </w:rPr>
        <w:t xml:space="preserve">ClickHouse implements native transparent data encryption (TDE) using AES-128-CTR mode, applied to all data parts stored on Longhorn persistent volumes. In the Ecoskiller context:</w:t>
      </w:r>
    </w:p>
    <w:p>
      <w:pPr>
        <w:pStyle w:val="ListParagraph"/>
        <w:numPr>
          <w:ilvl w:val="0"/>
          <w:numId w:val="2"/>
        </w:numPr>
        <w:spacing w:before="60" w:after="60"/>
      </w:pPr>
      <w:r>
        <w:rPr>
          <w:rFonts w:ascii="Arial" w:cs="Arial" w:eastAsia="Arial" w:hAnsi="Arial"/>
          <w:sz w:val="20"/>
          <w:szCs w:val="20"/>
        </w:rPr>
        <w:t xml:space="preserve">All GD session metrics, scoring distributions, royalty audit logs, candidate intelligence timelines, and phone transcripts stored in ClickHouse are encrypted at the column storage level.</w:t>
      </w:r>
    </w:p>
    <w:p>
      <w:pPr>
        <w:pStyle w:val="ListParagraph"/>
        <w:numPr>
          <w:ilvl w:val="0"/>
          <w:numId w:val="2"/>
        </w:numPr>
        <w:spacing w:before="60" w:after="60"/>
      </w:pPr>
      <w:r>
        <w:rPr>
          <w:rFonts w:ascii="Arial" w:cs="Arial" w:eastAsia="Arial" w:hAnsi="Arial"/>
          <w:sz w:val="20"/>
          <w:szCs w:val="20"/>
        </w:rPr>
        <w:t xml:space="preserve">Encryption is transparent to the analytics-service and Grafana query layer — no application-level decryption required.</w:t>
      </w:r>
    </w:p>
    <w:p>
      <w:pPr>
        <w:pStyle w:val="ListParagraph"/>
        <w:numPr>
          <w:ilvl w:val="0"/>
          <w:numId w:val="2"/>
        </w:numPr>
        <w:spacing w:before="60" w:after="60"/>
      </w:pPr>
      <w:r>
        <w:rPr>
          <w:rFonts w:ascii="Arial" w:cs="Arial" w:eastAsia="Arial" w:hAnsi="Arial"/>
          <w:sz w:val="20"/>
          <w:szCs w:val="20"/>
        </w:rPr>
        <w:t xml:space="preserve">AES-128-CTR operates at the ClickHouse storage engine level, distinct from the LUKS block-device encryption applied to the underlying GCP PD / AWS EBS volumes — providing defence-in-depth encryption for analytical data.</w:t>
      </w:r>
    </w:p>
    <w:p>
      <w:pPr>
        <w:pStyle w:val="ListParagraph"/>
        <w:numPr>
          <w:ilvl w:val="0"/>
          <w:numId w:val="2"/>
        </w:numPr>
        <w:spacing w:before="60" w:after="60"/>
      </w:pPr>
      <w:r>
        <w:rPr>
          <w:rFonts w:ascii="Arial" w:cs="Arial" w:eastAsia="Arial" w:hAnsi="Arial"/>
          <w:sz w:val="20"/>
          <w:szCs w:val="20"/>
        </w:rPr>
        <w:t xml:space="preserve">Encryption keys are managed via Kubernetes Secrets scoped to the analytics namespace — accessible only to ClickHouse pods with the appropriate RBAC RoleBinding.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FDF5" w:val="clear"/>
            <w:tcMar>
              <w:top w:type="dxa" w:w="160"/>
              <w:left w:type="dxa" w:w="240"/>
              <w:bottom w:type="dxa" w:w="160"/>
              <w:right w:type="dxa" w:w="240"/>
            </w:tcMar>
          </w:tcPr>
          <w:p>
            <w:pPr>
              <w:spacing w:before="0" w:after="60"/>
            </w:pPr>
            <w:r>
              <w:rPr>
                <w:rFonts w:ascii="Arial" w:cs="Arial" w:eastAsia="Arial" w:hAnsi="Arial"/>
                <w:b/>
                <w:bCs/>
                <w:color w:val="065F46"/>
                <w:sz w:val="20"/>
                <w:szCs w:val="20"/>
              </w:rPr>
              <w:t xml:space="preserve">✅  Design Decision</w:t>
            </w:r>
          </w:p>
          <w:p>
            <w:pPr>
              <w:spacing w:before="0" w:after="0"/>
            </w:pPr>
            <w:r>
              <w:rPr>
                <w:rFonts w:ascii="Arial" w:cs="Arial" w:eastAsia="Arial" w:hAnsi="Arial"/>
                <w:color w:val="333333"/>
                <w:sz w:val="19"/>
                <w:szCs w:val="19"/>
              </w:rPr>
              <w:t xml:space="preserve">ClickHouse AES-128-CTR + Longhorn LUKS provides two-layer encryption for all analytical data — column-level AES at ClickHouse and block-level LUKS at the volume. This satisfies DPDPA 2023's encryption-at-rest requirement for platforms processing candidate PII in analytics pipelines.</w:t>
            </w:r>
          </w:p>
        </w:tc>
      </w:tr>
    </w:tbl>
    <w:p>
      <w:pPr>
        <w:spacing w:before="80" w:after="0"/>
      </w:pPr>
      <w:r>
        <w:t xml:space="preserve"/>
      </w:r>
    </w:p>
    <w:p>
      <w:pPr>
        <w:spacing w:before="200" w:after="80"/>
      </w:pPr>
      <w:r>
        <w:rPr>
          <w:rFonts w:ascii="Arial" w:cs="Arial" w:eastAsia="Arial" w:hAnsi="Arial"/>
          <w:b/>
          <w:bCs/>
          <w:color w:val="1A1A2E"/>
          <w:sz w:val="22"/>
          <w:szCs w:val="22"/>
        </w:rPr>
        <w:t xml:space="preserve">4.3  Tenant Isolation via tenant_id Column</w:t>
      </w:r>
    </w:p>
    <w:p>
      <w:pPr>
        <w:spacing w:before="80" w:after="80"/>
      </w:pPr>
      <w:r>
        <w:rPr>
          <w:rFonts w:ascii="Arial" w:cs="Arial" w:eastAsia="Arial" w:hAnsi="Arial"/>
          <w:sz w:val="20"/>
          <w:szCs w:val="20"/>
        </w:rPr>
        <w:t xml:space="preserve">Unlike OpenSearch (which uses index-per-tenant), ClickHouse uses a shared-table, row-level tenant isolation model — every ClickHouse table includes a tenant_id column as a required field:</w:t>
      </w:r>
    </w:p>
    <w:p>
      <w:pPr>
        <w:pStyle w:val="ListParagraph"/>
        <w:numPr>
          <w:ilvl w:val="0"/>
          <w:numId w:val="2"/>
        </w:numPr>
        <w:spacing w:before="60" w:after="60"/>
      </w:pPr>
      <w:r>
        <w:rPr>
          <w:rFonts w:ascii="Arial" w:cs="Arial" w:eastAsia="Arial" w:hAnsi="Arial"/>
          <w:sz w:val="20"/>
          <w:szCs w:val="20"/>
        </w:rPr>
        <w:t xml:space="preserve">The analytics-service inserts tenant_id on every record — no cross-tenant record creation is possible without explicit tenant_id injection.</w:t>
      </w:r>
    </w:p>
    <w:p>
      <w:pPr>
        <w:pStyle w:val="ListParagraph"/>
        <w:numPr>
          <w:ilvl w:val="0"/>
          <w:numId w:val="2"/>
        </w:numPr>
        <w:spacing w:before="60" w:after="60"/>
      </w:pPr>
      <w:r>
        <w:rPr>
          <w:rFonts w:ascii="Arial" w:cs="Arial" w:eastAsia="Arial" w:hAnsi="Arial"/>
          <w:sz w:val="20"/>
          <w:szCs w:val="20"/>
        </w:rPr>
        <w:t xml:space="preserve">All Grafana dashboard queries issued by recruiter-facing analytics include WHERE tenant_id = '{tenant_id}' predicates — enforced at the analytics-service query layer with Keycloak JWT claims.</w:t>
      </w:r>
    </w:p>
    <w:p>
      <w:pPr>
        <w:pStyle w:val="ListParagraph"/>
        <w:numPr>
          <w:ilvl w:val="0"/>
          <w:numId w:val="2"/>
        </w:numPr>
        <w:spacing w:before="60" w:after="60"/>
      </w:pPr>
      <w:r>
        <w:rPr>
          <w:rFonts w:ascii="Arial" w:cs="Arial" w:eastAsia="Arial" w:hAnsi="Arial"/>
          <w:sz w:val="20"/>
          <w:szCs w:val="20"/>
        </w:rPr>
        <w:t xml:space="preserve">ClickHouse table engines use tenant_id as a partition key where appropriate — enabling efficient per-tenant data pruning without full table scans.</w:t>
      </w:r>
    </w:p>
    <w:p>
      <w:pPr>
        <w:spacing w:before="80" w:after="0"/>
      </w:pPr>
      <w:r>
        <w:t xml:space="preserve"/>
      </w:r>
    </w:p>
    <w:p>
      <w:pPr>
        <w:spacing w:before="200" w:after="80"/>
      </w:pPr>
      <w:r>
        <w:rPr>
          <w:rFonts w:ascii="Arial" w:cs="Arial" w:eastAsia="Arial" w:hAnsi="Arial"/>
          <w:b/>
          <w:bCs/>
          <w:color w:val="1A1A2E"/>
          <w:sz w:val="22"/>
          <w:szCs w:val="22"/>
        </w:rPr>
        <w:t xml:space="preserve">4.4  Kafka-Driven High-Throughput Event Ingestion</w:t>
      </w:r>
    </w:p>
    <w:p>
      <w:pPr>
        <w:spacing w:before="80" w:after="80"/>
      </w:pPr>
      <w:r>
        <w:rPr>
          <w:rFonts w:ascii="Arial" w:cs="Arial" w:eastAsia="Arial" w:hAnsi="Arial"/>
          <w:sz w:val="20"/>
          <w:szCs w:val="20"/>
        </w:rPr>
        <w:t xml:space="preserve">ClickHouse receives all data via the analytics-service's Kafka consumer group, not via direct application writes. This architecture provides:</w:t>
      </w:r>
    </w:p>
    <w:p>
      <w:pPr>
        <w:pStyle w:val="ListParagraph"/>
        <w:numPr>
          <w:ilvl w:val="0"/>
          <w:numId w:val="2"/>
        </w:numPr>
        <w:spacing w:before="60" w:after="60"/>
      </w:pPr>
      <w:r>
        <w:rPr>
          <w:rFonts w:ascii="Arial" w:cs="Arial" w:eastAsia="Arial" w:hAnsi="Arial"/>
          <w:sz w:val="20"/>
          <w:szCs w:val="20"/>
        </w:rPr>
        <w:t xml:space="preserve">Decoupled write path: GD Orchestrator, scoring-engine, interview-service, and billing-service publish Kafka events and never block on ClickHouse insert latency.</w:t>
      </w:r>
    </w:p>
    <w:p>
      <w:pPr>
        <w:pStyle w:val="ListParagraph"/>
        <w:numPr>
          <w:ilvl w:val="0"/>
          <w:numId w:val="2"/>
        </w:numPr>
        <w:spacing w:before="60" w:after="60"/>
      </w:pPr>
      <w:r>
        <w:rPr>
          <w:rFonts w:ascii="Arial" w:cs="Arial" w:eastAsia="Arial" w:hAnsi="Arial"/>
          <w:sz w:val="20"/>
          <w:szCs w:val="20"/>
        </w:rPr>
        <w:t xml:space="preserve">Bulk insert batching: the analytics-service batches Kafka events into ClickHouse bulk inserts — optimal for ClickHouse's MergeTree storage engine which performs best with large batch writes rather than single-row inserts.</w:t>
      </w:r>
    </w:p>
    <w:p>
      <w:pPr>
        <w:pStyle w:val="ListParagraph"/>
        <w:numPr>
          <w:ilvl w:val="0"/>
          <w:numId w:val="2"/>
        </w:numPr>
        <w:spacing w:before="60" w:after="60"/>
      </w:pPr>
      <w:r>
        <w:rPr>
          <w:rFonts w:ascii="Arial" w:cs="Arial" w:eastAsia="Arial" w:hAnsi="Arial"/>
          <w:sz w:val="20"/>
          <w:szCs w:val="20"/>
        </w:rPr>
        <w:t xml:space="preserve">Kafka consumer offset management: if ClickHouse is temporarily unavailable, Kafka retains events at the committed offset — analytics-service resumes from the last committed position on recovery, with no data loss.</w:t>
      </w:r>
    </w:p>
    <w:p>
      <w:pPr>
        <w:pStyle w:val="ListParagraph"/>
        <w:numPr>
          <w:ilvl w:val="0"/>
          <w:numId w:val="2"/>
        </w:numPr>
        <w:spacing w:before="60" w:after="60"/>
      </w:pPr>
      <w:r>
        <w:rPr>
          <w:rFonts w:ascii="Arial" w:cs="Arial" w:eastAsia="Arial" w:hAnsi="Arial"/>
          <w:sz w:val="20"/>
          <w:szCs w:val="20"/>
        </w:rPr>
        <w:t xml:space="preserve">Kafka topics feeding ClickHouse include: gd.completed, match.scored, interview.completed, job.applied, belt.eligible, invoice.generated, and all analytics-service processed event derivatives.</w:t>
      </w:r>
    </w:p>
    <w:p>
      <w:pPr>
        <w:spacing w:before="80" w:after="0"/>
      </w:pPr>
      <w:r>
        <w:t xml:space="preserve"/>
      </w:r>
    </w:p>
    <w:p>
      <w:pPr>
        <w:spacing w:before="200" w:after="80"/>
      </w:pPr>
      <w:r>
        <w:rPr>
          <w:rFonts w:ascii="Arial" w:cs="Arial" w:eastAsia="Arial" w:hAnsi="Arial"/>
          <w:b/>
          <w:bCs/>
          <w:color w:val="1A1A2E"/>
          <w:sz w:val="22"/>
          <w:szCs w:val="22"/>
        </w:rPr>
        <w:t xml:space="preserve">4.5  TTL-Based Retention Policies</w:t>
      </w:r>
    </w:p>
    <w:p>
      <w:pPr>
        <w:spacing w:before="80" w:after="80"/>
      </w:pPr>
      <w:r>
        <w:rPr>
          <w:rFonts w:ascii="Arial" w:cs="Arial" w:eastAsia="Arial" w:hAnsi="Arial"/>
          <w:sz w:val="20"/>
          <w:szCs w:val="20"/>
        </w:rPr>
        <w:t xml:space="preserve">ClickHouse's native TTL (Time To Live) expression support enables Ecoskiller to implement DPDPA 2023 data retention policy at the storage engine level — without cron jobs, application-tier deletion logic, or separate data lifecycle management infrastructure: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Audit log table with 3-year TTL (DPDPA 2023 + IT Act 2000 compliance)</w:t>
            </w:r>
          </w:p>
          <w:p>
            <w:pPr>
              <w:spacing w:before="0" w:after="30"/>
            </w:pPr>
            <w:r>
              <w:rPr>
                <w:rFonts w:ascii="Courier New" w:cs="Courier New" w:eastAsia="Courier New" w:hAnsi="Courier New"/>
                <w:color w:val="7DCFFF"/>
                <w:sz w:val="18"/>
                <w:szCs w:val="18"/>
              </w:rPr>
              <w:t xml:space="preserve">CREATE TABLE ecoskiller.audit_log (</w:t>
            </w:r>
          </w:p>
          <w:p>
            <w:pPr>
              <w:spacing w:before="0" w:after="30"/>
            </w:pPr>
            <w:r>
              <w:rPr>
                <w:rFonts w:ascii="Courier New" w:cs="Courier New" w:eastAsia="Courier New" w:hAnsi="Courier New"/>
                <w:color w:val="C0CAF5"/>
                <w:sz w:val="18"/>
                <w:szCs w:val="18"/>
              </w:rPr>
              <w:t xml:space="preserve">    tenant_id      String,</w:t>
            </w:r>
          </w:p>
          <w:p>
            <w:pPr>
              <w:spacing w:before="0" w:after="30"/>
            </w:pPr>
            <w:r>
              <w:rPr>
                <w:rFonts w:ascii="Courier New" w:cs="Courier New" w:eastAsia="Courier New" w:hAnsi="Courier New"/>
                <w:color w:val="C0CAF5"/>
                <w:sz w:val="18"/>
                <w:szCs w:val="18"/>
              </w:rPr>
              <w:t xml:space="preserve">    event_type     String,</w:t>
            </w:r>
          </w:p>
          <w:p>
            <w:pPr>
              <w:spacing w:before="0" w:after="30"/>
            </w:pPr>
            <w:r>
              <w:rPr>
                <w:rFonts w:ascii="Courier New" w:cs="Courier New" w:eastAsia="Courier New" w:hAnsi="Courier New"/>
                <w:color w:val="C0CAF5"/>
                <w:sz w:val="18"/>
                <w:szCs w:val="18"/>
              </w:rPr>
              <w:t xml:space="preserve">    actor_id       UUID,</w:t>
            </w:r>
          </w:p>
          <w:p>
            <w:pPr>
              <w:spacing w:before="0" w:after="30"/>
            </w:pPr>
            <w:r>
              <w:rPr>
                <w:rFonts w:ascii="Courier New" w:cs="Courier New" w:eastAsia="Courier New" w:hAnsi="Courier New"/>
                <w:color w:val="C0CAF5"/>
                <w:sz w:val="18"/>
                <w:szCs w:val="18"/>
              </w:rPr>
              <w:t xml:space="preserve">    subject_id     UUID,</w:t>
            </w:r>
          </w:p>
          <w:p>
            <w:pPr>
              <w:spacing w:before="0" w:after="30"/>
            </w:pPr>
            <w:r>
              <w:rPr>
                <w:rFonts w:ascii="Courier New" w:cs="Courier New" w:eastAsia="Courier New" w:hAnsi="Courier New"/>
                <w:color w:val="C0CAF5"/>
                <w:sz w:val="18"/>
                <w:szCs w:val="18"/>
              </w:rPr>
              <w:t xml:space="preserve">    payload        String,  -- JSON blob</w:t>
            </w:r>
          </w:p>
          <w:p>
            <w:pPr>
              <w:spacing w:before="0" w:after="30"/>
            </w:pPr>
            <w:r>
              <w:rPr>
                <w:rFonts w:ascii="Courier New" w:cs="Courier New" w:eastAsia="Courier New" w:hAnsi="Courier New"/>
                <w:color w:val="C0CAF5"/>
                <w:sz w:val="18"/>
                <w:szCs w:val="18"/>
              </w:rPr>
              <w:t xml:space="preserve">    created_at     DateTime</w:t>
            </w:r>
          </w:p>
          <w:p>
            <w:pPr>
              <w:spacing w:before="0" w:after="30"/>
            </w:pPr>
            <w:r>
              <w:rPr>
                <w:rFonts w:ascii="Courier New" w:cs="Courier New" w:eastAsia="Courier New" w:hAnsi="Courier New"/>
                <w:color w:val="9ECE6A"/>
                <w:sz w:val="18"/>
                <w:szCs w:val="18"/>
              </w:rPr>
              <w:t xml:space="preserve">) ENGINE = MergeTree()</w:t>
            </w:r>
          </w:p>
          <w:p>
            <w:pPr>
              <w:spacing w:before="0" w:after="30"/>
            </w:pPr>
            <w:r>
              <w:rPr>
                <w:rFonts w:ascii="Courier New" w:cs="Courier New" w:eastAsia="Courier New" w:hAnsi="Courier New"/>
                <w:color w:val="9ECE6A"/>
                <w:sz w:val="18"/>
                <w:szCs w:val="18"/>
              </w:rPr>
              <w:t xml:space="preserve">PARTITION BY toYYYYMM(created_at)</w:t>
            </w:r>
          </w:p>
          <w:p>
            <w:pPr>
              <w:spacing w:before="0" w:after="30"/>
            </w:pPr>
            <w:r>
              <w:rPr>
                <w:rFonts w:ascii="Courier New" w:cs="Courier New" w:eastAsia="Courier New" w:hAnsi="Courier New"/>
                <w:color w:val="9ECE6A"/>
                <w:sz w:val="18"/>
                <w:szCs w:val="18"/>
              </w:rPr>
              <w:t xml:space="preserve">ORDER BY (tenant_id, created_at, event_type)</w:t>
            </w:r>
          </w:p>
          <w:p>
            <w:pPr>
              <w:spacing w:before="0" w:after="30"/>
            </w:pPr>
            <w:r>
              <w:rPr>
                <w:rFonts w:ascii="Courier New" w:cs="Courier New" w:eastAsia="Courier New" w:hAnsi="Courier New"/>
                <w:color w:val="E0AF68"/>
                <w:sz w:val="18"/>
                <w:szCs w:val="18"/>
              </w:rPr>
              <w:t xml:space="preserve">TTL created_at + INTERVAL 3 YEAR DELETE;  -- Auto-purge per DPDPA 2023</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Data Type</w:t>
            </w:r>
          </w:p>
        </w:tc>
        <w:tc>
          <w:tcPr>
            <w:tcW w:type="dxa" w:w="32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Retention</w:t>
            </w:r>
          </w:p>
        </w:tc>
        <w:tc>
          <w:tcPr>
            <w:tcW w:type="dxa" w:w="32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TTL Expression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Audit Logs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3 years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created_at + INTERVAL 3 YEAR DELETE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 Session Metrics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14 days (backup) / configurable TTL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created_at + INTERVAL 1 YEAR DELETE (default)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 Distributions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Configurable per tenant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Per-table TTL, partitioned by toYYYYMM(scored_at)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 Audit Log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15 years (regulatory)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created_at + INTERVAL 15 YEAR DELETE (royalty compliance)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Phone Transcripts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Configurable (DPDPA consent)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INTERVAL aligned with candidate data deletion request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Intelligence Timeline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Indefinite (active candidates)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 TTL — purged on candidate account deletion via analytics-service</w:t>
            </w:r>
          </w:p>
        </w:tc>
      </w:tr>
    </w:tbl>
    <w:p>
      <w:pPr>
        <w:spacing w:before="80" w:after="0"/>
      </w:pPr>
      <w:r>
        <w:t xml:space="preserve"/>
      </w:r>
    </w:p>
    <w:p>
      <w:pPr>
        <w:spacing w:before="200" w:after="80"/>
      </w:pPr>
      <w:r>
        <w:rPr>
          <w:rFonts w:ascii="Arial" w:cs="Arial" w:eastAsia="Arial" w:hAnsi="Arial"/>
          <w:b/>
          <w:bCs/>
          <w:color w:val="1A1A2E"/>
          <w:sz w:val="22"/>
          <w:szCs w:val="22"/>
        </w:rPr>
        <w:t xml:space="preserve">4.6  Grafana Data Source — 8 Critical Operational Dashboards</w:t>
      </w:r>
    </w:p>
    <w:p>
      <w:pPr>
        <w:spacing w:before="80" w:after="80"/>
      </w:pPr>
      <w:r>
        <w:rPr>
          <w:rFonts w:ascii="Arial" w:cs="Arial" w:eastAsia="Arial" w:hAnsi="Arial"/>
          <w:sz w:val="20"/>
          <w:szCs w:val="20"/>
        </w:rPr>
        <w:t xml:space="preserve">Grafana (deployed in the ops namespace) queries ClickHouse cross-namespace via ClusterIP service — the analytics namespace exposes ClickHouse on a ClusterIP accessible to Grafana via Kubernetes NetworkPolicy. The 8 critical Ecoskiller dashboards that source data from ClickHouse include:</w:t>
      </w:r>
    </w:p>
    <w:p>
      <w:pPr>
        <w:pStyle w:val="ListParagraph"/>
        <w:numPr>
          <w:ilvl w:val="0"/>
          <w:numId w:val="2"/>
        </w:numPr>
        <w:spacing w:before="60" w:after="60"/>
      </w:pPr>
      <w:r>
        <w:rPr>
          <w:rFonts w:ascii="Arial" w:cs="Arial" w:eastAsia="Arial" w:hAnsi="Arial"/>
          <w:sz w:val="20"/>
          <w:szCs w:val="20"/>
        </w:rPr>
        <w:t xml:space="preserve">GD Session Health: failure rate, average completion %, drop-out rate, per-tenant breakdown.</w:t>
      </w:r>
    </w:p>
    <w:p>
      <w:pPr>
        <w:pStyle w:val="ListParagraph"/>
        <w:numPr>
          <w:ilvl w:val="0"/>
          <w:numId w:val="2"/>
        </w:numPr>
        <w:spacing w:before="60" w:after="60"/>
      </w:pPr>
      <w:r>
        <w:rPr>
          <w:rFonts w:ascii="Arial" w:cs="Arial" w:eastAsia="Arial" w:hAnsi="Arial"/>
          <w:sz w:val="20"/>
          <w:szCs w:val="20"/>
        </w:rPr>
        <w:t xml:space="preserve">Interview No-Show Rate: scheduled vs. attended by recruiter and candidate (last 7 days).</w:t>
      </w:r>
    </w:p>
    <w:p>
      <w:pPr>
        <w:pStyle w:val="ListParagraph"/>
        <w:numPr>
          <w:ilvl w:val="0"/>
          <w:numId w:val="2"/>
        </w:numPr>
        <w:spacing w:before="60" w:after="60"/>
      </w:pPr>
      <w:r>
        <w:rPr>
          <w:rFonts w:ascii="Arial" w:cs="Arial" w:eastAsia="Arial" w:hAnsi="Arial"/>
          <w:sz w:val="20"/>
          <w:szCs w:val="20"/>
        </w:rPr>
        <w:t xml:space="preserve">Scoring Distribution Dashboard: score histograms by assessment type, belt progression rates, percentile breakdowns.</w:t>
      </w:r>
    </w:p>
    <w:p>
      <w:pPr>
        <w:pStyle w:val="ListParagraph"/>
        <w:numPr>
          <w:ilvl w:val="0"/>
          <w:numId w:val="2"/>
        </w:numPr>
        <w:spacing w:before="60" w:after="60"/>
      </w:pPr>
      <w:r>
        <w:rPr>
          <w:rFonts w:ascii="Arial" w:cs="Arial" w:eastAsia="Arial" w:hAnsi="Arial"/>
          <w:sz w:val="20"/>
          <w:szCs w:val="20"/>
        </w:rPr>
        <w:t xml:space="preserve">Funnel Analytics Dashboard: hiring funnel conversion rates — job_posted through hired — per tenant and job category.</w:t>
      </w:r>
    </w:p>
    <w:p>
      <w:pPr>
        <w:pStyle w:val="ListParagraph"/>
        <w:numPr>
          <w:ilvl w:val="0"/>
          <w:numId w:val="2"/>
        </w:numPr>
        <w:spacing w:before="60" w:after="60"/>
      </w:pPr>
      <w:r>
        <w:rPr>
          <w:rFonts w:ascii="Arial" w:cs="Arial" w:eastAsia="Arial" w:hAnsi="Arial"/>
          <w:sz w:val="20"/>
          <w:szCs w:val="20"/>
        </w:rPr>
        <w:t xml:space="preserve">Billing Error Dashboard: invoice generation errors, payment failure rates, revenue anomaly flags.</w:t>
      </w:r>
    </w:p>
    <w:p>
      <w:pPr>
        <w:pStyle w:val="ListParagraph"/>
        <w:numPr>
          <w:ilvl w:val="0"/>
          <w:numId w:val="2"/>
        </w:numPr>
        <w:spacing w:before="60" w:after="60"/>
      </w:pPr>
      <w:r>
        <w:rPr>
          <w:rFonts w:ascii="Arial" w:cs="Arial" w:eastAsia="Arial" w:hAnsi="Arial"/>
          <w:sz w:val="20"/>
          <w:szCs w:val="20"/>
        </w:rPr>
        <w:t xml:space="preserve">Media QoS Dashboard: GD WebRTC session quality metrics, PSTN call success rates, Jitsi JVB connection stability.</w:t>
      </w:r>
    </w:p>
    <w:p>
      <w:pPr>
        <w:pStyle w:val="ListParagraph"/>
        <w:numPr>
          <w:ilvl w:val="0"/>
          <w:numId w:val="2"/>
        </w:numPr>
        <w:spacing w:before="60" w:after="60"/>
      </w:pPr>
      <w:r>
        <w:rPr>
          <w:rFonts w:ascii="Arial" w:cs="Arial" w:eastAsia="Arial" w:hAnsi="Arial"/>
          <w:sz w:val="20"/>
          <w:szCs w:val="20"/>
        </w:rPr>
        <w:t xml:space="preserve">Auth Events Dashboard: Keycloak authentication failure rates, token refresh anomalies, MFA bypass attempts.</w:t>
      </w:r>
    </w:p>
    <w:p>
      <w:pPr>
        <w:pStyle w:val="ListParagraph"/>
        <w:numPr>
          <w:ilvl w:val="0"/>
          <w:numId w:val="2"/>
        </w:numPr>
        <w:spacing w:before="60" w:after="60"/>
      </w:pPr>
      <w:r>
        <w:rPr>
          <w:rFonts w:ascii="Arial" w:cs="Arial" w:eastAsia="Arial" w:hAnsi="Arial"/>
          <w:sz w:val="20"/>
          <w:szCs w:val="20"/>
        </w:rPr>
        <w:t xml:space="preserve">Platform SLO Burn Rate Dashboard: real-time SLO burn rate for all 8 defined SLO targets (API success rate 99.5%, p95 &lt; 500ms, GD completion 99%, interview WebSocket 99.9%).</w:t>
      </w:r>
    </w:p>
    <w:p>
      <w:pPr>
        <w:spacing w:before="80" w:after="0"/>
      </w:pPr>
      <w:r>
        <w:t xml:space="preserve"/>
      </w:r>
    </w:p>
    <w:p>
      <w:pPr>
        <w:spacing w:before="200" w:after="80"/>
      </w:pPr>
      <w:r>
        <w:rPr>
          <w:rFonts w:ascii="Arial" w:cs="Arial" w:eastAsia="Arial" w:hAnsi="Arial"/>
          <w:b/>
          <w:bCs/>
          <w:color w:val="1A1A2E"/>
          <w:sz w:val="22"/>
          <w:szCs w:val="22"/>
        </w:rPr>
        <w:t xml:space="preserve">4.7  clickhouse-backup — Daily MinIO Snapshot</w:t>
      </w:r>
    </w:p>
    <w:p>
      <w:pPr>
        <w:spacing w:before="80" w:after="80"/>
      </w:pPr>
      <w:r>
        <w:rPr>
          <w:rFonts w:ascii="Arial" w:cs="Arial" w:eastAsia="Arial" w:hAnsi="Arial"/>
          <w:sz w:val="20"/>
          <w:szCs w:val="20"/>
        </w:rPr>
        <w:t xml:space="preserve">ClickHouse data is backed up daily using clickhouse-backup — a purpose-built ClickHouse backup utility that creates compressed, incremental backups directly to the Ecoskiller MinIO S3-compatible object store:</w:t>
      </w:r>
    </w:p>
    <w:p>
      <w:pPr>
        <w:pStyle w:val="ListParagraph"/>
        <w:numPr>
          <w:ilvl w:val="0"/>
          <w:numId w:val="2"/>
        </w:numPr>
        <w:spacing w:before="60" w:after="60"/>
      </w:pPr>
      <w:r>
        <w:rPr>
          <w:rFonts w:ascii="Arial" w:cs="Arial" w:eastAsia="Arial" w:hAnsi="Arial"/>
          <w:sz w:val="20"/>
          <w:szCs w:val="20"/>
        </w:rPr>
        <w:t xml:space="preserve">Backup frequency: Daily — automated via Kubernetes CronJob or Apache Airflow scheduled task.</w:t>
      </w:r>
    </w:p>
    <w:p>
      <w:pPr>
        <w:pStyle w:val="ListParagraph"/>
        <w:numPr>
          <w:ilvl w:val="0"/>
          <w:numId w:val="2"/>
        </w:numPr>
        <w:spacing w:before="60" w:after="60"/>
      </w:pPr>
      <w:r>
        <w:rPr>
          <w:rFonts w:ascii="Arial" w:cs="Arial" w:eastAsia="Arial" w:hAnsi="Arial"/>
          <w:sz w:val="20"/>
          <w:szCs w:val="20"/>
        </w:rPr>
        <w:t xml:space="preserve">Retention: 14 days of ClickHouse backups in MinIO primary (GCP).</w:t>
      </w:r>
    </w:p>
    <w:p>
      <w:pPr>
        <w:pStyle w:val="ListParagraph"/>
        <w:numPr>
          <w:ilvl w:val="0"/>
          <w:numId w:val="2"/>
        </w:numPr>
        <w:spacing w:before="60" w:after="60"/>
      </w:pPr>
      <w:r>
        <w:rPr>
          <w:rFonts w:ascii="Arial" w:cs="Arial" w:eastAsia="Arial" w:hAnsi="Arial"/>
          <w:sz w:val="20"/>
          <w:szCs w:val="20"/>
        </w:rPr>
        <w:t xml:space="preserve">Cross-cloud DR: MinIO bucket replication syncs ClickHouse backups to secondary MinIO on AWS us-east-1 — ClickHouse data survives a GCP regional failure.</w:t>
      </w:r>
    </w:p>
    <w:p>
      <w:pPr>
        <w:pStyle w:val="ListParagraph"/>
        <w:numPr>
          <w:ilvl w:val="0"/>
          <w:numId w:val="2"/>
        </w:numPr>
        <w:spacing w:before="60" w:after="60"/>
      </w:pPr>
      <w:r>
        <w:rPr>
          <w:rFonts w:ascii="Arial" w:cs="Arial" w:eastAsia="Arial" w:hAnsi="Arial"/>
          <w:sz w:val="20"/>
          <w:szCs w:val="20"/>
        </w:rPr>
        <w:t xml:space="preserve">Restore time: &lt; 1 hour (DR Tier 3 RTO target — Ecoskiller Infrastructure v15 DR runbook step 51).</w:t>
      </w:r>
    </w:p>
    <w:p>
      <w:pPr>
        <w:pStyle w:val="ListParagraph"/>
        <w:numPr>
          <w:ilvl w:val="0"/>
          <w:numId w:val="2"/>
        </w:numPr>
        <w:spacing w:before="60" w:after="60"/>
      </w:pPr>
      <w:r>
        <w:rPr>
          <w:rFonts w:ascii="Arial" w:cs="Arial" w:eastAsia="Arial" w:hAnsi="Arial"/>
          <w:sz w:val="20"/>
          <w:szCs w:val="20"/>
        </w:rPr>
        <w:t xml:space="preserve">Restore procedure: 'Restore Tier 3: ClickHouse + OpenSearch from MinIO snapshots. Trigger re-index if needed.' — automated restore-verify scripts run weekly in stage environment.</w:t>
      </w:r>
    </w:p>
    <w:p>
      <w:pPr>
        <w:spacing w:before="80" w:after="0"/>
      </w:pPr>
      <w:r>
        <w:t xml:space="preserve"/>
      </w:r>
    </w:p>
    <w:p>
      <w:pPr>
        <w:spacing w:before="200" w:after="80"/>
      </w:pPr>
      <w:r>
        <w:rPr>
          <w:rFonts w:ascii="Arial" w:cs="Arial" w:eastAsia="Arial" w:hAnsi="Arial"/>
          <w:b/>
          <w:bCs/>
          <w:color w:val="1A1A2E"/>
          <w:sz w:val="22"/>
          <w:szCs w:val="22"/>
        </w:rPr>
        <w:t xml:space="preserve">4.8  MergeTree Engine Family — Analytical Workload Optimisation</w:t>
      </w:r>
    </w:p>
    <w:p>
      <w:pPr>
        <w:spacing w:before="80" w:after="80"/>
      </w:pPr>
      <w:r>
        <w:rPr>
          <w:rFonts w:ascii="Arial" w:cs="Arial" w:eastAsia="Arial" w:hAnsi="Arial"/>
          <w:sz w:val="20"/>
          <w:szCs w:val="20"/>
        </w:rPr>
        <w:t xml:space="preserve">Ecoskiller's ClickHouse tables use the MergeTree engine family — specifically optimised for the write-heavy, read-analytical workload pattern of the platform:</w:t>
      </w:r>
    </w:p>
    <w:p>
      <w:pPr>
        <w:pStyle w:val="ListParagraph"/>
        <w:numPr>
          <w:ilvl w:val="0"/>
          <w:numId w:val="2"/>
        </w:numPr>
        <w:spacing w:before="60" w:after="60"/>
      </w:pPr>
      <w:r>
        <w:rPr>
          <w:rFonts w:ascii="Arial" w:cs="Arial" w:eastAsia="Arial" w:hAnsi="Arial"/>
          <w:sz w:val="20"/>
          <w:szCs w:val="20"/>
        </w:rPr>
        <w:t xml:space="preserve">MergeTree: Base engine for all event tables — high-speed inserts, background merge, primary key ORDER BY for query pruning.</w:t>
      </w:r>
    </w:p>
    <w:p>
      <w:pPr>
        <w:pStyle w:val="ListParagraph"/>
        <w:numPr>
          <w:ilvl w:val="0"/>
          <w:numId w:val="2"/>
        </w:numPr>
        <w:spacing w:before="60" w:after="60"/>
      </w:pPr>
      <w:r>
        <w:rPr>
          <w:rFonts w:ascii="Arial" w:cs="Arial" w:eastAsia="Arial" w:hAnsi="Arial"/>
          <w:sz w:val="20"/>
          <w:szCs w:val="20"/>
        </w:rPr>
        <w:t xml:space="preserve">AggregatingMergeTree: Pre-aggregated metrics tables — materialised scoring summaries and funnel conversion counts that update in the background without query-time aggregation overhead.</w:t>
      </w:r>
    </w:p>
    <w:p>
      <w:pPr>
        <w:pStyle w:val="ListParagraph"/>
        <w:numPr>
          <w:ilvl w:val="0"/>
          <w:numId w:val="2"/>
        </w:numPr>
        <w:spacing w:before="60" w:after="60"/>
      </w:pPr>
      <w:r>
        <w:rPr>
          <w:rFonts w:ascii="Arial" w:cs="Arial" w:eastAsia="Arial" w:hAnsi="Arial"/>
          <w:sz w:val="20"/>
          <w:szCs w:val="20"/>
        </w:rPr>
        <w:t xml:space="preserve">ReplacingMergeTree: Upsert-style tables for intelligence timeline entries — newer versions of a candidate's intelligence profile replace older ones during background merge.</w:t>
      </w:r>
    </w:p>
    <w:p>
      <w:pPr>
        <w:pStyle w:val="ListParagraph"/>
        <w:numPr>
          <w:ilvl w:val="0"/>
          <w:numId w:val="2"/>
        </w:numPr>
        <w:spacing w:before="60" w:after="60"/>
      </w:pPr>
      <w:r>
        <w:rPr>
          <w:rFonts w:ascii="Arial" w:cs="Arial" w:eastAsia="Arial" w:hAnsi="Arial"/>
          <w:sz w:val="20"/>
          <w:szCs w:val="20"/>
        </w:rPr>
        <w:t xml:space="preserve">Partitioning strategy: toYYYYMM(event_timestamp) for all time-series tables — month-based partitions enable partition pruning on date-range queries and efficient TTL partition drops.</w:t>
      </w:r>
    </w:p>
    <w:p>
      <w:pPr>
        <w:spacing w:before="200" w:after="0"/>
      </w:pPr>
      <w:r>
        <w:t xml:space="preserve"/>
      </w:r>
    </w:p>
    <w:p>
      <w:pPr>
        <w:pStyle w:val="Heading1"/>
        <w:spacing w:before="400" w:after="120"/>
      </w:pPr>
      <w:r>
        <w:rPr>
          <w:rFonts w:ascii="Arial" w:cs="Arial" w:eastAsia="Arial" w:hAnsi="Arial"/>
          <w:b/>
          <w:bCs/>
          <w:color w:val="B45309"/>
          <w:sz w:val="34"/>
          <w:szCs w:val="34"/>
        </w:rPr>
        <w:t xml:space="preserve">5. Inputs</w:t>
      </w:r>
    </w:p>
    <w:p>
      <w:pPr>
        <w:spacing w:before="80" w:after="80"/>
      </w:pPr>
      <w:r>
        <w:rPr>
          <w:rFonts w:ascii="Arial" w:cs="Arial" w:eastAsia="Arial" w:hAnsi="Arial"/>
          <w:sz w:val="20"/>
          <w:szCs w:val="20"/>
        </w:rPr>
        <w:t xml:space="preserve">ClickHouse receives the following inputs during normal Ecoskiller platform operation: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Input</w:t>
            </w:r>
          </w:p>
        </w:tc>
        <w:tc>
          <w:tcPr>
            <w:tcW w:type="dxa" w:w="30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Source / Mechanism</w:t>
            </w:r>
          </w:p>
        </w:tc>
        <w:tc>
          <w:tcPr>
            <w:tcW w:type="dxa" w:w="376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gd.completed event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(Kafka consumer → bulk INSERT)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 session metrics: session_id, tenant_id, topic, speaking times per candidate, completion status, duration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match.scored event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(Kafka consumer → INSERT)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 engine results: candidate_id, job_id, gd_score, interview_score, coding_score, composite_score, belt_eligibility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interview.completed event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(Kafka consumer → INSERT)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 session outcomes: interviewer_id, candidate_id, duration, WebSocket stability, no-show flag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job.applied event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(Kafka consumer → INSERT)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Funnel step: candidate job application — feeds conversion rate calculations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belt.eligible event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(Kafka consumer → INSERT)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Belt progression event: belt_level, candidate_id, assessment_type, scored_at — longitudinal intelligence timeline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invoice.generated event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(Kafka consumer → INSERT)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Billing funnel event: tenant_id, invoice_id, amount, status — feeds billing error dashboard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royalty.calculated event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 Accounting Engine → direct INSERT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royalty_audit_log entry: double-entry royalty record, contract_id, revenue_share, payout_amount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audit.completed event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audit-service → analytics-service → INSERT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Compliance audit record: auditor_id, subject_id, findings, timestamp — 3-year TTL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Innovation score result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Innovation Scoring Engine → analytics-service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Originality, feasibility, and market potential scores per idea_id, tenant_id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Phone call log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gd-phone-bridge-service → analytics-service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Call UUID, session mapping, PSTN duration, FreeSWITCH ESL event sequence, Vosk transcript reference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SQL query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(ops namespace, cross-namespace ClusterIP)</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SELECT aggregation queries for dashboard panels — filtered by tenant_id, time range, assessment type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Backup trigger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CronJob / Apache Airflow</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CLI — daily compressed snapshot to MinIO S3 bucket</w:t>
            </w:r>
          </w:p>
        </w:tc>
      </w:tr>
    </w:tbl>
    <w:p>
      <w:pPr>
        <w:spacing w:before="200" w:after="0"/>
      </w:pPr>
      <w:r>
        <w:t xml:space="preserve"/>
      </w:r>
    </w:p>
    <w:p>
      <w:pPr>
        <w:pStyle w:val="Heading1"/>
        <w:spacing w:before="400" w:after="120"/>
      </w:pPr>
      <w:r>
        <w:rPr>
          <w:rFonts w:ascii="Arial" w:cs="Arial" w:eastAsia="Arial" w:hAnsi="Arial"/>
          <w:b/>
          <w:bCs/>
          <w:color w:val="B45309"/>
          <w:sz w:val="34"/>
          <w:szCs w:val="34"/>
        </w:rPr>
        <w:t xml:space="preserve">6. Outputs</w:t>
      </w:r>
    </w:p>
    <w:p>
      <w:pPr>
        <w:spacing w:before="80" w:after="80"/>
      </w:pPr>
      <w:r>
        <w:rPr>
          <w:rFonts w:ascii="Arial" w:cs="Arial" w:eastAsia="Arial" w:hAnsi="Arial"/>
          <w:sz w:val="20"/>
          <w:szCs w:val="20"/>
        </w:rPr>
        <w:t xml:space="preserve">ClickHouse produces the following outputs consumed by Ecoskiller services and infrastructure: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c>
          <w:tcPr>
            <w:tcW w:type="dxa" w:w="28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Output</w:t>
            </w:r>
          </w:p>
        </w:tc>
        <w:tc>
          <w:tcPr>
            <w:tcW w:type="dxa" w:w="296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Consumer</w:t>
            </w:r>
          </w:p>
        </w:tc>
        <w:tc>
          <w:tcPr>
            <w:tcW w:type="dxa" w:w="36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Format / Delivery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 distribution data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 recruiter API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Aggregated JSON: score histograms, percentile ranks, belt progression rates per tenant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 session health metrics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 GD Session Health dashboard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SQL result sets: completion rates, failure rates, drop-out rates, per-tenant breakdown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Funnel conversion report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 recruiter dashboard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Hiring funnel conversion rates — job_posted through hired — per job, tenant, date range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SLO burn rate metrics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 Platform SLO Dashboard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Time-series aggregates: API success rate, p95 latency, GD completion rate over rolling windows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 no-show report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 Interview dashboard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Scheduled vs. attended counts grouped by recruiter, candidate, last 7 days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 audit report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 Audit Service + Grafana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royalty_audit_log query results — compliance evidence for regulatory review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Intelligence timeline data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Intelligence Evolution Timeline Service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intelligence_timeline table — longitudinal candidate skill development and scoring history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Innovation analytics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 Idea Marketplace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 trend aggregations — originality percentiles, category distribution, top-ranked ideas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Billing error metrics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 Billing Error Dashboard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invoice.generated failure rates, revenue anomaly counts, GST compliance flags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Phone analytics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 → ops team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PSTN call success rates, transcript coverage rates, session-phone correlation report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Alertmanager feed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Alertmanager → ntfy / Mattermost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SLO threshold violations trigger P0/P1 alerts: GD completion &lt; 97%, scoring latency &gt; SLO target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Backup artefact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MinIO (primary GCP + replica AWS)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compressed archive — daily, 14-day retention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Compliance audit evidence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team / compliance audit review</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Immutable audit_log table query — 3-year retention, tamper-evident INSERT-only records</w:t>
            </w:r>
          </w:p>
        </w:tc>
      </w:tr>
    </w:tbl>
    <w:p>
      <w:pPr>
        <w:spacing w:before="200" w:after="0"/>
      </w:pPr>
      <w:r>
        <w:t xml:space="preserve"/>
      </w:r>
    </w:p>
    <w:p>
      <w:pPr>
        <w:pStyle w:val="Heading1"/>
        <w:spacing w:before="400" w:after="120"/>
      </w:pPr>
      <w:r>
        <w:rPr>
          <w:rFonts w:ascii="Arial" w:cs="Arial" w:eastAsia="Arial" w:hAnsi="Arial"/>
          <w:b/>
          <w:bCs/>
          <w:color w:val="B45309"/>
          <w:sz w:val="34"/>
          <w:szCs w:val="34"/>
        </w:rPr>
        <w:t xml:space="preserve">7. Dependencies</w:t>
      </w:r>
    </w:p>
    <w:p>
      <w:pPr>
        <w:spacing w:before="80" w:after="80"/>
      </w:pPr>
      <w:r>
        <w:rPr>
          <w:rFonts w:ascii="Arial" w:cs="Arial" w:eastAsia="Arial" w:hAnsi="Arial"/>
          <w:sz w:val="20"/>
          <w:szCs w:val="20"/>
        </w:rPr>
        <w:t xml:space="preserve">ClickHouse depends on and integrates with the following Ecoskiller infrastructure components:</w:t>
      </w:r>
    </w:p>
    <w:p>
      <w:pPr>
        <w:spacing w:before="80" w:after="0"/>
      </w:pPr>
      <w:r>
        <w:t xml:space="preserve"/>
      </w:r>
    </w:p>
    <w:p>
      <w:pPr>
        <w:spacing w:before="200" w:after="80"/>
      </w:pPr>
      <w:r>
        <w:rPr>
          <w:rFonts w:ascii="Arial" w:cs="Arial" w:eastAsia="Arial" w:hAnsi="Arial"/>
          <w:b/>
          <w:bCs/>
          <w:color w:val="1A1A2E"/>
          <w:sz w:val="22"/>
          <w:szCs w:val="22"/>
        </w:rPr>
        <w:t xml:space="preserve">7.1  analytics-service (Primary Write &amp; Query Client)</w:t>
      </w:r>
    </w:p>
    <w:p>
      <w:pPr>
        <w:pStyle w:val="ListParagraph"/>
        <w:numPr>
          <w:ilvl w:val="0"/>
          <w:numId w:val="2"/>
        </w:numPr>
        <w:spacing w:before="60" w:after="60"/>
      </w:pPr>
      <w:r>
        <w:rPr>
          <w:rFonts w:ascii="Arial" w:cs="Arial" w:eastAsia="Arial" w:hAnsi="Arial"/>
          <w:sz w:val="20"/>
          <w:szCs w:val="20"/>
        </w:rPr>
        <w:t xml:space="preserve">The analytics-service (ecoskiller/analytics-service:2bc52ebc5d37 — 1.58 GB — ACTIVE) is ClickHouse's primary client. It consumes all relevant Kafka events (gd.completed, match.scored, interview.completed, job.applied, belt.eligible, invoice.generated) and translates them into ClickHouse bulk INSERT operations.</w:t>
      </w:r>
    </w:p>
    <w:p>
      <w:pPr>
        <w:pStyle w:val="ListParagraph"/>
        <w:numPr>
          <w:ilvl w:val="0"/>
          <w:numId w:val="2"/>
        </w:numPr>
        <w:spacing w:before="60" w:after="60"/>
      </w:pPr>
      <w:r>
        <w:rPr>
          <w:rFonts w:ascii="Arial" w:cs="Arial" w:eastAsia="Arial" w:hAnsi="Arial"/>
          <w:sz w:val="20"/>
          <w:szCs w:val="20"/>
        </w:rPr>
        <w:t xml:space="preserve">The analytics-service also executes all application-layer ClickHouse SELECT queries — score distributions, funnel metrics, intelligence timelines — and exposes them as REST API responses to the core-service and recruiter-facing dashboards.</w:t>
      </w:r>
    </w:p>
    <w:p>
      <w:pPr>
        <w:pStyle w:val="ListParagraph"/>
        <w:numPr>
          <w:ilvl w:val="0"/>
          <w:numId w:val="2"/>
        </w:numPr>
        <w:spacing w:before="60" w:after="60"/>
      </w:pPr>
      <w:r>
        <w:rPr>
          <w:rFonts w:ascii="Arial" w:cs="Arial" w:eastAsia="Arial" w:hAnsi="Arial"/>
          <w:sz w:val="20"/>
          <w:szCs w:val="20"/>
        </w:rPr>
        <w:t xml:space="preserve">Without analytics-service, ClickHouse tables receive no writes and all recruiter analytics APIs fail.</w:t>
      </w:r>
    </w:p>
    <w:p>
      <w:pPr>
        <w:spacing w:before="80" w:after="0"/>
      </w:pPr>
      <w:r>
        <w:t xml:space="preserve"/>
      </w:r>
    </w:p>
    <w:p>
      <w:pPr>
        <w:spacing w:before="200" w:after="80"/>
      </w:pPr>
      <w:r>
        <w:rPr>
          <w:rFonts w:ascii="Arial" w:cs="Arial" w:eastAsia="Arial" w:hAnsi="Arial"/>
          <w:b/>
          <w:bCs/>
          <w:color w:val="1A1A2E"/>
          <w:sz w:val="22"/>
          <w:szCs w:val="22"/>
        </w:rPr>
        <w:t xml:space="preserve">7.2  Apache Kafka 3.7.0</w:t>
      </w:r>
    </w:p>
    <w:p>
      <w:pPr>
        <w:pStyle w:val="ListParagraph"/>
        <w:numPr>
          <w:ilvl w:val="0"/>
          <w:numId w:val="2"/>
        </w:numPr>
        <w:spacing w:before="60" w:after="60"/>
      </w:pPr>
      <w:r>
        <w:rPr>
          <w:rFonts w:ascii="Arial" w:cs="Arial" w:eastAsia="Arial" w:hAnsi="Arial"/>
          <w:sz w:val="20"/>
          <w:szCs w:val="20"/>
        </w:rPr>
        <w:t xml:space="preserve">Kafka is the upstream event source for all ClickHouse analytical data. Every assessable event in the Ecoskiller platform — GD session completion, scoring, interview outcome, billing step — is published to Kafka before being consumed by analytics-service and inserted into ClickHouse.</w:t>
      </w:r>
    </w:p>
    <w:p>
      <w:pPr>
        <w:pStyle w:val="ListParagraph"/>
        <w:numPr>
          <w:ilvl w:val="0"/>
          <w:numId w:val="2"/>
        </w:numPr>
        <w:spacing w:before="60" w:after="60"/>
      </w:pPr>
      <w:r>
        <w:rPr>
          <w:rFonts w:ascii="Arial" w:cs="Arial" w:eastAsia="Arial" w:hAnsi="Arial"/>
          <w:sz w:val="20"/>
          <w:szCs w:val="20"/>
        </w:rPr>
        <w:t xml:space="preserve">Dead-letter queue (DLQ) handling: analytics-service publishes to analytics-service-{topic}.dlq on 3 failed insert retries — ensuring ClickHouse insert failures do not silently drop analytical data.</w:t>
      </w:r>
    </w:p>
    <w:p>
      <w:pPr>
        <w:spacing w:before="80" w:after="0"/>
      </w:pPr>
      <w:r>
        <w:t xml:space="preserve"/>
      </w:r>
    </w:p>
    <w:p>
      <w:pPr>
        <w:spacing w:before="200" w:after="80"/>
      </w:pPr>
      <w:r>
        <w:rPr>
          <w:rFonts w:ascii="Arial" w:cs="Arial" w:eastAsia="Arial" w:hAnsi="Arial"/>
          <w:b/>
          <w:bCs/>
          <w:color w:val="1A1A2E"/>
          <w:sz w:val="22"/>
          <w:szCs w:val="22"/>
        </w:rPr>
        <w:t xml:space="preserve">7.3  Grafana (Observability Namespace → Analytics Namespace)</w:t>
      </w:r>
    </w:p>
    <w:p>
      <w:pPr>
        <w:pStyle w:val="ListParagraph"/>
        <w:numPr>
          <w:ilvl w:val="0"/>
          <w:numId w:val="2"/>
        </w:numPr>
        <w:spacing w:before="60" w:after="60"/>
      </w:pPr>
      <w:r>
        <w:rPr>
          <w:rFonts w:ascii="Arial" w:cs="Arial" w:eastAsia="Arial" w:hAnsi="Arial"/>
          <w:sz w:val="20"/>
          <w:szCs w:val="20"/>
        </w:rPr>
        <w:t xml:space="preserve">Grafana queries ClickHouse directly via the ClickHouse SQL HTTP interface (port 8123) — accessed cross-namespace via a ClusterIP Service in the analytics namespace exposed to the ops namespace via Kubernetes NetworkPolicy.</w:t>
      </w:r>
    </w:p>
    <w:p>
      <w:pPr>
        <w:pStyle w:val="ListParagraph"/>
        <w:numPr>
          <w:ilvl w:val="0"/>
          <w:numId w:val="2"/>
        </w:numPr>
        <w:spacing w:before="60" w:after="60"/>
      </w:pPr>
      <w:r>
        <w:rPr>
          <w:rFonts w:ascii="Arial" w:cs="Arial" w:eastAsia="Arial" w:hAnsi="Arial"/>
          <w:sz w:val="20"/>
          <w:szCs w:val="20"/>
        </w:rPr>
        <w:t xml:space="preserve">Grafana uses the official ClickHouse Grafana data source plugin — supporting native ClickHouse SQL including ARRAY JOIN, GROUP BY WITH ROLLUP, and window functions for SLO burn rate calculations.</w:t>
      </w:r>
    </w:p>
    <w:p>
      <w:pPr>
        <w:pStyle w:val="ListParagraph"/>
        <w:numPr>
          <w:ilvl w:val="0"/>
          <w:numId w:val="2"/>
        </w:numPr>
        <w:spacing w:before="60" w:after="60"/>
      </w:pPr>
      <w:r>
        <w:rPr>
          <w:rFonts w:ascii="Arial" w:cs="Arial" w:eastAsia="Arial" w:hAnsi="Arial"/>
          <w:sz w:val="20"/>
          <w:szCs w:val="20"/>
        </w:rPr>
        <w:t xml:space="preserve">8 critical Ecoskiller dashboards depend on this Grafana → ClickHouse data path.</w:t>
      </w:r>
    </w:p>
    <w:p>
      <w:pPr>
        <w:spacing w:before="80" w:after="0"/>
      </w:pPr>
      <w:r>
        <w:t xml:space="preserve"/>
      </w:r>
    </w:p>
    <w:p>
      <w:pPr>
        <w:spacing w:before="200" w:after="80"/>
      </w:pPr>
      <w:r>
        <w:rPr>
          <w:rFonts w:ascii="Arial" w:cs="Arial" w:eastAsia="Arial" w:hAnsi="Arial"/>
          <w:b/>
          <w:bCs/>
          <w:color w:val="1A1A2E"/>
          <w:sz w:val="22"/>
          <w:szCs w:val="22"/>
        </w:rPr>
        <w:t xml:space="preserve">7.4  Apache Airflow</w:t>
      </w:r>
    </w:p>
    <w:p>
      <w:pPr>
        <w:pStyle w:val="ListParagraph"/>
        <w:numPr>
          <w:ilvl w:val="0"/>
          <w:numId w:val="2"/>
        </w:numPr>
        <w:spacing w:before="60" w:after="60"/>
      </w:pPr>
      <w:r>
        <w:rPr>
          <w:rFonts w:ascii="Arial" w:cs="Arial" w:eastAsia="Arial" w:hAnsi="Arial"/>
          <w:sz w:val="20"/>
          <w:szCs w:val="20"/>
        </w:rPr>
        <w:t xml:space="preserve">Apache Airflow manages ClickHouse operational scheduled tasks: daily clickhouse-backup execution, weekly backup restore-verify tests in the staging environment, data retention TTL monitoring, and certificate expiry report generation.</w:t>
      </w:r>
    </w:p>
    <w:p>
      <w:pPr>
        <w:pStyle w:val="ListParagraph"/>
        <w:numPr>
          <w:ilvl w:val="0"/>
          <w:numId w:val="2"/>
        </w:numPr>
        <w:spacing w:before="60" w:after="60"/>
      </w:pPr>
      <w:r>
        <w:rPr>
          <w:rFonts w:ascii="Arial" w:cs="Arial" w:eastAsia="Arial" w:hAnsi="Arial"/>
          <w:sz w:val="20"/>
          <w:szCs w:val="20"/>
        </w:rPr>
        <w:t xml:space="preserve">Airflow is also responsible for triggering weekly analytics reports, billing cycle computations, and intelligence timeline batch updates — all of which write to or read from ClickHouse.</w:t>
      </w:r>
    </w:p>
    <w:p>
      <w:pPr>
        <w:spacing w:before="80" w:after="0"/>
      </w:pPr>
      <w:r>
        <w:t xml:space="preserve"/>
      </w:r>
    </w:p>
    <w:p>
      <w:pPr>
        <w:spacing w:before="200" w:after="80"/>
      </w:pPr>
      <w:r>
        <w:rPr>
          <w:rFonts w:ascii="Arial" w:cs="Arial" w:eastAsia="Arial" w:hAnsi="Arial"/>
          <w:b/>
          <w:bCs/>
          <w:color w:val="1A1A2E"/>
          <w:sz w:val="22"/>
          <w:szCs w:val="22"/>
        </w:rPr>
        <w:t xml:space="preserve">7.5  MinIO (Self-Hosted, S3-Compatible)</w:t>
      </w:r>
    </w:p>
    <w:p>
      <w:pPr>
        <w:pStyle w:val="ListParagraph"/>
        <w:numPr>
          <w:ilvl w:val="0"/>
          <w:numId w:val="2"/>
        </w:numPr>
        <w:spacing w:before="60" w:after="60"/>
      </w:pPr>
      <w:r>
        <w:rPr>
          <w:rFonts w:ascii="Arial" w:cs="Arial" w:eastAsia="Arial" w:hAnsi="Arial"/>
          <w:sz w:val="20"/>
          <w:szCs w:val="20"/>
        </w:rPr>
        <w:t xml:space="preserve">MinIO is the backup storage target for clickhouse-backup daily snapshots. The primary MinIO instance (GCP) receives daily ClickHouse backups; MinIO bucket replication syncs them to the secondary MinIO instance on AWS us-east-1 for cross-cloud DR coverage.</w:t>
      </w:r>
    </w:p>
    <w:p>
      <w:pPr>
        <w:pStyle w:val="ListParagraph"/>
        <w:numPr>
          <w:ilvl w:val="0"/>
          <w:numId w:val="2"/>
        </w:numPr>
        <w:spacing w:before="60" w:after="60"/>
      </w:pPr>
      <w:r>
        <w:rPr>
          <w:rFonts w:ascii="Arial" w:cs="Arial" w:eastAsia="Arial" w:hAnsi="Arial"/>
          <w:sz w:val="20"/>
          <w:szCs w:val="20"/>
        </w:rPr>
        <w:t xml:space="preserve">MinIO also stores royalty contract PDFs, candidate certificates, and invoices in separate buckets — ClickHouse stores the analytical metadata (royalty_audit_log, billing events) while MinIO stores the associated binary documents.</w:t>
      </w:r>
    </w:p>
    <w:p>
      <w:pPr>
        <w:spacing w:before="80" w:after="0"/>
      </w:pPr>
      <w:r>
        <w:t xml:space="preserve"/>
      </w:r>
    </w:p>
    <w:p>
      <w:pPr>
        <w:spacing w:before="200" w:after="80"/>
      </w:pPr>
      <w:r>
        <w:rPr>
          <w:rFonts w:ascii="Arial" w:cs="Arial" w:eastAsia="Arial" w:hAnsi="Arial"/>
          <w:b/>
          <w:bCs/>
          <w:color w:val="1A1A2E"/>
          <w:sz w:val="22"/>
          <w:szCs w:val="22"/>
        </w:rPr>
        <w:t xml:space="preserve">7.6  Longhorn Persistent Volumes (AES-128-CTR Encrypted)</w:t>
      </w:r>
    </w:p>
    <w:p>
      <w:pPr>
        <w:pStyle w:val="ListParagraph"/>
        <w:numPr>
          <w:ilvl w:val="0"/>
          <w:numId w:val="2"/>
        </w:numPr>
        <w:spacing w:before="60" w:after="60"/>
      </w:pPr>
      <w:r>
        <w:rPr>
          <w:rFonts w:ascii="Arial" w:cs="Arial" w:eastAsia="Arial" w:hAnsi="Arial"/>
          <w:sz w:val="20"/>
          <w:szCs w:val="20"/>
        </w:rPr>
        <w:t xml:space="preserve">ClickHouse index files and data parts are stored on Longhorn-managed Kubernetes Persistent Volumes backed by GCP Persistent Disks and AWS EBS volumes.</w:t>
      </w:r>
    </w:p>
    <w:p>
      <w:pPr>
        <w:pStyle w:val="ListParagraph"/>
        <w:numPr>
          <w:ilvl w:val="0"/>
          <w:numId w:val="2"/>
        </w:numPr>
        <w:spacing w:before="60" w:after="60"/>
      </w:pPr>
      <w:r>
        <w:rPr>
          <w:rFonts w:ascii="Arial" w:cs="Arial" w:eastAsia="Arial" w:hAnsi="Arial"/>
          <w:sz w:val="20"/>
          <w:szCs w:val="20"/>
        </w:rPr>
        <w:t xml:space="preserve">ClickHouse native AES-128-CTR encryption operates at the application layer; LUKS block-device encryption is applied at the volume layer — providing two independent encryption layers for all analytical data.</w:t>
      </w:r>
    </w:p>
    <w:p>
      <w:pPr>
        <w:spacing w:before="80" w:after="0"/>
      </w:pPr>
      <w:r>
        <w:t xml:space="preserve"/>
      </w:r>
    </w:p>
    <w:p>
      <w:pPr>
        <w:spacing w:before="200" w:after="80"/>
      </w:pPr>
      <w:r>
        <w:rPr>
          <w:rFonts w:ascii="Arial" w:cs="Arial" w:eastAsia="Arial" w:hAnsi="Arial"/>
          <w:b/>
          <w:bCs/>
          <w:color w:val="1A1A2E"/>
          <w:sz w:val="22"/>
          <w:szCs w:val="22"/>
        </w:rPr>
        <w:t xml:space="preserve">7.7  scoring-engine, gd-orchestrator, interview-service</w:t>
      </w:r>
    </w:p>
    <w:p>
      <w:pPr>
        <w:pStyle w:val="ListParagraph"/>
        <w:numPr>
          <w:ilvl w:val="0"/>
          <w:numId w:val="2"/>
        </w:numPr>
        <w:spacing w:before="60" w:after="60"/>
      </w:pPr>
      <w:r>
        <w:rPr>
          <w:rFonts w:ascii="Arial" w:cs="Arial" w:eastAsia="Arial" w:hAnsi="Arial"/>
          <w:sz w:val="20"/>
          <w:szCs w:val="20"/>
        </w:rPr>
        <w:t xml:space="preserve">These services are upstream event producers whose Kafka outputs feed ClickHouse analytics. scoring-engine publishes match.scored; gd-orchestrator publishes gd.completed; interview-service publishes interview.completed.</w:t>
      </w:r>
    </w:p>
    <w:p>
      <w:pPr>
        <w:pStyle w:val="ListParagraph"/>
        <w:numPr>
          <w:ilvl w:val="0"/>
          <w:numId w:val="2"/>
        </w:numPr>
        <w:spacing w:before="60" w:after="60"/>
      </w:pPr>
      <w:r>
        <w:rPr>
          <w:rFonts w:ascii="Arial" w:cs="Arial" w:eastAsia="Arial" w:hAnsi="Arial"/>
          <w:sz w:val="20"/>
          <w:szCs w:val="20"/>
        </w:rPr>
        <w:t xml:space="preserve">The quality and completeness of ClickHouse analytical data directly depends on the event publication reliability of these services.</w:t>
      </w:r>
    </w:p>
    <w:p>
      <w:pPr>
        <w:spacing w:before="80" w:after="0"/>
      </w:pPr>
      <w:r>
        <w:t xml:space="preserve"/>
      </w:r>
    </w:p>
    <w:p>
      <w:pPr>
        <w:spacing w:before="200" w:after="80"/>
      </w:pPr>
      <w:r>
        <w:rPr>
          <w:rFonts w:ascii="Arial" w:cs="Arial" w:eastAsia="Arial" w:hAnsi="Arial"/>
          <w:b/>
          <w:bCs/>
          <w:color w:val="1A1A2E"/>
          <w:sz w:val="22"/>
          <w:szCs w:val="22"/>
        </w:rPr>
        <w:t xml:space="preserve">7.8  Royalty Accounting Engine &amp; Royalty Audit Service</w:t>
      </w:r>
    </w:p>
    <w:p>
      <w:pPr>
        <w:pStyle w:val="ListParagraph"/>
        <w:numPr>
          <w:ilvl w:val="0"/>
          <w:numId w:val="2"/>
        </w:numPr>
        <w:spacing w:before="60" w:after="60"/>
      </w:pPr>
      <w:r>
        <w:rPr>
          <w:rFonts w:ascii="Arial" w:cs="Arial" w:eastAsia="Arial" w:hAnsi="Arial"/>
          <w:sz w:val="20"/>
          <w:szCs w:val="20"/>
        </w:rPr>
        <w:t xml:space="preserve">The Royalty Audit Service writes directly to the royalty_audit_log ClickHouse table — immutable compliance records for the Ecoskiller XIII (Royalty &amp; Licensing) service group.</w:t>
      </w:r>
    </w:p>
    <w:p>
      <w:pPr>
        <w:pStyle w:val="ListParagraph"/>
        <w:numPr>
          <w:ilvl w:val="0"/>
          <w:numId w:val="2"/>
        </w:numPr>
        <w:spacing w:before="60" w:after="60"/>
      </w:pPr>
      <w:r>
        <w:rPr>
          <w:rFonts w:ascii="Arial" w:cs="Arial" w:eastAsia="Arial" w:hAnsi="Arial"/>
          <w:sz w:val="20"/>
          <w:szCs w:val="20"/>
        </w:rPr>
        <w:t xml:space="preserve">This is one of the few cases where a service writes to ClickHouse directly (not via analytics-service) — justified by the regulatory requirement for tamper-evident, unmediated audit log insertion.</w:t>
      </w:r>
    </w:p>
    <w:p>
      <w:pPr>
        <w:spacing w:before="80" w:after="0"/>
      </w:pPr>
      <w:r>
        <w:t xml:space="preserve"/>
      </w:r>
    </w:p>
    <w:p>
      <w:pPr>
        <w:spacing w:before="200" w:after="80"/>
      </w:pPr>
      <w:r>
        <w:rPr>
          <w:rFonts w:ascii="Arial" w:cs="Arial" w:eastAsia="Arial" w:hAnsi="Arial"/>
          <w:b/>
          <w:bCs/>
          <w:color w:val="1A1A2E"/>
          <w:sz w:val="22"/>
          <w:szCs w:val="22"/>
        </w:rPr>
        <w:t xml:space="preserve">7.9  Kubernetes (k3s) — Data Worker Node Pool</w:t>
      </w:r>
    </w:p>
    <w:p>
      <w:pPr>
        <w:pStyle w:val="ListParagraph"/>
        <w:numPr>
          <w:ilvl w:val="0"/>
          <w:numId w:val="2"/>
        </w:numPr>
        <w:spacing w:before="60" w:after="60"/>
      </w:pPr>
      <w:r>
        <w:rPr>
          <w:rFonts w:ascii="Arial" w:cs="Arial" w:eastAsia="Arial" w:hAnsi="Arial"/>
          <w:sz w:val="20"/>
          <w:szCs w:val="20"/>
        </w:rPr>
        <w:t xml:space="preserve">ClickHouse runs on the dedicated data worker node pool (GCP n2-standard-8 / AWS m5.2xlarge — 8 vCPU, 32 GB RAM) shared with Kafka and OpenSearch.</w:t>
      </w:r>
    </w:p>
    <w:p>
      <w:pPr>
        <w:pStyle w:val="ListParagraph"/>
        <w:numPr>
          <w:ilvl w:val="0"/>
          <w:numId w:val="2"/>
        </w:numPr>
        <w:spacing w:before="60" w:after="60"/>
      </w:pPr>
      <w:r>
        <w:rPr>
          <w:rFonts w:ascii="Arial" w:cs="Arial" w:eastAsia="Arial" w:hAnsi="Arial"/>
          <w:sz w:val="20"/>
          <w:szCs w:val="20"/>
        </w:rPr>
        <w:t xml:space="preserve">Kubernetes liveness and readiness probes are configured against ClickHouse's HTTP health endpoint (GET /ping on port 8123) — pods are marked Ready only when ClickHouse accepts connections.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Dependency</w:t>
            </w:r>
          </w:p>
        </w:tc>
        <w:tc>
          <w:tcPr>
            <w:tcW w:type="dxa" w:w="32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32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Criticality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Primary Kafka consumer + query client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all ClickHouse writes and application queries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Apache Kafka 3.7.0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Event source for all inserts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without Kafka, ClickHouse tables become stale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(ops namespace)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Dashboard data source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8 critical dashboards depend on ClickHouse queries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Apache Airflow</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Scheduled backup + batch jobs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daily backup, weekly verify, and batch analytics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MinIO (Self-Hosted)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storage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DR restore requires MinIO backup artefacts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Longhorn PV (GCP/AWS)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Encrypted persistent storage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ClickHouse data survives pod restarts via PV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scoring-engine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Upstream event producer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match.scored events feed scoring distribution tables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gd-orchestrator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Upstream event producer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gd.completed events feed GD session metrics tables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 Audit Service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Direct INSERT client (audit logs)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royalty_audit_log compliance records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 Alertmanager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SLO threshold monitoring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Medium — feeds P0/P1 alert rules from ClickHouse metrics</w:t>
            </w:r>
          </w:p>
        </w:tc>
      </w:tr>
    </w:tbl>
    <w:p>
      <w:pPr>
        <w:spacing w:before="200" w:after="0"/>
      </w:pPr>
      <w:r>
        <w:t xml:space="preserve"/>
      </w:r>
    </w:p>
    <w:p>
      <w:pPr>
        <w:pStyle w:val="Heading1"/>
        <w:spacing w:before="400" w:after="120"/>
      </w:pPr>
      <w:r>
        <w:rPr>
          <w:rFonts w:ascii="Arial" w:cs="Arial" w:eastAsia="Arial" w:hAnsi="Arial"/>
          <w:b/>
          <w:bCs/>
          <w:color w:val="B45309"/>
          <w:sz w:val="34"/>
          <w:szCs w:val="34"/>
        </w:rPr>
        <w:t xml:space="preserve">8. Tech Stack</w:t>
      </w:r>
    </w:p>
    <w:p>
      <w:pPr>
        <w:spacing w:before="80" w:after="80"/>
      </w:pPr>
      <w:r>
        <w:rPr>
          <w:rFonts w:ascii="Arial" w:cs="Arial" w:eastAsia="Arial" w:hAnsi="Arial"/>
          <w:sz w:val="20"/>
          <w:szCs w:val="20"/>
        </w:rPr>
        <w:t xml:space="preserve">ClickHouse and its integration ecosystem use the following technologies within the Ecoskiller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32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Technology / Version</w:t>
            </w:r>
          </w:p>
        </w:tc>
        <w:tc>
          <w:tcPr>
            <w:tcW w:type="dxa" w:w="32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Role in Ecoskiller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OLAP Engine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 (clickhouse/clickhouse-server:latest, 1.12 GB)</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Columnar analytical database — GD metrics, scoring, funnel, audit, intelligence, royalty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Table Engine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MergeTree / AggregatingMergeTree / ReplacingMergeTree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Optimised engines for time-series events, pre-aggregations, and upsert-style intelligence 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 Service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ecoskiller/analytics-service (Node.js, 1.58 GB)</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Kafka consumer → ClickHouse write client + REST API query layer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Event Bus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Apache Kafka 3.7.0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Source of all analytical events — Kafka consumer group feeding ClickHouse inserts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Schema Registry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Apicurio Schema Registry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Kafka Avro/JSON schema validation for events consumed by analytics-service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Dashboard Layer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Grafana (grafana/grafana:latest)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 Grafana plugin — 8 critical dashboards sourced from ClickHouse SQL queries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Backup Tool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(open-source CLI)</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Daily compressed ClickHouse backups to MinIO — incremental, 14-day retention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Object Storage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MinIO (Self-Hosted, S3-compatible)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artefact storage — primary GCP + replica AWS us-east-1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Persistent Storage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Longhorn PV (GCP PD + AWS EBS)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 data parts and index files — AES-128-CTR + LUKS dual-layer encryption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Container Platform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k3s (GCP + AWS VMs)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Runs ClickHouse StatefulSet on 8 vCPU / 32 GB data worker node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Deployment Tool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Charts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Deploys ClickHouse StatefulSet with Longhorn PVC, resource requests, liveness probes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Scheduled Jobs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Apache Airflow</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Manages daily backup, weekly restore-verify, batch analytics, and retention policy enforcement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Secrets Management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Secrets (analytics ns)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 credentials, AES encryption keys — RBAC-scoped to analytics namespace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SIEM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Wazuh (Self-Hosted)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Aggregates ClickHouse query audit logs for security event correlation (Phase 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Metrics Alerting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Prometheus + Alertmanager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SLO burn rate alerts based on ClickHouse-sourced business metrics via Grafana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Tracing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OpenTelemetry Collector + Grafana Tempo</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Distributed trace correlation for analytics-service → ClickHouse query latency (Phase 2)</w:t>
            </w:r>
          </w:p>
        </w:tc>
      </w:tr>
    </w:tbl>
    <w:p>
      <w:pPr>
        <w:spacing w:before="200" w:after="0"/>
      </w:pPr>
      <w:r>
        <w:t xml:space="preserve"/>
      </w:r>
    </w:p>
    <w:p>
      <w:pPr>
        <w:pStyle w:val="Heading1"/>
        <w:spacing w:before="400" w:after="120"/>
      </w:pPr>
      <w:r>
        <w:rPr>
          <w:rFonts w:ascii="Arial" w:cs="Arial" w:eastAsia="Arial" w:hAnsi="Arial"/>
          <w:b/>
          <w:bCs/>
          <w:color w:val="B45309"/>
          <w:sz w:val="34"/>
          <w:szCs w:val="34"/>
        </w:rPr>
        <w:t xml:space="preserve">9. Business Value</w:t>
      </w:r>
    </w:p>
    <w:p>
      <w:pPr>
        <w:spacing w:before="80" w:after="80"/>
      </w:pPr>
      <w:r>
        <w:rPr>
          <w:rFonts w:ascii="Arial" w:cs="Arial" w:eastAsia="Arial" w:hAnsi="Arial"/>
          <w:sz w:val="20"/>
          <w:szCs w:val="20"/>
        </w:rPr>
        <w:t xml:space="preserve">ClickHouse delivers measurable product, compliance, and operational value to the Ecoskiller platform across six dimensions:</w:t>
      </w:r>
    </w:p>
    <w:p>
      <w:pPr>
        <w:spacing w:before="80" w:after="0"/>
      </w:pPr>
      <w:r>
        <w:t xml:space="preserve"/>
      </w:r>
    </w:p>
    <w:p>
      <w:pPr>
        <w:spacing w:before="200" w:after="80"/>
      </w:pPr>
      <w:r>
        <w:rPr>
          <w:rFonts w:ascii="Arial" w:cs="Arial" w:eastAsia="Arial" w:hAnsi="Arial"/>
          <w:b/>
          <w:bCs/>
          <w:color w:val="1A1A2E"/>
          <w:sz w:val="22"/>
          <w:szCs w:val="22"/>
        </w:rPr>
        <w:t xml:space="preserve">9.1  Enables the Analytics-Driven Hiring Workflow</w:t>
      </w:r>
    </w:p>
    <w:p>
      <w:pPr>
        <w:spacing w:before="80" w:after="80"/>
      </w:pPr>
      <w:r>
        <w:rPr>
          <w:rFonts w:ascii="Arial" w:cs="Arial" w:eastAsia="Arial" w:hAnsi="Arial"/>
          <w:sz w:val="20"/>
          <w:szCs w:val="20"/>
        </w:rPr>
        <w:t xml:space="preserve">Ecoskiller's competitive positioning as an AI-powered talent assessment platform depends entirely on its ability to deliver data-driven hiring insights: score distributions across candidates, funnel conversion analytics by job category, GD session completion rates by recruiter, and longitudinal belt progression tracking. These capabilities require analytical queries across millions of event rows that PostgreSQL cannot serve without impacting the OLTP write path. ClickHouse makes these queries fast enough (&lt; 500ms for most dashboard queries) to be embedded in real-time recruiter workflows.</w:t>
      </w:r>
    </w:p>
    <w:p>
      <w:pPr>
        <w:spacing w:before="80" w:after="0"/>
      </w:pPr>
      <w:r>
        <w:t xml:space="preserve"/>
      </w:r>
    </w:p>
    <w:p>
      <w:pPr>
        <w:spacing w:before="200" w:after="80"/>
      </w:pPr>
      <w:r>
        <w:rPr>
          <w:rFonts w:ascii="Arial" w:cs="Arial" w:eastAsia="Arial" w:hAnsi="Arial"/>
          <w:b/>
          <w:bCs/>
          <w:color w:val="1A1A2E"/>
          <w:sz w:val="22"/>
          <w:szCs w:val="22"/>
        </w:rPr>
        <w:t xml:space="preserve">9.2  Immutable Audit Trail — Regulatory Non-Negotiable</w:t>
      </w:r>
    </w:p>
    <w:p>
      <w:pPr>
        <w:spacing w:before="80" w:after="80"/>
      </w:pPr>
      <w:r>
        <w:rPr>
          <w:rFonts w:ascii="Arial" w:cs="Arial" w:eastAsia="Arial" w:hAnsi="Arial"/>
          <w:sz w:val="20"/>
          <w:szCs w:val="20"/>
        </w:rPr>
        <w:t xml:space="preserve">The Ecoskiller platform processes candidate hiring decisions, royalty payments, and corporate idea licensing agreements — all of which require legally defensible audit trails. ClickHouse's INSERT-only immutable audit tables (royalty_audit_log, assessment audit events) with 3-year and 15-year TTL retention provide tamper-evident compliance evidence required under DPDPA 2023 and IT Act 2000. The infrastructure specification explicitly marks this as '✅ READY — preventing tampering and compliance failures'. Without ClickHouse, Ecoskiller has no compliant audit logging architecture.</w:t>
      </w:r>
    </w:p>
    <w:p>
      <w:pPr>
        <w:spacing w:before="80" w:after="0"/>
      </w:pPr>
      <w:r>
        <w:t xml:space="preserve"/>
      </w:r>
    </w:p>
    <w:p>
      <w:pPr>
        <w:spacing w:before="200" w:after="80"/>
      </w:pPr>
      <w:r>
        <w:rPr>
          <w:rFonts w:ascii="Arial" w:cs="Arial" w:eastAsia="Arial" w:hAnsi="Arial"/>
          <w:b/>
          <w:bCs/>
          <w:color w:val="1A1A2E"/>
          <w:sz w:val="22"/>
          <w:szCs w:val="22"/>
        </w:rPr>
        <w:t xml:space="preserve">9.3  SLO Visibility &amp; Incident Response</w:t>
      </w:r>
    </w:p>
    <w:p>
      <w:pPr>
        <w:spacing w:before="80" w:after="80"/>
      </w:pPr>
      <w:r>
        <w:rPr>
          <w:rFonts w:ascii="Arial" w:cs="Arial" w:eastAsia="Arial" w:hAnsi="Arial"/>
          <w:sz w:val="20"/>
          <w:szCs w:val="20"/>
        </w:rPr>
        <w:t xml:space="preserve">The 8 critical Grafana dashboards powered by ClickHouse are Ecoskiller's primary operational visibility layer. Without ClickHouse as a data source, the Platform SLO Dashboard, GD Session Health dashboard, and Billing Error dashboard cannot render. Prometheus alone cannot provide the historical aggregation depth (30-day funnels, 7-day interview no-show trends, quarterly scoring distributions) that ClickHouse delivers. This directly enables the Alertmanager P0/P1 alert rules that page the on-call team when SLO burn rates exceed thresholds.</w:t>
      </w:r>
    </w:p>
    <w:p>
      <w:pPr>
        <w:spacing w:before="80" w:after="0"/>
      </w:pPr>
      <w:r>
        <w:t xml:space="preserve"/>
      </w:r>
    </w:p>
    <w:p>
      <w:pPr>
        <w:spacing w:before="200" w:after="80"/>
      </w:pPr>
      <w:r>
        <w:rPr>
          <w:rFonts w:ascii="Arial" w:cs="Arial" w:eastAsia="Arial" w:hAnsi="Arial"/>
          <w:b/>
          <w:bCs/>
          <w:color w:val="1A1A2E"/>
          <w:sz w:val="22"/>
          <w:szCs w:val="22"/>
        </w:rPr>
        <w:t xml:space="preserve">9.4  PostgreSQL Protection — OLAP/OLTP Workload Separation</w:t>
      </w:r>
    </w:p>
    <w:p>
      <w:pPr>
        <w:spacing w:before="80" w:after="80"/>
      </w:pPr>
      <w:r>
        <w:rPr>
          <w:rFonts w:ascii="Arial" w:cs="Arial" w:eastAsia="Arial" w:hAnsi="Arial"/>
          <w:sz w:val="20"/>
          <w:szCs w:val="20"/>
        </w:rPr>
        <w:t xml:space="preserve">By offloading all analytical reads to ClickHouse, Ecoskiller's PostgreSQL 15 instance serves only OLTP workloads — transactional candidate registrations, job applications, session bookings, and billing records. If recruiters ran scoring distribution queries directly against PostgreSQL in production, the resulting table scans would consume connection pool slots, trigger query planner inefficiencies, and push p95 API latency above the 500ms SLO target. ClickHouse's existence is a direct protection of the Ecoskiller API SLO.</w:t>
      </w:r>
    </w:p>
    <w:p>
      <w:pPr>
        <w:spacing w:before="80" w:after="0"/>
      </w:pPr>
      <w:r>
        <w:t xml:space="preserve"/>
      </w:r>
    </w:p>
    <w:p>
      <w:pPr>
        <w:spacing w:before="200" w:after="80"/>
      </w:pPr>
      <w:r>
        <w:rPr>
          <w:rFonts w:ascii="Arial" w:cs="Arial" w:eastAsia="Arial" w:hAnsi="Arial"/>
          <w:b/>
          <w:bCs/>
          <w:color w:val="1A1A2E"/>
          <w:sz w:val="22"/>
          <w:szCs w:val="22"/>
        </w:rPr>
        <w:t xml:space="preserve">9.5  DPDPA 2023 Compliance — Data Retention Automation</w:t>
      </w:r>
    </w:p>
    <w:p>
      <w:pPr>
        <w:spacing w:before="80" w:after="80"/>
      </w:pPr>
      <w:r>
        <w:rPr>
          <w:rFonts w:ascii="Arial" w:cs="Arial" w:eastAsia="Arial" w:hAnsi="Arial"/>
          <w:sz w:val="20"/>
          <w:szCs w:val="20"/>
        </w:rPr>
        <w:t xml:space="preserve">ClickHouse TTL expressions implement DPDPA 2023's right-to-erasure and data minimisation requirements at the storage engine level — no application-tier deletion jobs, no manual DBA operations. Audit logs expire after 3 years; royalty records persist for 15 years; OTP event logs expire within hours. This automated lifecycle management reduces compliance engineering overhead and eliminates the risk of regulatory over-retention of candidate personal data in analytical stores.</w:t>
      </w:r>
    </w:p>
    <w:p>
      <w:pPr>
        <w:spacing w:before="80" w:after="0"/>
      </w:pPr>
      <w:r>
        <w:t xml:space="preserve"/>
      </w:r>
    </w:p>
    <w:p>
      <w:pPr>
        <w:spacing w:before="200" w:after="80"/>
      </w:pPr>
      <w:r>
        <w:rPr>
          <w:rFonts w:ascii="Arial" w:cs="Arial" w:eastAsia="Arial" w:hAnsi="Arial"/>
          <w:b/>
          <w:bCs/>
          <w:color w:val="1A1A2E"/>
          <w:sz w:val="22"/>
          <w:szCs w:val="22"/>
        </w:rPr>
        <w:t xml:space="preserve">9.6  Cost-Efficient Analytics at Scale</w:t>
      </w:r>
    </w:p>
    <w:p>
      <w:pPr>
        <w:spacing w:before="80" w:after="80"/>
      </w:pPr>
      <w:r>
        <w:rPr>
          <w:rFonts w:ascii="Arial" w:cs="Arial" w:eastAsia="Arial" w:hAnsi="Arial"/>
          <w:sz w:val="20"/>
          <w:szCs w:val="20"/>
        </w:rPr>
        <w:t xml:space="preserve">Self-hosting ClickHouse on the existing k3s data worker node pool eliminates the need for managed analytical services (BigQuery, Redshift, Snowflake — typically $0.50–$6/TB/month at Ecoskiller's data volumes). ClickHouse's 5–10x compression ratio reduces storage costs for the 14-day rolling backup retention. Co-locating ClickHouse with Kafka and OpenSearch on the shared data node maximises infrastructure utilisation — three data-tier services share the 8 vCPU / 32 GB hardware budget without competing with application-tier pods.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60"/>
              <w:left w:type="dxa" w:w="240"/>
              <w:bottom w:type="dxa" w:w="160"/>
              <w:right w:type="dxa" w:w="240"/>
            </w:tcMar>
          </w:tcPr>
          <w:p>
            <w:pPr>
              <w:spacing w:before="0" w:after="60"/>
            </w:pPr>
            <w:r>
              <w:rPr>
                <w:rFonts w:ascii="Arial" w:cs="Arial" w:eastAsia="Arial" w:hAnsi="Arial"/>
                <w:b/>
                <w:bCs/>
                <w:color w:val="B45309"/>
                <w:sz w:val="20"/>
                <w:szCs w:val="20"/>
              </w:rPr>
              <w:t xml:space="preserve">Business Impact Summary</w:t>
            </w:r>
          </w:p>
          <w:p>
            <w:pPr>
              <w:spacing w:before="0" w:after="0"/>
            </w:pPr>
            <w:r>
              <w:rPr>
                <w:rFonts w:ascii="Arial" w:cs="Arial" w:eastAsia="Arial" w:hAnsi="Arial"/>
                <w:color w:val="333333"/>
                <w:sz w:val="19"/>
                <w:szCs w:val="19"/>
              </w:rPr>
              <w:t xml:space="preserve">ClickHouse is the analytical data backbone of Ecoskiller — enabling real-time recruiter analytics, AI scoring insights, hiring funnel visibility, platform SLO observability, and legally compliant immutable audit logging. Its columnar OLAP performance makes analytics-driven hiring decisions possible at scale without impacting PostgreSQL OLTP performance. AES-128-CTR encryption and 3-year TTL audit retention satisfy DPDPA 2023 and IT Act 2000 requirements, while self-hosted deployment eliminates managed analytics service costs.</w:t>
            </w:r>
          </w:p>
        </w:tc>
      </w:tr>
    </w:tbl>
    <w:p>
      <w:pPr>
        <w:spacing w:before="200" w:after="0"/>
      </w:pPr>
      <w:r>
        <w:t xml:space="preserve"/>
      </w:r>
    </w:p>
    <w:p>
      <w:pPr>
        <w:pStyle w:val="Heading1"/>
        <w:spacing w:before="400" w:after="120"/>
      </w:pPr>
      <w:r>
        <w:rPr>
          <w:rFonts w:ascii="Arial" w:cs="Arial" w:eastAsia="Arial" w:hAnsi="Arial"/>
          <w:b/>
          <w:bCs/>
          <w:color w:val="B45309"/>
          <w:sz w:val="34"/>
          <w:szCs w:val="34"/>
        </w:rPr>
        <w:t xml:space="preserve">10. ClickHouse Table Schema Reference</w:t>
      </w:r>
    </w:p>
    <w:p>
      <w:pPr>
        <w:spacing w:before="80" w:after="80"/>
      </w:pPr>
      <w:r>
        <w:rPr>
          <w:rFonts w:ascii="Arial" w:cs="Arial" w:eastAsia="Arial" w:hAnsi="Arial"/>
          <w:sz w:val="20"/>
          <w:szCs w:val="20"/>
        </w:rPr>
        <w:t xml:space="preserve">The following documents all ClickHouse tables maintained by the Ecoskiller analytics layer:</w:t>
      </w:r>
    </w:p>
    <w:p>
      <w:pPr>
        <w:spacing w:before="80" w:after="0"/>
      </w:pPr>
      <w:r>
        <w:t xml:space="preserve"/>
      </w:r>
    </w:p>
    <w:p>
      <w:pPr>
        <w:spacing w:before="200" w:after="80"/>
      </w:pPr>
      <w:r>
        <w:rPr>
          <w:rFonts w:ascii="Arial" w:cs="Arial" w:eastAsia="Arial" w:hAnsi="Arial"/>
          <w:b/>
          <w:bCs/>
          <w:color w:val="1A1A2E"/>
          <w:sz w:val="22"/>
          <w:szCs w:val="22"/>
        </w:rPr>
        <w:t xml:space="preserve">10.1  GD Session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Table</w:t>
            </w:r>
          </w:p>
        </w:tc>
        <w:tc>
          <w:tcPr>
            <w:tcW w:type="dxa" w:w="236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Engine</w:t>
            </w:r>
          </w:p>
        </w:tc>
        <w:tc>
          <w:tcPr>
            <w:tcW w:type="dxa" w:w="42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Key Fields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gd_sessions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MergeTree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session_id, tenant_id, topic, participant_count, completion_status, duration_secs, created_at — PARTITION BY toYYYYMM(created_at)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gd_speaking_turns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MergeTree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session_id, tenant_id, candidate_id, turn_order, duration_secs, word_count — ORDER BY (session_id, turn_order)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gd_phone_calls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MergeTree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call_uuid, session_id, participant_id, pstn_duration, connection_quality, created_at</w:t>
            </w:r>
          </w:p>
        </w:tc>
      </w:tr>
    </w:tbl>
    <w:p>
      <w:pPr>
        <w:spacing w:before="80" w:after="0"/>
      </w:pPr>
      <w:r>
        <w:t xml:space="preserve"/>
      </w:r>
    </w:p>
    <w:p>
      <w:pPr>
        <w:spacing w:before="200" w:after="80"/>
      </w:pPr>
      <w:r>
        <w:rPr>
          <w:rFonts w:ascii="Arial" w:cs="Arial" w:eastAsia="Arial" w:hAnsi="Arial"/>
          <w:b/>
          <w:bCs/>
          <w:color w:val="1A1A2E"/>
          <w:sz w:val="22"/>
          <w:szCs w:val="22"/>
        </w:rPr>
        <w:t xml:space="preserve">10.2  Scoring &amp; Assessment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Table</w:t>
            </w:r>
          </w:p>
        </w:tc>
        <w:tc>
          <w:tcPr>
            <w:tcW w:type="dxa" w:w="236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Engine</w:t>
            </w:r>
          </w:p>
        </w:tc>
        <w:tc>
          <w:tcPr>
            <w:tcW w:type="dxa" w:w="42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Key Fields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assessment_scores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MergeTree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candidate_id, tenant_id, job_id, assessment_type, gd_score, interview_score, coding_score, composite_score, scored_at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score_distributions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AggregatingMergeTree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tenant_id, assessment_type, score_bucket, candidate_count — pre-aggregated histogram for fast dashboard queries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belt_progression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MergeTree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candidate_id, tenant_id, belt_level, previous_belt, assessment_type, awarded_at</w:t>
            </w:r>
          </w:p>
        </w:tc>
      </w:tr>
    </w:tbl>
    <w:p>
      <w:pPr>
        <w:spacing w:before="80" w:after="0"/>
      </w:pPr>
      <w:r>
        <w:t xml:space="preserve"/>
      </w:r>
    </w:p>
    <w:p>
      <w:pPr>
        <w:spacing w:before="200" w:after="80"/>
      </w:pPr>
      <w:r>
        <w:rPr>
          <w:rFonts w:ascii="Arial" w:cs="Arial" w:eastAsia="Arial" w:hAnsi="Arial"/>
          <w:b/>
          <w:bCs/>
          <w:color w:val="1A1A2E"/>
          <w:sz w:val="22"/>
          <w:szCs w:val="22"/>
        </w:rPr>
        <w:t xml:space="preserve">10.3  Funnel &amp; Recruiter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Table</w:t>
            </w:r>
          </w:p>
        </w:tc>
        <w:tc>
          <w:tcPr>
            <w:tcW w:type="dxa" w:w="236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Engine</w:t>
            </w:r>
          </w:p>
        </w:tc>
        <w:tc>
          <w:tcPr>
            <w:tcW w:type="dxa" w:w="42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Key Fields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hiring_funnel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MergeTree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tenant_id, job_id, candidate_id, funnel_stage, stage_entered_at, stage_exited_at, exit_reason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interview_events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MergeTree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interview_id, tenant_id, recruiter_id, candidate_id, scheduled_at, attended_flag, no_show_reason, duration_secs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recruiter_performance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AggregatingMergeTree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tenant_id, recruiter_id, metric_type, metric_value, week_start — pre-aggregated weekly recruiter KPIs</w:t>
            </w:r>
          </w:p>
        </w:tc>
      </w:tr>
    </w:tbl>
    <w:p>
      <w:pPr>
        <w:spacing w:before="80" w:after="0"/>
      </w:pPr>
      <w:r>
        <w:t xml:space="preserve"/>
      </w:r>
    </w:p>
    <w:p>
      <w:pPr>
        <w:spacing w:before="200" w:after="80"/>
      </w:pPr>
      <w:r>
        <w:rPr>
          <w:rFonts w:ascii="Arial" w:cs="Arial" w:eastAsia="Arial" w:hAnsi="Arial"/>
          <w:b/>
          <w:bCs/>
          <w:color w:val="1A1A2E"/>
          <w:sz w:val="22"/>
          <w:szCs w:val="22"/>
        </w:rPr>
        <w:t xml:space="preserve">10.4  Compliance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Table</w:t>
            </w:r>
          </w:p>
        </w:tc>
        <w:tc>
          <w:tcPr>
            <w:tcW w:type="dxa" w:w="236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Engine</w:t>
            </w:r>
          </w:p>
        </w:tc>
        <w:tc>
          <w:tcPr>
            <w:tcW w:type="dxa" w:w="42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Key Fields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audit_log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MergeTree + TTL 3yr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tenant_id, event_type, actor_id, subject_id, payload (JSON), created_at — INSERT-ONLY, no UPDATE/DELETE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royalty_audit_log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MergeTree + TTL 15yr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contract_id, tenant_id, royalty_type, revenue_amount, share_pct, payout_amount, calculated_at — immutable</w:t>
            </w:r>
          </w:p>
        </w:tc>
      </w:tr>
    </w:tbl>
    <w:p>
      <w:pPr>
        <w:spacing w:before="80" w:after="0"/>
      </w:pPr>
      <w:r>
        <w:t xml:space="preserve"/>
      </w:r>
    </w:p>
    <w:p>
      <w:pPr>
        <w:spacing w:before="200" w:after="80"/>
      </w:pPr>
      <w:r>
        <w:rPr>
          <w:rFonts w:ascii="Arial" w:cs="Arial" w:eastAsia="Arial" w:hAnsi="Arial"/>
          <w:b/>
          <w:bCs/>
          <w:color w:val="1A1A2E"/>
          <w:sz w:val="22"/>
          <w:szCs w:val="22"/>
        </w:rPr>
        <w:t xml:space="preserve">10.5  Intelligence &amp;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Table</w:t>
            </w:r>
          </w:p>
        </w:tc>
        <w:tc>
          <w:tcPr>
            <w:tcW w:type="dxa" w:w="236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Engine</w:t>
            </w:r>
          </w:p>
        </w:tc>
        <w:tc>
          <w:tcPr>
            <w:tcW w:type="dxa" w:w="42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Key Fields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intelligence_timeline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ReplacingMergeTree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candidate_id, tenant_id, intelligence_version, skill_vector_summary, belt_level, score_snapshot, recorded_at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innovation_scores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MergeTree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idea_id, tenant_id, originality_score, feasibility_score, market_potential, scored_at</w:t>
            </w:r>
          </w:p>
        </w:tc>
      </w:tr>
    </w:tbl>
    <w:p>
      <w:pPr>
        <w:spacing w:before="200" w:after="0"/>
      </w:pPr>
      <w:r>
        <w:t xml:space="preserve"/>
      </w:r>
    </w:p>
    <w:p>
      <w:pPr>
        <w:pStyle w:val="Heading1"/>
        <w:spacing w:before="400" w:after="120"/>
      </w:pPr>
      <w:r>
        <w:rPr>
          <w:rFonts w:ascii="Arial" w:cs="Arial" w:eastAsia="Arial" w:hAnsi="Arial"/>
          <w:b/>
          <w:bCs/>
          <w:color w:val="B45309"/>
          <w:sz w:val="34"/>
          <w:szCs w:val="34"/>
        </w:rPr>
        <w:t xml:space="preserve">11. Disaster Recovery &amp; Operational Runbook</w:t>
      </w:r>
    </w:p>
    <w:p>
      <w:pPr>
        <w:spacing w:before="200" w:after="80"/>
      </w:pPr>
      <w:r>
        <w:rPr>
          <w:rFonts w:ascii="Arial" w:cs="Arial" w:eastAsia="Arial" w:hAnsi="Arial"/>
          <w:b/>
          <w:bCs/>
          <w:color w:val="1A1A2E"/>
          <w:sz w:val="22"/>
          <w:szCs w:val="22"/>
        </w:rPr>
        <w:t xml:space="preserve">11.1  DR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280"/>
        <w:gridCol w:w="2400"/>
      </w:tblGrid>
      <w:tr>
        <w:tc>
          <w:tcPr>
            <w:tcW w:type="dxa" w:w="24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DR Tier</w:t>
            </w:r>
          </w:p>
        </w:tc>
        <w:tc>
          <w:tcPr>
            <w:tcW w:type="dxa" w:w="22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RTO Target</w:t>
            </w:r>
          </w:p>
        </w:tc>
        <w:tc>
          <w:tcPr>
            <w:tcW w:type="dxa" w:w="22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RPO Target</w:t>
            </w:r>
          </w:p>
        </w:tc>
        <w:tc>
          <w:tcPr>
            <w:tcW w:type="dxa" w:w="24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Recovery Method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Tier 3 — Medium</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&lt; 1 hour</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&lt; 4 hours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restore from MinIO + Kafka replay if stale</w:t>
            </w:r>
          </w:p>
        </w:tc>
      </w:tr>
    </w:tbl>
    <w:p>
      <w:pPr>
        <w:spacing w:before="80" w:after="0"/>
      </w:pPr>
      <w:r>
        <w:t xml:space="preserve"/>
      </w:r>
    </w:p>
    <w:p>
      <w:pPr>
        <w:spacing w:before="200" w:after="80"/>
      </w:pPr>
      <w:r>
        <w:rPr>
          <w:rFonts w:ascii="Arial" w:cs="Arial" w:eastAsia="Arial" w:hAnsi="Arial"/>
          <w:b/>
          <w:bCs/>
          <w:color w:val="1A1A2E"/>
          <w:sz w:val="22"/>
          <w:szCs w:val="22"/>
        </w:rPr>
        <w:t xml:space="preserve">11.2  DR Runbook — Step 51 (Ecoskiller Official)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Step 51 — Tier 3 Recovery: ClickHouse + OpenSearch</w:t>
            </w:r>
          </w:p>
          <w:p>
            <w:pPr>
              <w:spacing w:before="0" w:after="30"/>
            </w:pPr>
            <w:r>
              <w:rPr>
                <w:rFonts w:ascii="Courier New" w:cs="Courier New" w:eastAsia="Courier New" w:hAnsi="Courier New"/>
                <w:color w:val="C0CAF5"/>
                <w:sz w:val="18"/>
                <w:szCs w:val="18"/>
              </w:rPr>
              <w:t xml:space="preserve">1. Restore ClickHouse from latest MinIO backup:</w:t>
            </w:r>
          </w:p>
          <w:p>
            <w:pPr>
              <w:spacing w:before="0" w:after="30"/>
            </w:pPr>
            <w:r>
              <w:rPr>
                <w:rFonts w:ascii="Courier New" w:cs="Courier New" w:eastAsia="Courier New" w:hAnsi="Courier New"/>
                <w:color w:val="9ECE6A"/>
                <w:sz w:val="18"/>
                <w:szCs w:val="18"/>
              </w:rPr>
              <w:t xml:space="preserve">   clickhouse-backup restore --schema --data &lt;backup_name&gt;</w:t>
            </w:r>
          </w:p>
          <w:p>
            <w:pPr>
              <w:spacing w:before="0" w:after="30"/>
            </w:pPr>
            <w:r>
              <w:rPr>
                <w:rFonts w:ascii="Courier New" w:cs="Courier New" w:eastAsia="Courier New" w:hAnsi="Courier New"/>
                <w:color w:val="9ECE6A"/>
                <w:sz w:val="18"/>
                <w:szCs w:val="18"/>
              </w:rPr>
              <w:t xml:space="preserve">   --config /etc/clickhouse-backup/config.yaml</w:t>
            </w:r>
          </w:p>
          <w:p>
            <w:pPr>
              <w:spacing w:before="0" w:after="30"/>
            </w:pPr>
            <w:r>
              <w:rPr>
                <w:rFonts w:ascii="Courier New" w:cs="Courier New" w:eastAsia="Courier New" w:hAnsi="Courier New"/>
                <w:color w:val="C0CAF5"/>
                <w:sz w:val="18"/>
                <w:szCs w:val="18"/>
              </w:rPr>
              <w:t xml:space="preserve">2. Verify table row counts match pre-failure baseline:</w:t>
            </w:r>
          </w:p>
          <w:p>
            <w:pPr>
              <w:spacing w:before="0" w:after="30"/>
            </w:pPr>
            <w:r>
              <w:rPr>
                <w:rFonts w:ascii="Courier New" w:cs="Courier New" w:eastAsia="Courier New" w:hAnsi="Courier New"/>
                <w:color w:val="9ECE6A"/>
                <w:sz w:val="18"/>
                <w:szCs w:val="18"/>
              </w:rPr>
              <w:t xml:space="preserve">   SELECT table, sum(rows) FROM system.parts WHERE active GROUP BY table;</w:t>
            </w:r>
          </w:p>
          <w:p>
            <w:pPr>
              <w:spacing w:before="0" w:after="30"/>
            </w:pPr>
            <w:r>
              <w:rPr>
                <w:rFonts w:ascii="Courier New" w:cs="Courier New" w:eastAsia="Courier New" w:hAnsi="Courier New"/>
                <w:color w:val="C0CAF5"/>
                <w:sz w:val="18"/>
                <w:szCs w:val="18"/>
              </w:rPr>
              <w:t xml:space="preserve">3. If backup is stale (&gt; RPO of 4 hours), replay Kafka events:</w:t>
            </w:r>
          </w:p>
          <w:p>
            <w:pPr>
              <w:spacing w:before="0" w:after="30"/>
            </w:pPr>
            <w:r>
              <w:rPr>
                <w:rFonts w:ascii="Courier New" w:cs="Courier New" w:eastAsia="Courier New" w:hAnsi="Courier New"/>
                <w:color w:val="6A9955"/>
                <w:sz w:val="18"/>
                <w:szCs w:val="18"/>
              </w:rPr>
              <w:t xml:space="preserve">   # Reset analytics-service Kafka consumer group offset to RPO timestamp</w:t>
            </w:r>
          </w:p>
          <w:p>
            <w:pPr>
              <w:spacing w:before="0" w:after="30"/>
            </w:pPr>
            <w:r>
              <w:rPr>
                <w:rFonts w:ascii="Courier New" w:cs="Courier New" w:eastAsia="Courier New" w:hAnsi="Courier New"/>
                <w:color w:val="9ECE6A"/>
                <w:sz w:val="18"/>
                <w:szCs w:val="18"/>
              </w:rPr>
              <w:t xml:space="preserve">   kafka-consumer-groups.sh --reset-offsets --to-datetime &lt;RPO_timestamp&gt;</w:t>
            </w:r>
          </w:p>
          <w:p>
            <w:pPr>
              <w:spacing w:before="0" w:after="30"/>
            </w:pPr>
            <w:r>
              <w:rPr>
                <w:rFonts w:ascii="Courier New" w:cs="Courier New" w:eastAsia="Courier New" w:hAnsi="Courier New"/>
                <w:color w:val="C0CAF5"/>
                <w:sz w:val="18"/>
                <w:szCs w:val="18"/>
              </w:rPr>
              <w:t xml:space="preserve">4. Confirm Grafana dashboards render correctly (spot-check 3 dashboards)</w:t>
            </w:r>
          </w:p>
          <w:p>
            <w:pPr>
              <w:spacing w:before="0" w:after="30"/>
            </w:pPr>
            <w:r>
              <w:rPr>
                <w:rFonts w:ascii="Courier New" w:cs="Courier New" w:eastAsia="Courier New" w:hAnsi="Courier New"/>
                <w:color w:val="C0CAF5"/>
                <w:sz w:val="18"/>
                <w:szCs w:val="18"/>
              </w:rPr>
              <w:t xml:space="preserve">5. Run automated restore-verify script (mandatory per DR runbook):</w:t>
            </w:r>
          </w:p>
          <w:p>
            <w:pPr>
              <w:spacing w:before="0" w:after="30"/>
            </w:pPr>
            <w:r>
              <w:rPr>
                <w:rFonts w:ascii="Courier New" w:cs="Courier New" w:eastAsia="Courier New" w:hAnsi="Courier New"/>
                <w:color w:val="9ECE6A"/>
                <w:sz w:val="18"/>
                <w:szCs w:val="18"/>
              </w:rPr>
              <w:t xml:space="preserve">   ./scripts/dr-verify-clickhouse.sh --env prod</w:t>
            </w:r>
          </w:p>
          <w:p>
            <w:pPr>
              <w:spacing w:before="0" w:after="30"/>
            </w:pPr>
            <w:r>
              <w:rPr>
                <w:rFonts w:ascii="Courier New" w:cs="Courier New" w:eastAsia="Courier New" w:hAnsi="Courier New"/>
                <w:color w:val="C0CAF5"/>
                <w:sz w:val="18"/>
                <w:szCs w:val="18"/>
              </w:rPr>
              <w:t xml:space="preserve">6. Document timeline, data loss delta, root cause → P2 incident ticket</w:t>
            </w:r>
          </w:p>
        </w:tc>
      </w:tr>
    </w:tbl>
    <w:p>
      <w:pPr>
        <w:spacing w:before="80" w:after="0"/>
      </w:pPr>
      <w:r>
        <w:t xml:space="preserve"/>
      </w:r>
    </w:p>
    <w:p>
      <w:pPr>
        <w:spacing w:before="200" w:after="80"/>
      </w:pPr>
      <w:r>
        <w:rPr>
          <w:rFonts w:ascii="Arial" w:cs="Arial" w:eastAsia="Arial" w:hAnsi="Arial"/>
          <w:b/>
          <w:bCs/>
          <w:color w:val="1A1A2E"/>
          <w:sz w:val="22"/>
          <w:szCs w:val="22"/>
        </w:rPr>
        <w:t xml:space="preserve">11.3  Daily Backup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clickhouse-backup daily snapshot (triggered by Kubernetes CronJob)</w:t>
            </w:r>
          </w:p>
          <w:p>
            <w:pPr>
              <w:spacing w:before="0" w:after="30"/>
            </w:pPr>
            <w:r>
              <w:rPr>
                <w:rFonts w:ascii="Courier New" w:cs="Courier New" w:eastAsia="Courier New" w:hAnsi="Courier New"/>
                <w:color w:val="9ECE6A"/>
                <w:sz w:val="18"/>
                <w:szCs w:val="18"/>
              </w:rPr>
              <w:t xml:space="preserve">clickhouse-backup create --config /etc/clickhouse-backup/config.yaml \</w:t>
            </w:r>
          </w:p>
          <w:p>
            <w:pPr>
              <w:spacing w:before="0" w:after="30"/>
            </w:pPr>
            <w:r>
              <w:rPr>
                <w:rFonts w:ascii="Courier New" w:cs="Courier New" w:eastAsia="Courier New" w:hAnsi="Courier New"/>
                <w:color w:val="C0CAF5"/>
                <w:sz w:val="18"/>
                <w:szCs w:val="18"/>
              </w:rPr>
              <w:t xml:space="preserve">  clickhouse-$(date +%Y%m%d)</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9ECE6A"/>
                <w:sz w:val="18"/>
                <w:szCs w:val="18"/>
              </w:rPr>
              <w:t xml:space="preserve">clickhouse-backup upload --config /etc/clickhouse-backup/config.yaml \</w:t>
            </w:r>
          </w:p>
          <w:p>
            <w:pPr>
              <w:spacing w:before="0" w:after="30"/>
            </w:pPr>
            <w:r>
              <w:rPr>
                <w:rFonts w:ascii="Courier New" w:cs="Courier New" w:eastAsia="Courier New" w:hAnsi="Courier New"/>
                <w:color w:val="C0CAF5"/>
                <w:sz w:val="18"/>
                <w:szCs w:val="18"/>
              </w:rPr>
              <w:t xml:space="preserve">  clickhouse-$(date +%Y%m%d)</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MinIO config in clickhouse-backup config.yaml:</w:t>
            </w:r>
          </w:p>
          <w:p>
            <w:pPr>
              <w:spacing w:before="0" w:after="30"/>
            </w:pPr>
            <w:r>
              <w:rPr>
                <w:rFonts w:ascii="Courier New" w:cs="Courier New" w:eastAsia="Courier New" w:hAnsi="Courier New"/>
                <w:color w:val="7DCFFF"/>
                <w:sz w:val="18"/>
                <w:szCs w:val="18"/>
              </w:rPr>
              <w:t xml:space="preserve">s3:</w:t>
            </w:r>
          </w:p>
          <w:p>
            <w:pPr>
              <w:spacing w:before="0" w:after="30"/>
            </w:pPr>
            <w:r>
              <w:rPr>
                <w:rFonts w:ascii="Courier New" w:cs="Courier New" w:eastAsia="Courier New" w:hAnsi="Courier New"/>
                <w:color w:val="C0CAF5"/>
                <w:sz w:val="18"/>
                <w:szCs w:val="18"/>
              </w:rPr>
              <w:t xml:space="preserve">  endpoint: http://minio.ecoskiller.internal:9000</w:t>
            </w:r>
          </w:p>
          <w:p>
            <w:pPr>
              <w:spacing w:before="0" w:after="30"/>
            </w:pPr>
            <w:r>
              <w:rPr>
                <w:rFonts w:ascii="Courier New" w:cs="Courier New" w:eastAsia="Courier New" w:hAnsi="Courier New"/>
                <w:color w:val="C0CAF5"/>
                <w:sz w:val="18"/>
                <w:szCs w:val="18"/>
              </w:rPr>
              <w:t xml:space="preserve">  bucket: ecoskiller-clickhouse-backups</w:t>
            </w:r>
          </w:p>
          <w:p>
            <w:pPr>
              <w:spacing w:before="0" w:after="30"/>
            </w:pPr>
            <w:r>
              <w:rPr>
                <w:rFonts w:ascii="Courier New" w:cs="Courier New" w:eastAsia="Courier New" w:hAnsi="Courier New"/>
                <w:color w:val="C0CAF5"/>
                <w:sz w:val="18"/>
                <w:szCs w:val="18"/>
              </w:rPr>
              <w:t xml:space="preserve">  path: daily/</w:t>
            </w:r>
          </w:p>
          <w:p>
            <w:pPr>
              <w:spacing w:before="0" w:after="30"/>
            </w:pPr>
            <w:r>
              <w:rPr>
                <w:rFonts w:ascii="Courier New" w:cs="Courier New" w:eastAsia="Courier New" w:hAnsi="Courier New"/>
                <w:color w:val="E0AF68"/>
                <w:sz w:val="18"/>
                <w:szCs w:val="18"/>
              </w:rPr>
              <w:t xml:space="preserve">  access_key: ${MINIO_ACCESS_KEY}  # from Kubernetes Secret</w:t>
            </w:r>
          </w:p>
          <w:p>
            <w:pPr>
              <w:spacing w:before="0" w:after="30"/>
            </w:pPr>
            <w:r>
              <w:rPr>
                <w:rFonts w:ascii="Courier New" w:cs="Courier New" w:eastAsia="Courier New" w:hAnsi="Courier New"/>
                <w:color w:val="E0AF68"/>
                <w:sz w:val="18"/>
                <w:szCs w:val="18"/>
              </w:rPr>
              <w:t xml:space="preserve">  secret_key: ${MINIO_SECRET_KEY}  # from Kubernetes Secret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1F2" w:val="clear"/>
            <w:tcMar>
              <w:top w:type="dxa" w:w="160"/>
              <w:left w:type="dxa" w:w="240"/>
              <w:bottom w:type="dxa" w:w="160"/>
              <w:right w:type="dxa" w:w="240"/>
            </w:tcMar>
          </w:tcPr>
          <w:p>
            <w:pPr>
              <w:spacing w:before="0" w:after="60"/>
            </w:pPr>
            <w:r>
              <w:rPr>
                <w:rFonts w:ascii="Arial" w:cs="Arial" w:eastAsia="Arial" w:hAnsi="Arial"/>
                <w:b/>
                <w:bCs/>
                <w:color w:val="9F1239"/>
                <w:sz w:val="20"/>
                <w:szCs w:val="20"/>
              </w:rPr>
              <w:t xml:space="preserve">🔒  Compliance Note</w:t>
            </w:r>
          </w:p>
          <w:p>
            <w:pPr>
              <w:spacing w:before="0" w:after="0"/>
            </w:pPr>
            <w:r>
              <w:rPr>
                <w:rFonts w:ascii="Arial" w:cs="Arial" w:eastAsia="Arial" w:hAnsi="Arial"/>
                <w:color w:val="333333"/>
                <w:sz w:val="19"/>
                <w:szCs w:val="19"/>
              </w:rPr>
              <w:t xml:space="preserve">All ClickHouse tables containing candidate PII (gd_speaking_turns, assessment_scores, intelligence_timeline, audit_log) must have TTL expressions set before production deployment. Missing TTL on PII-containing tables is a DPDPA 2023 compliance violation. Verify TTL configuration post-restore using: SELECT name, ttl_expression FROM system.tables WHERE database = 'ecoskiller';</w:t>
            </w:r>
          </w:p>
        </w:tc>
      </w:tr>
    </w:tbl>
    <w:p>
      <w:pPr>
        <w:spacing w:before="200" w:after="0"/>
      </w:pPr>
      <w:r>
        <w:t xml:space="preserve"/>
      </w:r>
    </w:p>
    <w:p>
      <w:pPr>
        <w:pStyle w:val="Heading1"/>
        <w:spacing w:before="400" w:after="120"/>
      </w:pPr>
      <w:r>
        <w:rPr>
          <w:rFonts w:ascii="Arial" w:cs="Arial" w:eastAsia="Arial" w:hAnsi="Arial"/>
          <w:b/>
          <w:bCs/>
          <w:color w:val="B45309"/>
          <w:sz w:val="34"/>
          <w:szCs w:val="34"/>
        </w:rPr>
        <w:t xml:space="preserve">Appendix — Quick Reference</w:t>
      </w:r>
    </w:p>
    <w:p>
      <w:pPr>
        <w:spacing w:before="60" w:after="0"/>
      </w:pPr>
      <w:r>
        <w:t xml:space="preserve"/>
      </w:r>
    </w:p>
    <w:p>
      <w:pPr>
        <w:spacing w:before="200" w:after="80"/>
      </w:pPr>
      <w:r>
        <w:rPr>
          <w:rFonts w:ascii="Arial" w:cs="Arial" w:eastAsia="Arial" w:hAnsi="Arial"/>
          <w:b/>
          <w:bCs/>
          <w:color w:val="1A1A2E"/>
          <w:sz w:val="22"/>
          <w:szCs w:val="22"/>
        </w:rPr>
        <w:t xml:space="preserve">ClickHouse Key HTTP Endpoints in Ecoskiller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Endpoint / Command</w:t>
            </w:r>
          </w:p>
        </w:tc>
        <w:tc>
          <w:tcPr>
            <w:tcW w:type="dxa" w:w="22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Method / Tool</w:t>
            </w:r>
          </w:p>
        </w:tc>
        <w:tc>
          <w:tcPr>
            <w:tcW w:type="dxa" w:w="416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GET /ping (port 8123)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HTTP</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liveness/readiness probe — returns 'Ok.' when ClickHouse is healthy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 / (port 8123)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HTTP + SQL body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Execute SQL queries — used by analytics-service and Grafana ClickHouse plugin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 /?query=INSERT INTO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HTTP bulk INSERT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High-throughput event inserts from analytics-service batch processor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GET /?query=SELECT...system.parts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HTTP monitoring</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Row counts, part sizes, table health — used by Airflow backup verify scripts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create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 (CronJob)</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Creates local snapshot of all ClickHouse tables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upload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 (CronJob)</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Uploads local snapshot to MinIO S3 bucket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restore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 (DR runbook)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Restores from named MinIO backup into ClickHouse tables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clickhouse-backup list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CLI (ops check)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Lists available backups in MinIO — confirms retention policy compliance</w:t>
            </w:r>
          </w:p>
        </w:tc>
      </w:tr>
    </w:tbl>
    <w:p>
      <w:pPr>
        <w:spacing w:before="80" w:after="0"/>
      </w:pPr>
      <w:r>
        <w:t xml:space="preserve"/>
      </w:r>
    </w:p>
    <w:p>
      <w:pPr>
        <w:spacing w:before="200" w:after="80"/>
      </w:pPr>
      <w:r>
        <w:rPr>
          <w:rFonts w:ascii="Arial" w:cs="Arial" w:eastAsia="Arial" w:hAnsi="Arial"/>
          <w:b/>
          <w:bCs/>
          <w:color w:val="1A1A2E"/>
          <w:sz w:val="22"/>
          <w:szCs w:val="22"/>
        </w:rPr>
        <w:t xml:space="preserve">SLO Metrics Served from ClickHouse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SLO Metric</w:t>
            </w:r>
          </w:p>
        </w:tc>
        <w:tc>
          <w:tcPr>
            <w:tcW w:type="dxa" w:w="30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ClickHouse Query Pattern</w:t>
            </w:r>
          </w:p>
        </w:tc>
        <w:tc>
          <w:tcPr>
            <w:tcW w:type="dxa" w:w="3480"/>
            <w:tcBorders>
              <w:top w:val="single" w:color="CCCCCC" w:sz="1"/>
              <w:left w:val="single" w:color="CCCCCC" w:sz="1"/>
              <w:bottom w:val="single" w:color="CCCCCC" w:sz="1"/>
              <w:right w:val="single" w:color="CCCCCC" w:sz="1"/>
            </w:tcBorders>
            <w:shd w:fill="92400E" w:val="clear"/>
            <w:tcMar>
              <w:top w:type="dxa" w:w="100"/>
              <w:left w:type="dxa" w:w="160"/>
              <w:bottom w:type="dxa" w:w="100"/>
              <w:right w:type="dxa" w:w="160"/>
            </w:tcMar>
          </w:tcPr>
          <w:p>
            <w:r>
              <w:rPr>
                <w:rFonts w:ascii="Arial" w:cs="Arial" w:eastAsia="Arial" w:hAnsi="Arial"/>
                <w:b/>
                <w:bCs/>
                <w:color w:val="FFFFFF"/>
                <w:sz w:val="19"/>
                <w:szCs w:val="19"/>
              </w:rPr>
              <w:t xml:space="preserve">Alert Threshold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 Session Completion Rate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countIf(completion_status='COMPLETED') / count(*) from gd_sessions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&lt; 97% over 1 hour window → P1 alert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 No-Show Rate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countIf(no_show_flag=1) / count(*) from interview_events (7d)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&gt; 15% weekly no-show rate → recruiter notification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 Latency p95</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quantile(0.95)(score_latency_ms) from assessment_scores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&gt; 2000ms p95 scoring latency → P2 alert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Funnel Drop-Off Rate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countIf(exit_reason='abandoned') / count(*) per funnel_stage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&gt; 40% applied→completed drop-off → product alert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Billing Error Rate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countIf(status='failed') / count(*) from hiring_funnel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&gt; 2% billing error rate → P1 alert</w:t>
            </w:r>
          </w:p>
        </w:tc>
      </w:tr>
    </w:tbl>
    <w:p>
      <w:pPr>
        <w:spacing w:before="80" w:after="0"/>
      </w:pPr>
      <w:r>
        <w:t xml:space="preserve"/>
      </w:r>
    </w:p>
    <w:p>
      <w:pPr>
        <w:spacing w:before="200" w:after="80"/>
      </w:pPr>
      <w:r>
        <w:rPr>
          <w:rFonts w:ascii="Arial" w:cs="Arial" w:eastAsia="Arial" w:hAnsi="Arial"/>
          <w:b/>
          <w:bCs/>
          <w:color w:val="1A1A2E"/>
          <w:sz w:val="22"/>
          <w:szCs w:val="22"/>
        </w:rPr>
        <w:t xml:space="preserve">Key References</w:t>
      </w:r>
    </w:p>
    <w:p>
      <w:pPr>
        <w:pStyle w:val="ListParagraph"/>
        <w:numPr>
          <w:ilvl w:val="0"/>
          <w:numId w:val="2"/>
        </w:numPr>
        <w:spacing w:before="60" w:after="60"/>
      </w:pPr>
      <w:r>
        <w:rPr>
          <w:rFonts w:ascii="Arial" w:cs="Arial" w:eastAsia="Arial" w:hAnsi="Arial"/>
          <w:sz w:val="20"/>
          <w:szCs w:val="20"/>
        </w:rPr>
        <w:t xml:space="preserve">ClickHouse Documentation: https://clickhouse.com/docs/</w:t>
      </w:r>
    </w:p>
    <w:p>
      <w:pPr>
        <w:pStyle w:val="ListParagraph"/>
        <w:numPr>
          <w:ilvl w:val="0"/>
          <w:numId w:val="2"/>
        </w:numPr>
        <w:spacing w:before="60" w:after="60"/>
      </w:pPr>
      <w:r>
        <w:rPr>
          <w:rFonts w:ascii="Arial" w:cs="Arial" w:eastAsia="Arial" w:hAnsi="Arial"/>
          <w:sz w:val="20"/>
          <w:szCs w:val="20"/>
        </w:rPr>
        <w:t xml:space="preserve">clickhouse/clickhouse-server Docker Hub: https://hub.docker.com/r/clickhouse/clickhouse-server</w:t>
      </w:r>
    </w:p>
    <w:p>
      <w:pPr>
        <w:pStyle w:val="ListParagraph"/>
        <w:numPr>
          <w:ilvl w:val="0"/>
          <w:numId w:val="2"/>
        </w:numPr>
        <w:spacing w:before="60" w:after="60"/>
      </w:pPr>
      <w:r>
        <w:rPr>
          <w:rFonts w:ascii="Arial" w:cs="Arial" w:eastAsia="Arial" w:hAnsi="Arial"/>
          <w:sz w:val="20"/>
          <w:szCs w:val="20"/>
        </w:rPr>
        <w:t xml:space="preserve">clickhouse-backup: https://github.com/Altinity/clickhouse-backup</w:t>
      </w:r>
    </w:p>
    <w:p>
      <w:pPr>
        <w:pStyle w:val="ListParagraph"/>
        <w:numPr>
          <w:ilvl w:val="0"/>
          <w:numId w:val="2"/>
        </w:numPr>
        <w:spacing w:before="60" w:after="60"/>
      </w:pPr>
      <w:r>
        <w:rPr>
          <w:rFonts w:ascii="Arial" w:cs="Arial" w:eastAsia="Arial" w:hAnsi="Arial"/>
          <w:sz w:val="20"/>
          <w:szCs w:val="20"/>
        </w:rPr>
        <w:t xml:space="preserve">ClickHouse Grafana Plugin: https://clickhouse.com/docs/en/interfaces/third-party/gui#grafana</w:t>
      </w:r>
    </w:p>
    <w:p>
      <w:pPr>
        <w:pStyle w:val="ListParagraph"/>
        <w:numPr>
          <w:ilvl w:val="0"/>
          <w:numId w:val="2"/>
        </w:numPr>
        <w:spacing w:before="60" w:after="60"/>
      </w:pPr>
      <w:r>
        <w:rPr>
          <w:rFonts w:ascii="Arial" w:cs="Arial" w:eastAsia="Arial" w:hAnsi="Arial"/>
          <w:sz w:val="20"/>
          <w:szCs w:val="20"/>
        </w:rPr>
        <w:t xml:space="preserve">Ecoskiller analytics-service: Harbor — ecoskiller/analytics-service:2bc52ebc5d37</w:t>
      </w:r>
    </w:p>
    <w:p>
      <w:pPr>
        <w:pStyle w:val="ListParagraph"/>
        <w:numPr>
          <w:ilvl w:val="0"/>
          <w:numId w:val="2"/>
        </w:numPr>
        <w:spacing w:before="60" w:after="60"/>
      </w:pPr>
      <w:r>
        <w:rPr>
          <w:rFonts w:ascii="Arial" w:cs="Arial" w:eastAsia="Arial" w:hAnsi="Arial"/>
          <w:sz w:val="20"/>
          <w:szCs w:val="20"/>
        </w:rPr>
        <w:t xml:space="preserve">Ecoskiller DR Runbook: Step 51 — Infrastructure v15 document</w:t>
      </w:r>
    </w:p>
    <w:p>
      <w:pPr>
        <w:pStyle w:val="ListParagraph"/>
        <w:numPr>
          <w:ilvl w:val="0"/>
          <w:numId w:val="2"/>
        </w:numPr>
        <w:spacing w:before="60" w:after="60"/>
      </w:pPr>
      <w:r>
        <w:rPr>
          <w:rFonts w:ascii="Arial" w:cs="Arial" w:eastAsia="Arial" w:hAnsi="Arial"/>
          <w:sz w:val="20"/>
          <w:szCs w:val="20"/>
        </w:rPr>
        <w:t xml:space="preserve">Ecoskiller Compliance: Section 8.4 — DPDPA 2023 Data Retention Policy (Infrastructure v15)</w:t>
      </w:r>
    </w:p>
    <w:p>
      <w:pPr>
        <w:pStyle w:val="ListParagraph"/>
        <w:numPr>
          <w:ilvl w:val="0"/>
          <w:numId w:val="2"/>
        </w:numPr>
        <w:spacing w:before="60" w:after="60"/>
      </w:pPr>
      <w:r>
        <w:rPr>
          <w:rFonts w:ascii="Arial" w:cs="Arial" w:eastAsia="Arial" w:hAnsi="Arial"/>
          <w:sz w:val="20"/>
          <w:szCs w:val="20"/>
        </w:rPr>
        <w:t xml:space="preserve">Ecoskiller SLO Definitions: Section 10.1 (Infrastructure v15)</w:t>
      </w:r>
    </w:p>
    <w:p>
      <w:pPr>
        <w:pStyle w:val="ListParagraph"/>
        <w:numPr>
          <w:ilvl w:val="0"/>
          <w:numId w:val="2"/>
        </w:numPr>
        <w:spacing w:before="60" w:after="60"/>
      </w:pPr>
      <w:r>
        <w:rPr>
          <w:rFonts w:ascii="Arial" w:cs="Arial" w:eastAsia="Arial" w:hAnsi="Arial"/>
          <w:sz w:val="20"/>
          <w:szCs w:val="20"/>
        </w:rPr>
        <w:t xml:space="preserve">Ecoskiller Grafana Dashboards: Section 10.2 (Infrastructure v15)</w:t>
      </w:r>
    </w:p>
    <w:p>
      <w:pPr>
        <w:spacing w:before="200" w:after="0"/>
      </w:pPr>
      <w:r>
        <w:t xml:space="preserve"/>
      </w:r>
    </w:p>
    <w:p>
      <w:pPr>
        <w:pBdr>
          <w:top w:val="single" w:color="B45309" w:sz="4" w:space="8"/>
        </w:pBdr>
        <w:spacing w:before="160" w:after="0"/>
        <w:jc w:val="center"/>
      </w:pPr>
      <w:r>
        <w:rPr>
          <w:rFonts w:ascii="Arial" w:cs="Arial" w:eastAsia="Arial" w:hAnsi="Arial"/>
          <w:i/>
          <w:iCs/>
          <w:color w:val="999999"/>
          <w:sz w:val="17"/>
          <w:szCs w:val="17"/>
        </w:rPr>
        <w:t xml:space="preserve">Ecoskiller Platform  |  ClickHouse Service Documentation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jc w:val="right"/>
    </w:pPr>
    <w:r>
      <w:rPr>
        <w:rFonts w:ascii="Arial" w:cs="Arial" w:eastAsia="Arial" w:hAnsi="Arial"/>
        <w:color w:val="888888"/>
        <w:sz w:val="17"/>
        <w:szCs w:val="17"/>
      </w:rPr>
      <w:t xml:space="preserve">ClickHouse — Columnar Analytics &amp; Immutable Audit Layer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5309" w:sz="6" w:space="4"/>
      </w:pBdr>
      <w:spacing w:before="0" w:after="160"/>
    </w:pPr>
    <w:r>
      <w:rPr>
        <w:rFonts w:ascii="Arial" w:cs="Arial" w:eastAsia="Arial" w:hAnsi="Arial"/>
        <w:b/>
        <w:bCs/>
        <w:color w:val="B45309"/>
        <w:sz w:val="18"/>
        <w:szCs w:val="18"/>
      </w:rPr>
      <w:t xml:space="preserve">Ecoskiller Platform</w:t>
    </w:r>
    <w:r>
      <w:rPr>
        <w:rFonts w:ascii="Arial" w:cs="Arial" w:eastAsia="Arial" w:hAnsi="Arial"/>
        <w:color w:val="888888"/>
        <w:sz w:val="18"/>
        <w:szCs w:val="18"/>
      </w:rPr>
      <w:t xml:space="preserve">  |  Backend Service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B45309"/>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7C3A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2026-03-10T04:42:24.556Z</dcterms:created>
  <dcterms:modified xsi:type="dcterms:W3CDTF">2026-03-10T04:42:24.557Z</dcterms:modified>
</cp:coreProperties>
</file>

<file path=docProps/custom.xml><?xml version="1.0" encoding="utf-8"?>
<Properties xmlns="http://schemas.openxmlformats.org/officeDocument/2006/custom-properties" xmlns:vt="http://schemas.openxmlformats.org/officeDocument/2006/docPropsVTypes"/>
</file>