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0"/>
        <w:jc w:val="center"/>
      </w:pPr>
      <w:r>
        <w:rPr>
          <w:rFonts w:ascii="Arial" w:cs="Arial" w:eastAsia="Arial" w:hAnsi="Arial"/>
          <w:b/>
          <w:bCs/>
          <w:color w:val="1A6B3A"/>
          <w:sz w:val="64"/>
          <w:szCs w:val="64"/>
        </w:rPr>
        <w:t xml:space="preserve">ECOSKILLER</w:t>
      </w:r>
    </w:p>
    <w:p>
      <w:pPr>
        <w:spacing w:before="80" w:after="200"/>
        <w:jc w:val="center"/>
      </w:pPr>
      <w:r>
        <w:rPr>
          <w:rFonts w:ascii="Arial" w:cs="Arial" w:eastAsia="Arial" w:hAnsi="Arial"/>
          <w:color w:val="4A4A4A"/>
          <w:sz w:val="26"/>
          <w:szCs w:val="26"/>
        </w:rPr>
        <w:t xml:space="preserve">Platform · Microservice Technical Reference</w:t>
      </w:r>
    </w:p>
    <w:p>
      <w:pPr>
        <w:pBdr>
          <w:bottom w:val="single" w:color="28A745" w:sz="6" w:space="1"/>
        </w:pBdr>
        <w:spacing w:before="100" w:after="100"/>
      </w:pPr>
    </w:p>
    <w:p>
      <w:pPr>
        <w:spacing w:before="200" w:after="0"/>
      </w:pPr>
      <w:r>
        <w:t xml:space="preserve"/>
      </w:r>
    </w:p>
    <w:p>
      <w:pPr>
        <w:spacing w:before="0" w:after="60"/>
        <w:jc w:val="center"/>
      </w:pPr>
      <w:r>
        <w:rPr>
          <w:rFonts w:ascii="Courier New" w:cs="Courier New" w:eastAsia="Courier New" w:hAnsi="Courier New"/>
          <w:b/>
          <w:bCs/>
          <w:color w:val="0D3D20"/>
          <w:sz w:val="52"/>
          <w:szCs w:val="52"/>
        </w:rPr>
        <w:t xml:space="preserve">candidate-ranking-engine</w:t>
      </w:r>
    </w:p>
    <w:p>
      <w:pPr>
        <w:spacing w:before="0" w:after="0"/>
        <w:jc w:val="center"/>
      </w:pPr>
      <w:r>
        <w:rPr>
          <w:rFonts w:ascii="Arial" w:cs="Arial" w:eastAsia="Arial" w:hAnsi="Arial"/>
          <w:i/>
          <w:iCs/>
          <w:color w:val="4A4A4A"/>
          <w:sz w:val="28"/>
          <w:szCs w:val="28"/>
        </w:rPr>
        <w:t xml:space="preserve">Service Description &amp; Architecture Reference</w:t>
      </w:r>
    </w:p>
    <w:p>
      <w:pPr>
        <w:spacing w:before="200" w:after="0"/>
      </w:pPr>
      <w:r>
        <w:t xml:space="preserve"/>
      </w:r>
    </w:p>
    <w:p>
      <w:pPr>
        <w:pBdr>
          <w:bottom w:val="single" w:color="B2DFB8" w:sz="6" w:space="1"/>
        </w:pBdr>
        <w:spacing w:before="100" w:after="100"/>
      </w:pPr>
    </w:p>
    <w:p>
      <w:pPr>
        <w:spacing w:before="3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2DFB8" w:sz="1"/>
              <w:left w:val="single" w:color="B2DFB8" w:sz="1"/>
              <w:bottom w:val="single" w:color="B2DFB8" w:sz="1"/>
              <w:right w:val="single" w:color="B2DFB8" w:sz="1"/>
            </w:tcBorders>
            <w:shd w:fill="E8F5EC" w:val="clear"/>
            <w:tcMar>
              <w:top w:type="dxa" w:w="90"/>
              <w:left w:type="dxa" w:w="120"/>
              <w:bottom w:type="dxa" w:w="90"/>
              <w:right w:type="dxa" w:w="120"/>
            </w:tcMar>
          </w:tcPr>
          <w:p>
            <w:r>
              <w:rPr>
                <w:rFonts w:ascii="Arial" w:cs="Arial" w:eastAsia="Arial" w:hAnsi="Arial"/>
                <w:b/>
                <w:bCs/>
                <w:color w:val="0D3D20"/>
                <w:sz w:val="19"/>
                <w:szCs w:val="19"/>
              </w:rPr>
              <w:t xml:space="preserve">Service Name</w:t>
            </w:r>
          </w:p>
        </w:tc>
        <w:tc>
          <w:tcPr>
            <w:tcW w:type="dxa" w:w="3600"/>
            <w:tcBorders>
              <w:top w:val="single" w:color="B2DFB8" w:sz="1"/>
              <w:left w:val="single" w:color="B2DFB8" w:sz="1"/>
              <w:bottom w:val="single" w:color="B2DFB8" w:sz="1"/>
              <w:right w:val="single" w:color="B2DFB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candidate-ranking-engine</w:t>
            </w:r>
          </w:p>
        </w:tc>
      </w:tr>
      <w:tr>
        <w:tc>
          <w:tcPr>
            <w:tcW w:type="dxa" w:w="2400"/>
            <w:tcBorders>
              <w:top w:val="single" w:color="B2DFB8" w:sz="1"/>
              <w:left w:val="single" w:color="B2DFB8" w:sz="1"/>
              <w:bottom w:val="single" w:color="B2DFB8" w:sz="1"/>
              <w:right w:val="single" w:color="B2DFB8" w:sz="1"/>
            </w:tcBorders>
            <w:shd w:fill="E8F5EC" w:val="clear"/>
            <w:tcMar>
              <w:top w:type="dxa" w:w="90"/>
              <w:left w:type="dxa" w:w="120"/>
              <w:bottom w:type="dxa" w:w="90"/>
              <w:right w:type="dxa" w:w="120"/>
            </w:tcMar>
          </w:tcPr>
          <w:p>
            <w:r>
              <w:rPr>
                <w:rFonts w:ascii="Arial" w:cs="Arial" w:eastAsia="Arial" w:hAnsi="Arial"/>
                <w:b/>
                <w:bCs/>
                <w:color w:val="0D3D20"/>
                <w:sz w:val="19"/>
                <w:szCs w:val="19"/>
              </w:rPr>
              <w:t xml:space="preserve">Service Type</w:t>
            </w:r>
          </w:p>
        </w:tc>
        <w:tc>
          <w:tcPr>
            <w:tcW w:type="dxa" w:w="3600"/>
            <w:tcBorders>
              <w:top w:val="single" w:color="B2DFB8" w:sz="1"/>
              <w:left w:val="single" w:color="B2DFB8" w:sz="1"/>
              <w:bottom w:val="single" w:color="B2DFB8" w:sz="1"/>
              <w:right w:val="single" w:color="B2DFB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Node.js Microservice · Event-Driven</w:t>
            </w:r>
          </w:p>
        </w:tc>
      </w:tr>
      <w:tr>
        <w:tc>
          <w:tcPr>
            <w:tcW w:type="dxa" w:w="2400"/>
            <w:tcBorders>
              <w:top w:val="single" w:color="B2DFB8" w:sz="1"/>
              <w:left w:val="single" w:color="B2DFB8" w:sz="1"/>
              <w:bottom w:val="single" w:color="B2DFB8" w:sz="1"/>
              <w:right w:val="single" w:color="B2DFB8" w:sz="1"/>
            </w:tcBorders>
            <w:shd w:fill="E8F5EC" w:val="clear"/>
            <w:tcMar>
              <w:top w:type="dxa" w:w="90"/>
              <w:left w:type="dxa" w:w="120"/>
              <w:bottom w:type="dxa" w:w="90"/>
              <w:right w:type="dxa" w:w="120"/>
            </w:tcMar>
          </w:tcPr>
          <w:p>
            <w:r>
              <w:rPr>
                <w:rFonts w:ascii="Arial" w:cs="Arial" w:eastAsia="Arial" w:hAnsi="Arial"/>
                <w:b/>
                <w:bCs/>
                <w:color w:val="0D3D20"/>
                <w:sz w:val="19"/>
                <w:szCs w:val="19"/>
              </w:rPr>
              <w:t xml:space="preserve">Cluster</w:t>
            </w:r>
          </w:p>
        </w:tc>
        <w:tc>
          <w:tcPr>
            <w:tcW w:type="dxa" w:w="3600"/>
            <w:tcBorders>
              <w:top w:val="single" w:color="B2DFB8" w:sz="1"/>
              <w:left w:val="single" w:color="B2DFB8" w:sz="1"/>
              <w:bottom w:val="single" w:color="B2DFB8" w:sz="1"/>
              <w:right w:val="single" w:color="B2DFB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k3s · GCP asia-south1 + AWS ap-south-1</w:t>
            </w:r>
          </w:p>
        </w:tc>
      </w:tr>
      <w:tr>
        <w:tc>
          <w:tcPr>
            <w:tcW w:type="dxa" w:w="2400"/>
            <w:tcBorders>
              <w:top w:val="single" w:color="B2DFB8" w:sz="1"/>
              <w:left w:val="single" w:color="B2DFB8" w:sz="1"/>
              <w:bottom w:val="single" w:color="B2DFB8" w:sz="1"/>
              <w:right w:val="single" w:color="B2DFB8" w:sz="1"/>
            </w:tcBorders>
            <w:shd w:fill="E8F5EC" w:val="clear"/>
            <w:tcMar>
              <w:top w:type="dxa" w:w="90"/>
              <w:left w:type="dxa" w:w="120"/>
              <w:bottom w:type="dxa" w:w="90"/>
              <w:right w:type="dxa" w:w="120"/>
            </w:tcMar>
          </w:tcPr>
          <w:p>
            <w:r>
              <w:rPr>
                <w:rFonts w:ascii="Arial" w:cs="Arial" w:eastAsia="Arial" w:hAnsi="Arial"/>
                <w:b/>
                <w:bCs/>
                <w:color w:val="0D3D20"/>
                <w:sz w:val="19"/>
                <w:szCs w:val="19"/>
              </w:rPr>
              <w:t xml:space="preserve">Document Version</w:t>
            </w:r>
          </w:p>
        </w:tc>
        <w:tc>
          <w:tcPr>
            <w:tcW w:type="dxa" w:w="3600"/>
            <w:tcBorders>
              <w:top w:val="single" w:color="B2DFB8" w:sz="1"/>
              <w:left w:val="single" w:color="B2DFB8" w:sz="1"/>
              <w:bottom w:val="single" w:color="B2DFB8" w:sz="1"/>
              <w:right w:val="single" w:color="B2DFB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v1.0 · March 2026</w:t>
            </w:r>
          </w:p>
        </w:tc>
      </w:tr>
      <w:tr>
        <w:tc>
          <w:tcPr>
            <w:tcW w:type="dxa" w:w="2400"/>
            <w:tcBorders>
              <w:top w:val="single" w:color="B2DFB8" w:sz="1"/>
              <w:left w:val="single" w:color="B2DFB8" w:sz="1"/>
              <w:bottom w:val="single" w:color="B2DFB8" w:sz="1"/>
              <w:right w:val="single" w:color="B2DFB8" w:sz="1"/>
            </w:tcBorders>
            <w:shd w:fill="E8F5EC" w:val="clear"/>
            <w:tcMar>
              <w:top w:type="dxa" w:w="90"/>
              <w:left w:type="dxa" w:w="120"/>
              <w:bottom w:type="dxa" w:w="90"/>
              <w:right w:type="dxa" w:w="120"/>
            </w:tcMar>
          </w:tcPr>
          <w:p>
            <w:r>
              <w:rPr>
                <w:rFonts w:ascii="Arial" w:cs="Arial" w:eastAsia="Arial" w:hAnsi="Arial"/>
                <w:b/>
                <w:bCs/>
                <w:color w:val="0D3D20"/>
                <w:sz w:val="19"/>
                <w:szCs w:val="19"/>
              </w:rPr>
              <w:t xml:space="preserve">Maintainer</w:t>
            </w:r>
          </w:p>
        </w:tc>
        <w:tc>
          <w:tcPr>
            <w:tcW w:type="dxa" w:w="3600"/>
            <w:tcBorders>
              <w:top w:val="single" w:color="B2DFB8" w:sz="1"/>
              <w:left w:val="single" w:color="B2DFB8" w:sz="1"/>
              <w:bottom w:val="single" w:color="B2DFB8" w:sz="1"/>
              <w:right w:val="single" w:color="B2DFB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Ecoskiller Platform Engineering Team</w:t>
            </w:r>
          </w:p>
        </w:tc>
      </w:tr>
      <w:tr>
        <w:tc>
          <w:tcPr>
            <w:tcW w:type="dxa" w:w="2400"/>
            <w:tcBorders>
              <w:top w:val="single" w:color="B2DFB8" w:sz="1"/>
              <w:left w:val="single" w:color="B2DFB8" w:sz="1"/>
              <w:bottom w:val="single" w:color="B2DFB8" w:sz="1"/>
              <w:right w:val="single" w:color="B2DFB8" w:sz="1"/>
            </w:tcBorders>
            <w:shd w:fill="E8F5EC" w:val="clear"/>
            <w:tcMar>
              <w:top w:type="dxa" w:w="90"/>
              <w:left w:type="dxa" w:w="120"/>
              <w:bottom w:type="dxa" w:w="90"/>
              <w:right w:type="dxa" w:w="120"/>
            </w:tcMar>
          </w:tcPr>
          <w:p>
            <w:r>
              <w:rPr>
                <w:rFonts w:ascii="Arial" w:cs="Arial" w:eastAsia="Arial" w:hAnsi="Arial"/>
                <w:b/>
                <w:bCs/>
                <w:color w:val="0D3D20"/>
                <w:sz w:val="19"/>
                <w:szCs w:val="19"/>
              </w:rPr>
              <w:t xml:space="preserve">Status</w:t>
            </w:r>
          </w:p>
        </w:tc>
        <w:tc>
          <w:tcPr>
            <w:tcW w:type="dxa" w:w="3600"/>
            <w:tcBorders>
              <w:top w:val="single" w:color="B2DFB8" w:sz="1"/>
              <w:left w:val="single" w:color="B2DFB8" w:sz="1"/>
              <w:bottom w:val="single" w:color="B2DFB8" w:sz="1"/>
              <w:right w:val="single" w:color="B2DFB8" w:sz="1"/>
            </w:tcBorders>
            <w:shd w:fill="FFFFFF" w:val="clear"/>
            <w:tcMar>
              <w:top w:type="dxa" w:w="90"/>
              <w:left w:type="dxa" w:w="120"/>
              <w:bottom w:type="dxa" w:w="90"/>
              <w:right w:type="dxa" w:w="120"/>
            </w:tcMar>
          </w:tcPr>
          <w:p>
            <w:r>
              <w:rPr>
                <w:rFonts w:ascii="Arial" w:cs="Arial" w:eastAsia="Arial" w:hAnsi="Arial"/>
                <w:color w:val="4A4A4A"/>
                <w:sz w:val="19"/>
                <w:szCs w:val="19"/>
              </w:rPr>
              <w:t xml:space="preserve">Active · Production-Candidate</w:t>
            </w:r>
          </w:p>
        </w:tc>
      </w:tr>
    </w:tbl>
    <w:p>
      <w:pPr>
        <w:spacing w:before="400" w:after="0"/>
      </w:pPr>
      <w:r>
        <w:t xml:space="preserve"/>
      </w:r>
    </w:p>
    <w:p>
      <w:r>
        <w:br w:type="page"/>
      </w:r>
    </w:p>
    <w:p>
      <w:pPr>
        <w:pStyle w:val="Heading1"/>
        <w:spacing w:before="360" w:after="120"/>
      </w:pPr>
      <w:r>
        <w:rPr>
          <w:rFonts w:ascii="Arial" w:cs="Arial" w:eastAsia="Arial" w:hAnsi="Arial"/>
          <w:b/>
          <w:bCs/>
          <w:color w:val="0D3D20"/>
          <w:sz w:val="36"/>
          <w:szCs w:val="36"/>
        </w:rPr>
        <w:t xml:space="preserve">1. Service Name</w:t>
      </w:r>
    </w:p>
    <w:p>
      <w:pPr>
        <w:pBdr>
          <w:bottom w:val="single" w:color="28A745" w:sz="6" w:space="1"/>
        </w:pBdr>
        <w:spacing w:before="100" w:after="100"/>
      </w:pPr>
    </w:p>
    <w:p>
      <w:pPr>
        <w:spacing w:before="80" w:after="0"/>
      </w:pPr>
      <w:r>
        <w:t xml:space="preserve"/>
      </w:r>
    </w:p>
    <w:p>
      <w:pPr>
        <w:spacing w:before="80" w:after="80"/>
      </w:pPr>
      <w:r>
        <w:rPr>
          <w:rFonts w:ascii="Courier New" w:cs="Courier New" w:eastAsia="Courier New" w:hAnsi="Courier New"/>
          <w:b/>
          <w:bCs/>
          <w:color w:val="1A6B3A"/>
          <w:sz w:val="28"/>
          <w:szCs w:val="28"/>
        </w:rPr>
        <w:t xml:space="preserve">candidate-ranking-engine</w:t>
      </w:r>
    </w:p>
    <w:p>
      <w:pPr>
        <w:spacing w:before="80" w:after="80"/>
      </w:pPr>
      <w:r>
        <w:rPr>
          <w:rFonts w:ascii="Arial" w:cs="Arial" w:eastAsia="Arial" w:hAnsi="Arial"/>
          <w:b w:val="false"/>
          <w:bCs w:val="false"/>
          <w:color w:val="1A1A1A"/>
          <w:sz w:val="22"/>
          <w:szCs w:val="22"/>
        </w:rPr>
        <w:t xml:space="preserve">The candidate-ranking-engine is a Node.js microservice deployed within the Ecoskiller event-driven microservices platform. It serves as the authoritative aggregation and ranking layer responsible for transforming raw assessment signals — produced across group discussions, structured interviews, and dojo coding matches — into normalized, weighted, multi-dimensional candidate scores. These scores directly power recruiter-facing leaderboards, shortlisting workflows, and downstream belt certification decisions.</w:t>
      </w:r>
    </w:p>
    <w:p>
      <w:pPr>
        <w:spacing w:before="120" w:after="0"/>
      </w:pPr>
      <w:r>
        <w:t xml:space="preserve"/>
      </w:r>
    </w:p>
    <w:p>
      <w:pPr>
        <w:pStyle w:val="Heading1"/>
        <w:spacing w:before="360" w:after="120"/>
      </w:pPr>
      <w:r>
        <w:rPr>
          <w:rFonts w:ascii="Arial" w:cs="Arial" w:eastAsia="Arial" w:hAnsi="Arial"/>
          <w:b/>
          <w:bCs/>
          <w:color w:val="0D3D20"/>
          <w:sz w:val="36"/>
          <w:szCs w:val="36"/>
        </w:rPr>
        <w:t xml:space="preserve">2. Service Overview</w:t>
      </w:r>
    </w:p>
    <w:p>
      <w:pPr>
        <w:pBdr>
          <w:bottom w:val="single" w:color="28A745" w:sz="6" w:space="1"/>
        </w:pBdr>
        <w:spacing w:before="100" w:after="100"/>
      </w:pPr>
    </w:p>
    <w:p>
      <w:pPr>
        <w:spacing w:before="80" w:after="0"/>
      </w:pPr>
      <w:r>
        <w:t xml:space="preserve"/>
      </w:r>
    </w:p>
    <w:p>
      <w:pPr>
        <w:spacing w:before="80" w:after="80"/>
      </w:pPr>
      <w:r>
        <w:rPr>
          <w:rFonts w:ascii="Arial" w:cs="Arial" w:eastAsia="Arial" w:hAnsi="Arial"/>
          <w:b w:val="false"/>
          <w:bCs w:val="false"/>
          <w:color w:val="1A1A1A"/>
          <w:sz w:val="22"/>
          <w:szCs w:val="22"/>
        </w:rPr>
        <w:t xml:space="preserve">Inside the Ecoskiller architecture, the candidate-ranking-engine occupies a critical position at the boundary between assessment execution and outcome delivery. While individual scoring producers — the scoring-engine, gd-orchestrator, and interview-service — each emit domain-specific score events to Apache Kafka, none of these services holds a unified view of a candidate's overall standing across all assessment formats.</w:t>
      </w:r>
    </w:p>
    <w:p>
      <w:pPr>
        <w:spacing w:before="80" w:after="0"/>
      </w:pPr>
      <w:r>
        <w:t xml:space="preserve"/>
      </w:r>
    </w:p>
    <w:p>
      <w:pPr>
        <w:spacing w:before="80" w:after="80"/>
      </w:pPr>
      <w:r>
        <w:rPr>
          <w:rFonts w:ascii="Arial" w:cs="Arial" w:eastAsia="Arial" w:hAnsi="Arial"/>
          <w:b w:val="false"/>
          <w:bCs w:val="false"/>
          <w:color w:val="1A1A1A"/>
          <w:sz w:val="22"/>
          <w:szCs w:val="22"/>
        </w:rPr>
        <w:t xml:space="preserve">The candidate-ranking-engine closes this gap. It acts as a stateful Kafka consumer, subscribing to multiple assessment-result topics, aggregating scores per candidate per job context, applying configurable weight matrices, and persisting final ranked results into PostgreSQL for durable retrieval. A Redis-backed cache layer ensures low-latency reads for the API endpoints that recruiters query during shortlisting.</w:t>
      </w:r>
    </w:p>
    <w:p>
      <w:pPr>
        <w:spacing w:before="80" w:after="0"/>
      </w:pPr>
      <w:r>
        <w:t xml:space="preserve"/>
      </w:r>
    </w:p>
    <w:p>
      <w:pPr>
        <w:spacing w:before="80" w:after="80"/>
      </w:pPr>
      <w:r>
        <w:rPr>
          <w:rFonts w:ascii="Arial" w:cs="Arial" w:eastAsia="Arial" w:hAnsi="Arial"/>
          <w:b w:val="false"/>
          <w:bCs w:val="false"/>
          <w:color w:val="1A1A1A"/>
          <w:sz w:val="22"/>
          <w:szCs w:val="22"/>
        </w:rPr>
        <w:t xml:space="preserve">The service is tenant-scoped from inception: all ranking computations, storage keys, and API responses are isolated per tenant_id, consistent with Ecoskiller's multi-tenant architecture enforced through PostgreSQL Row-Level Security and Redis key namespacing.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2DFB8" w:sz="1"/>
              <w:left w:val="single" w:color="B2DFB8" w:sz="1"/>
              <w:bottom w:val="single" w:color="B2DFB8" w:sz="1"/>
              <w:right w:val="single" w:color="B2DFB8" w:sz="1"/>
            </w:tcBorders>
            <w:shd w:fill="1A6B3A" w:val="clear"/>
            <w:tcMar>
              <w:top w:type="dxa" w:w="100"/>
              <w:left w:type="dxa" w:w="150"/>
              <w:bottom w:type="dxa" w:w="100"/>
              <w:right w:type="dxa" w:w="150"/>
            </w:tcMar>
            <w:vAlign w:val="center"/>
          </w:tcPr>
          <w:p>
            <w:r>
              <w:rPr>
                <w:rFonts w:ascii="Arial" w:cs="Arial" w:eastAsia="Arial" w:hAnsi="Arial"/>
                <w:b/>
                <w:bCs/>
                <w:color w:val="FFFFFF"/>
                <w:sz w:val="22"/>
                <w:szCs w:val="22"/>
              </w:rPr>
              <w:t xml:space="preserve">Field</w:t>
            </w:r>
          </w:p>
        </w:tc>
        <w:tc>
          <w:tcPr>
            <w:tcW w:type="dxa" w:w="696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tcPr>
          <w:p>
            <w:r>
              <w:rPr>
                <w:rFonts w:ascii="Arial" w:cs="Arial" w:eastAsia="Arial" w:hAnsi="Arial"/>
                <w:b/>
                <w:bCs/>
                <w:color w:val="0D3D20"/>
                <w:sz w:val="22"/>
                <w:szCs w:val="22"/>
              </w:rPr>
              <w:t xml:space="preserve">Detail</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Service Identifier</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candidate-ranking-engine</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Domain</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Talent Assessment · Outcome Layer</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Communication Pattern</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Kafka Consumer (async) + REST API (sync query)</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State Storage</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PostgreSQL 15 (durable) + Redis 7 (cache)</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Deployment Target</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k3s · GCP asia-south1 (primary) + AWS ap-south-1 (HA replica)</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Isolation Scope</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Multi-tenant · tenant_id scoped at all storage layers</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Horizontal Scaling</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Stateless processing pods · Redis handles shared ranking state</w:t>
            </w:r>
          </w:p>
        </w:tc>
      </w:tr>
    </w:tbl>
    <w:p>
      <w:pPr>
        <w:spacing w:before="160" w:after="0"/>
      </w:pPr>
      <w:r>
        <w:t xml:space="preserve"/>
      </w:r>
    </w:p>
    <w:p>
      <w:pPr>
        <w:pStyle w:val="Heading1"/>
        <w:spacing w:before="360" w:after="120"/>
      </w:pPr>
      <w:r>
        <w:rPr>
          <w:rFonts w:ascii="Arial" w:cs="Arial" w:eastAsia="Arial" w:hAnsi="Arial"/>
          <w:b/>
          <w:bCs/>
          <w:color w:val="0D3D20"/>
          <w:sz w:val="36"/>
          <w:szCs w:val="36"/>
        </w:rPr>
        <w:t xml:space="preserve">3. Core Responsibilities</w:t>
      </w:r>
    </w:p>
    <w:p>
      <w:pPr>
        <w:pBdr>
          <w:bottom w:val="single" w:color="28A745" w:sz="6" w:space="1"/>
        </w:pBdr>
        <w:spacing w:before="100" w:after="100"/>
      </w:pPr>
    </w:p>
    <w:p>
      <w:pPr>
        <w:spacing w:before="80" w:after="0"/>
      </w:pPr>
      <w:r>
        <w:t xml:space="preserve"/>
      </w:r>
    </w:p>
    <w:p>
      <w:pPr>
        <w:pStyle w:val="Heading2"/>
        <w:spacing w:before="280" w:after="80"/>
      </w:pPr>
      <w:r>
        <w:rPr>
          <w:rFonts w:ascii="Arial" w:cs="Arial" w:eastAsia="Arial" w:hAnsi="Arial"/>
          <w:b/>
          <w:bCs/>
          <w:color w:val="1A6B3A"/>
          <w:sz w:val="28"/>
          <w:szCs w:val="28"/>
        </w:rPr>
        <w:t xml:space="preserve">3.1  Multi-Source Score Aggregation</w:t>
      </w:r>
    </w:p>
    <w:p>
      <w:pPr>
        <w:spacing w:before="80" w:after="80"/>
      </w:pPr>
      <w:r>
        <w:rPr>
          <w:rFonts w:ascii="Arial" w:cs="Arial" w:eastAsia="Arial" w:hAnsi="Arial"/>
          <w:b w:val="false"/>
          <w:bCs w:val="false"/>
          <w:color w:val="1A1A1A"/>
          <w:sz w:val="22"/>
          <w:szCs w:val="22"/>
        </w:rPr>
        <w:t xml:space="preserve">The ranking engine subscribes to all post-assessment Kafka topics — gd.completed, interview.completed, and match.scored — and correlates incoming score events to the correct candidate × job × tenant context. It maintains running aggregates in Redis during live assessment windows and flushes finalized scores to PostgreSQL once an assessment batch closes.</w:t>
      </w:r>
    </w:p>
    <w:p>
      <w:pPr>
        <w:spacing w:before="80" w:after="0"/>
      </w:pPr>
      <w:r>
        <w:t xml:space="preserve"/>
      </w:r>
    </w:p>
    <w:p>
      <w:pPr>
        <w:pStyle w:val="Heading2"/>
        <w:spacing w:before="280" w:after="80"/>
      </w:pPr>
      <w:r>
        <w:rPr>
          <w:rFonts w:ascii="Arial" w:cs="Arial" w:eastAsia="Arial" w:hAnsi="Arial"/>
          <w:b/>
          <w:bCs/>
          <w:color w:val="1A6B3A"/>
          <w:sz w:val="28"/>
          <w:szCs w:val="28"/>
        </w:rPr>
        <w:t xml:space="preserve">3.2  Weighted Multi-Dimensional Scoring</w:t>
      </w:r>
    </w:p>
    <w:p>
      <w:pPr>
        <w:spacing w:before="80" w:after="80"/>
      </w:pPr>
      <w:r>
        <w:rPr>
          <w:rFonts w:ascii="Arial" w:cs="Arial" w:eastAsia="Arial" w:hAnsi="Arial"/>
          <w:b w:val="false"/>
          <w:bCs w:val="false"/>
          <w:color w:val="1A1A1A"/>
          <w:sz w:val="22"/>
          <w:szCs w:val="22"/>
        </w:rPr>
        <w:t xml:space="preserve">Raw dimension scores (communication, problem-solving, technical accuracy, collaboration, leadership, innovation, adaptability, consistency) are weighted according to per-job scoring matrices configured by recruiters. The engine applies these matrices at compute time, producing a composite weighted score per candidate that drives rank ordering within a job cohort.</w:t>
      </w:r>
    </w:p>
    <w:p>
      <w:pPr>
        <w:spacing w:before="80" w:after="0"/>
      </w:pPr>
      <w:r>
        <w:t xml:space="preserve"/>
      </w:r>
    </w:p>
    <w:p>
      <w:pPr>
        <w:pStyle w:val="Heading2"/>
        <w:spacing w:before="280" w:after="80"/>
      </w:pPr>
      <w:r>
        <w:rPr>
          <w:rFonts w:ascii="Arial" w:cs="Arial" w:eastAsia="Arial" w:hAnsi="Arial"/>
          <w:b/>
          <w:bCs/>
          <w:color w:val="1A6B3A"/>
          <w:sz w:val="28"/>
          <w:szCs w:val="28"/>
        </w:rPr>
        <w:t xml:space="preserve">3.3  Rank Computation &amp; Tie Resolution</w:t>
      </w:r>
    </w:p>
    <w:p>
      <w:pPr>
        <w:spacing w:before="80" w:after="80"/>
      </w:pPr>
      <w:r>
        <w:rPr>
          <w:rFonts w:ascii="Arial" w:cs="Arial" w:eastAsia="Arial" w:hAnsi="Arial"/>
          <w:b w:val="false"/>
          <w:bCs w:val="false"/>
          <w:color w:val="1A1A1A"/>
          <w:sz w:val="22"/>
          <w:szCs w:val="22"/>
        </w:rPr>
        <w:t xml:space="preserve">The engine computes ordinal rankings across all candidates who have completed a defined minimum set of assessments for a given job posting. Tie-breaking logic applies a secondary sort on assessment consistency metrics (standard deviation of scores across rounds), ensuring deterministic ranking output for recruiter UIs.</w:t>
      </w:r>
    </w:p>
    <w:p>
      <w:pPr>
        <w:spacing w:before="80" w:after="0"/>
      </w:pPr>
      <w:r>
        <w:t xml:space="preserve"/>
      </w:r>
    </w:p>
    <w:p>
      <w:pPr>
        <w:pStyle w:val="Heading2"/>
        <w:spacing w:before="280" w:after="80"/>
      </w:pPr>
      <w:r>
        <w:rPr>
          <w:rFonts w:ascii="Arial" w:cs="Arial" w:eastAsia="Arial" w:hAnsi="Arial"/>
          <w:b/>
          <w:bCs/>
          <w:color w:val="1A6B3A"/>
          <w:sz w:val="28"/>
          <w:szCs w:val="28"/>
        </w:rPr>
        <w:t xml:space="preserve">3.4  Belt Eligibility Signal Propagation</w:t>
      </w:r>
    </w:p>
    <w:p>
      <w:pPr>
        <w:spacing w:before="80" w:after="80"/>
      </w:pPr>
      <w:r>
        <w:rPr>
          <w:rFonts w:ascii="Arial" w:cs="Arial" w:eastAsia="Arial" w:hAnsi="Arial"/>
          <w:b w:val="false"/>
          <w:bCs w:val="false"/>
          <w:color w:val="1A1A1A"/>
          <w:sz w:val="22"/>
          <w:szCs w:val="22"/>
        </w:rPr>
        <w:t xml:space="preserve">When a candidate's aggregated score crosses a configurable belt eligibility threshold, the ranking engine publishes a candidate.rank.computed event to Kafka. The certification-engine subscribes to this event to initiate the belt issuance workflow. This decouples ranking logic from certification issuance and ensures the ranking engine remains a pure compute service.</w:t>
      </w:r>
    </w:p>
    <w:p>
      <w:pPr>
        <w:spacing w:before="80" w:after="0"/>
      </w:pPr>
      <w:r>
        <w:t xml:space="preserve"/>
      </w:r>
    </w:p>
    <w:p>
      <w:pPr>
        <w:pStyle w:val="Heading2"/>
        <w:spacing w:before="280" w:after="80"/>
      </w:pPr>
      <w:r>
        <w:rPr>
          <w:rFonts w:ascii="Arial" w:cs="Arial" w:eastAsia="Arial" w:hAnsi="Arial"/>
          <w:b/>
          <w:bCs/>
          <w:color w:val="1A6B3A"/>
          <w:sz w:val="28"/>
          <w:szCs w:val="28"/>
        </w:rPr>
        <w:t xml:space="preserve">3.5  Shortlisting API</w:t>
      </w:r>
    </w:p>
    <w:p>
      <w:pPr>
        <w:spacing w:before="80" w:after="80"/>
      </w:pPr>
      <w:r>
        <w:rPr>
          <w:rFonts w:ascii="Arial" w:cs="Arial" w:eastAsia="Arial" w:hAnsi="Arial"/>
          <w:b w:val="false"/>
          <w:bCs w:val="false"/>
          <w:color w:val="1A1A1A"/>
          <w:sz w:val="22"/>
          <w:szCs w:val="22"/>
        </w:rPr>
        <w:t xml:space="preserve">Exposes a secured REST API consumed by the recruiter-facing dashboard and the application-service. Endpoints allow recruiters to retrieve ranked candidate lists, apply filters (score threshold, assessment type, belt level), and export results. All queries are scoped to the authenticated recruiter's tenant and job context via JWT claims validated through Keycloak.</w:t>
      </w:r>
    </w:p>
    <w:p>
      <w:pPr>
        <w:spacing w:before="80" w:after="0"/>
      </w:pPr>
      <w:r>
        <w:t xml:space="preserve"/>
      </w:r>
    </w:p>
    <w:p>
      <w:pPr>
        <w:pStyle w:val="Heading2"/>
        <w:spacing w:before="280" w:after="80"/>
      </w:pPr>
      <w:r>
        <w:rPr>
          <w:rFonts w:ascii="Arial" w:cs="Arial" w:eastAsia="Arial" w:hAnsi="Arial"/>
          <w:b/>
          <w:bCs/>
          <w:color w:val="1A6B3A"/>
          <w:sz w:val="28"/>
          <w:szCs w:val="28"/>
        </w:rPr>
        <w:t xml:space="preserve">3.6  Recomputation &amp; Consistency</w:t>
      </w:r>
    </w:p>
    <w:p>
      <w:pPr>
        <w:spacing w:before="80" w:after="80"/>
      </w:pPr>
      <w:r>
        <w:rPr>
          <w:rFonts w:ascii="Arial" w:cs="Arial" w:eastAsia="Arial" w:hAnsi="Arial"/>
          <w:b w:val="false"/>
          <w:bCs w:val="false"/>
          <w:color w:val="1A1A1A"/>
          <w:sz w:val="22"/>
          <w:szCs w:val="22"/>
        </w:rPr>
        <w:t xml:space="preserve">Supports idempotent score recomputation triggered by corrective events (e.g., a manually overridden assessment score). The engine replays the scoring pipeline for affected candidates without duplicating Kafka events downstream, using event sequence numbers to guarantee exactly-once ranking updates within a job cohort.</w:t>
      </w:r>
    </w:p>
    <w:p>
      <w:pPr>
        <w:spacing w:before="160" w:after="0"/>
      </w:pPr>
      <w:r>
        <w:t xml:space="preserve"/>
      </w:r>
    </w:p>
    <w:p>
      <w:pPr>
        <w:pStyle w:val="Heading1"/>
        <w:spacing w:before="360" w:after="120"/>
      </w:pPr>
      <w:r>
        <w:rPr>
          <w:rFonts w:ascii="Arial" w:cs="Arial" w:eastAsia="Arial" w:hAnsi="Arial"/>
          <w:b/>
          <w:bCs/>
          <w:color w:val="0D3D20"/>
          <w:sz w:val="36"/>
          <w:szCs w:val="36"/>
        </w:rPr>
        <w:t xml:space="preserve">4. Key Features</w:t>
      </w:r>
    </w:p>
    <w:p>
      <w:pPr>
        <w:pBdr>
          <w:bottom w:val="single" w:color="28A745" w:sz="6" w:space="1"/>
        </w:pBdr>
        <w:spacing w:before="100" w:after="100"/>
      </w:pP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2DFB8" w:sz="1"/>
              <w:left w:val="single" w:color="B2DFB8" w:sz="1"/>
              <w:bottom w:val="single" w:color="B2DFB8" w:sz="1"/>
              <w:right w:val="single" w:color="B2DFB8" w:sz="1"/>
            </w:tcBorders>
            <w:shd w:fill="1A6B3A"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F1</w:t>
            </w:r>
          </w:p>
        </w:tc>
        <w:tc>
          <w:tcPr>
            <w:tcW w:type="dxa" w:w="8660"/>
            <w:tcBorders>
              <w:top w:val="single" w:color="B2DFB8" w:sz="1"/>
              <w:left w:val="single" w:color="B2DFB8" w:sz="1"/>
              <w:bottom w:val="single" w:color="B2DFB8" w:sz="1"/>
              <w:right w:val="single" w:color="B2DFB8" w:sz="1"/>
            </w:tcBorders>
            <w:shd w:fill="F4F6F4" w:val="clear"/>
            <w:tcMar>
              <w:top w:type="dxa" w:w="120"/>
              <w:left w:type="dxa" w:w="180"/>
              <w:bottom w:type="dxa" w:w="120"/>
              <w:right w:type="dxa" w:w="120"/>
            </w:tcMar>
          </w:tcPr>
          <w:p>
            <w:r>
              <w:rPr>
                <w:rFonts w:ascii="Arial" w:cs="Arial" w:eastAsia="Arial" w:hAnsi="Arial"/>
                <w:b/>
                <w:bCs/>
                <w:color w:val="0D3D20"/>
                <w:sz w:val="22"/>
                <w:szCs w:val="22"/>
              </w:rPr>
              <w:t xml:space="preserve">Configurable Scoring Weight Matrices</w:t>
            </w:r>
          </w:p>
          <w:p>
            <w:pPr>
              <w:spacing w:before="60"/>
            </w:pPr>
            <w:r>
              <w:rPr>
                <w:rFonts w:ascii="Arial" w:cs="Arial" w:eastAsia="Arial" w:hAnsi="Arial"/>
                <w:color w:val="4A4A4A"/>
                <w:sz w:val="20"/>
                <w:szCs w:val="20"/>
              </w:rPr>
              <w:t xml:space="preserve">Recruiters define per-job dimension weights via the admin service. The ranking engine reads these matrices from PostgreSQL at job-context initialization and applies them consistently across all candidates in the cohort. Weights are versioned and immutable once an assessment round starts, guaranteeing ranking consistency.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2DFB8" w:sz="1"/>
              <w:left w:val="single" w:color="B2DFB8" w:sz="1"/>
              <w:bottom w:val="single" w:color="B2DFB8" w:sz="1"/>
              <w:right w:val="single" w:color="B2DFB8" w:sz="1"/>
            </w:tcBorders>
            <w:shd w:fill="1A6B3A"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F2</w:t>
            </w:r>
          </w:p>
        </w:tc>
        <w:tc>
          <w:tcPr>
            <w:tcW w:type="dxa" w:w="8660"/>
            <w:tcBorders>
              <w:top w:val="single" w:color="B2DFB8" w:sz="1"/>
              <w:left w:val="single" w:color="B2DFB8" w:sz="1"/>
              <w:bottom w:val="single" w:color="B2DFB8" w:sz="1"/>
              <w:right w:val="single" w:color="B2DFB8" w:sz="1"/>
            </w:tcBorders>
            <w:shd w:fill="F4F6F4" w:val="clear"/>
            <w:tcMar>
              <w:top w:type="dxa" w:w="120"/>
              <w:left w:type="dxa" w:w="180"/>
              <w:bottom w:type="dxa" w:w="120"/>
              <w:right w:type="dxa" w:w="120"/>
            </w:tcMar>
          </w:tcPr>
          <w:p>
            <w:r>
              <w:rPr>
                <w:rFonts w:ascii="Arial" w:cs="Arial" w:eastAsia="Arial" w:hAnsi="Arial"/>
                <w:b/>
                <w:bCs/>
                <w:color w:val="0D3D20"/>
                <w:sz w:val="22"/>
                <w:szCs w:val="22"/>
              </w:rPr>
              <w:t xml:space="preserve">8-Dimension Intelligence Vector Integration</w:t>
            </w:r>
          </w:p>
          <w:p>
            <w:pPr>
              <w:spacing w:before="60"/>
            </w:pPr>
            <w:r>
              <w:rPr>
                <w:rFonts w:ascii="Arial" w:cs="Arial" w:eastAsia="Arial" w:hAnsi="Arial"/>
                <w:color w:val="4A4A4A"/>
                <w:sz w:val="20"/>
                <w:szCs w:val="20"/>
              </w:rPr>
              <w:t xml:space="preserve">The engine ingests passive behavioral signals from the Intelligence Profile service (XI) — attention span, turn-taking balance, idea elaboration depth, and five additional dimensions — and integrates these as supplementary ranking signals with configurable weight. This enables a richer, bias-resistant ranking beyond raw test scores.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2DFB8" w:sz="1"/>
              <w:left w:val="single" w:color="B2DFB8" w:sz="1"/>
              <w:bottom w:val="single" w:color="B2DFB8" w:sz="1"/>
              <w:right w:val="single" w:color="B2DFB8" w:sz="1"/>
            </w:tcBorders>
            <w:shd w:fill="1A6B3A"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F3</w:t>
            </w:r>
          </w:p>
        </w:tc>
        <w:tc>
          <w:tcPr>
            <w:tcW w:type="dxa" w:w="8660"/>
            <w:tcBorders>
              <w:top w:val="single" w:color="B2DFB8" w:sz="1"/>
              <w:left w:val="single" w:color="B2DFB8" w:sz="1"/>
              <w:bottom w:val="single" w:color="B2DFB8" w:sz="1"/>
              <w:right w:val="single" w:color="B2DFB8" w:sz="1"/>
            </w:tcBorders>
            <w:shd w:fill="F4F6F4" w:val="clear"/>
            <w:tcMar>
              <w:top w:type="dxa" w:w="120"/>
              <w:left w:type="dxa" w:w="180"/>
              <w:bottom w:type="dxa" w:w="120"/>
              <w:right w:type="dxa" w:w="120"/>
            </w:tcMar>
          </w:tcPr>
          <w:p>
            <w:r>
              <w:rPr>
                <w:rFonts w:ascii="Arial" w:cs="Arial" w:eastAsia="Arial" w:hAnsi="Arial"/>
                <w:b/>
                <w:bCs/>
                <w:color w:val="0D3D20"/>
                <w:sz w:val="22"/>
                <w:szCs w:val="22"/>
              </w:rPr>
              <w:t xml:space="preserve">Real-Time Leaderboard via Redis Sorted Sets</w:t>
            </w:r>
          </w:p>
          <w:p>
            <w:pPr>
              <w:spacing w:before="60"/>
            </w:pPr>
            <w:r>
              <w:rPr>
                <w:rFonts w:ascii="Arial" w:cs="Arial" w:eastAsia="Arial" w:hAnsi="Arial"/>
                <w:color w:val="4A4A4A"/>
                <w:sz w:val="20"/>
                <w:szCs w:val="20"/>
              </w:rPr>
              <w:t xml:space="preserve">Intermediate ranking states are maintained as Redis Sorted Sets keyed by tenant_id and job_id. This allows the API layer to return near-real-time leaderboards during live assessment windows without querying PostgreSQL for every request, achieving sub-10ms P99 read latencies under load.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2DFB8" w:sz="1"/>
              <w:left w:val="single" w:color="B2DFB8" w:sz="1"/>
              <w:bottom w:val="single" w:color="B2DFB8" w:sz="1"/>
              <w:right w:val="single" w:color="B2DFB8" w:sz="1"/>
            </w:tcBorders>
            <w:shd w:fill="1A6B3A"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F4</w:t>
            </w:r>
          </w:p>
        </w:tc>
        <w:tc>
          <w:tcPr>
            <w:tcW w:type="dxa" w:w="8660"/>
            <w:tcBorders>
              <w:top w:val="single" w:color="B2DFB8" w:sz="1"/>
              <w:left w:val="single" w:color="B2DFB8" w:sz="1"/>
              <w:bottom w:val="single" w:color="B2DFB8" w:sz="1"/>
              <w:right w:val="single" w:color="B2DFB8" w:sz="1"/>
            </w:tcBorders>
            <w:shd w:fill="F4F6F4" w:val="clear"/>
            <w:tcMar>
              <w:top w:type="dxa" w:w="120"/>
              <w:left w:type="dxa" w:w="180"/>
              <w:bottom w:type="dxa" w:w="120"/>
              <w:right w:type="dxa" w:w="120"/>
            </w:tcMar>
          </w:tcPr>
          <w:p>
            <w:r>
              <w:rPr>
                <w:rFonts w:ascii="Arial" w:cs="Arial" w:eastAsia="Arial" w:hAnsi="Arial"/>
                <w:b/>
                <w:bCs/>
                <w:color w:val="0D3D20"/>
                <w:sz w:val="22"/>
                <w:szCs w:val="22"/>
              </w:rPr>
              <w:t xml:space="preserve">Dead-Letter Queue (DLQ) Handling</w:t>
            </w:r>
          </w:p>
          <w:p>
            <w:pPr>
              <w:spacing w:before="60"/>
            </w:pPr>
            <w:r>
              <w:rPr>
                <w:rFonts w:ascii="Arial" w:cs="Arial" w:eastAsia="Arial" w:hAnsi="Arial"/>
                <w:color w:val="4A4A4A"/>
                <w:sz w:val="20"/>
                <w:szCs w:val="20"/>
              </w:rPr>
              <w:t xml:space="preserve">All Kafka consumers implement a three-retry policy with exponential backoff. Failed score events that exhaust retries are forwarded to a dedicated .dlq topic (gd.completed.dlq, interview.completed.dlq, match.scored.dlq). A monitoring alert fires for any message landing in a DLQ, preventing silent score loss.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2DFB8" w:sz="1"/>
              <w:left w:val="single" w:color="B2DFB8" w:sz="1"/>
              <w:bottom w:val="single" w:color="B2DFB8" w:sz="1"/>
              <w:right w:val="single" w:color="B2DFB8" w:sz="1"/>
            </w:tcBorders>
            <w:shd w:fill="1A6B3A"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F5</w:t>
            </w:r>
          </w:p>
        </w:tc>
        <w:tc>
          <w:tcPr>
            <w:tcW w:type="dxa" w:w="8660"/>
            <w:tcBorders>
              <w:top w:val="single" w:color="B2DFB8" w:sz="1"/>
              <w:left w:val="single" w:color="B2DFB8" w:sz="1"/>
              <w:bottom w:val="single" w:color="B2DFB8" w:sz="1"/>
              <w:right w:val="single" w:color="B2DFB8" w:sz="1"/>
            </w:tcBorders>
            <w:shd w:fill="F4F6F4" w:val="clear"/>
            <w:tcMar>
              <w:top w:type="dxa" w:w="120"/>
              <w:left w:type="dxa" w:w="180"/>
              <w:bottom w:type="dxa" w:w="120"/>
              <w:right w:type="dxa" w:w="120"/>
            </w:tcMar>
          </w:tcPr>
          <w:p>
            <w:r>
              <w:rPr>
                <w:rFonts w:ascii="Arial" w:cs="Arial" w:eastAsia="Arial" w:hAnsi="Arial"/>
                <w:b/>
                <w:bCs/>
                <w:color w:val="0D3D20"/>
                <w:sz w:val="22"/>
                <w:szCs w:val="22"/>
              </w:rPr>
              <w:t xml:space="preserve">Tenant-Scoped Multi-Tenancy</w:t>
            </w:r>
          </w:p>
          <w:p>
            <w:pPr>
              <w:spacing w:before="60"/>
            </w:pPr>
            <w:r>
              <w:rPr>
                <w:rFonts w:ascii="Arial" w:cs="Arial" w:eastAsia="Arial" w:hAnsi="Arial"/>
                <w:color w:val="4A4A4A"/>
                <w:sz w:val="20"/>
                <w:szCs w:val="20"/>
              </w:rPr>
              <w:t xml:space="preserve">Every ranking operation is isolated by tenant_id. PostgreSQL Row-Level Security policies enforce tenant boundaries at the database layer. Redis keys follow the tenant:{tenant_id}:rankings:{job_id} namespace convention. API responses are filtered by JWT-derived tenant context, preventing cross-tenant data exposure.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2DFB8" w:sz="1"/>
              <w:left w:val="single" w:color="B2DFB8" w:sz="1"/>
              <w:bottom w:val="single" w:color="B2DFB8" w:sz="1"/>
              <w:right w:val="single" w:color="B2DFB8" w:sz="1"/>
            </w:tcBorders>
            <w:shd w:fill="1A6B3A"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F6</w:t>
            </w:r>
          </w:p>
        </w:tc>
        <w:tc>
          <w:tcPr>
            <w:tcW w:type="dxa" w:w="8660"/>
            <w:tcBorders>
              <w:top w:val="single" w:color="B2DFB8" w:sz="1"/>
              <w:left w:val="single" w:color="B2DFB8" w:sz="1"/>
              <w:bottom w:val="single" w:color="B2DFB8" w:sz="1"/>
              <w:right w:val="single" w:color="B2DFB8" w:sz="1"/>
            </w:tcBorders>
            <w:shd w:fill="F4F6F4" w:val="clear"/>
            <w:tcMar>
              <w:top w:type="dxa" w:w="120"/>
              <w:left w:type="dxa" w:w="180"/>
              <w:bottom w:type="dxa" w:w="120"/>
              <w:right w:type="dxa" w:w="120"/>
            </w:tcMar>
          </w:tcPr>
          <w:p>
            <w:r>
              <w:rPr>
                <w:rFonts w:ascii="Arial" w:cs="Arial" w:eastAsia="Arial" w:hAnsi="Arial"/>
                <w:b/>
                <w:bCs/>
                <w:color w:val="0D3D20"/>
                <w:sz w:val="22"/>
                <w:szCs w:val="22"/>
              </w:rPr>
              <w:t xml:space="preserve">Idempotent Event Processing with Schema Enforcement</w:t>
            </w:r>
          </w:p>
          <w:p>
            <w:pPr>
              <w:spacing w:before="60"/>
            </w:pPr>
            <w:r>
              <w:rPr>
                <w:rFonts w:ascii="Arial" w:cs="Arial" w:eastAsia="Arial" w:hAnsi="Arial"/>
                <w:color w:val="4A4A4A"/>
                <w:sz w:val="20"/>
                <w:szCs w:val="20"/>
              </w:rPr>
              <w:t xml:space="preserve">All consumed Kafka events are validated against Avro schemas enforced by the self-hosted Apicurio Schema Registry. Duplicate events are detected using event sequence numbers and discarded before processing, ensuring ranking results remain consistent even under Kafka consumer group rebalancing or network retries.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2DFB8" w:sz="1"/>
              <w:left w:val="single" w:color="B2DFB8" w:sz="1"/>
              <w:bottom w:val="single" w:color="B2DFB8" w:sz="1"/>
              <w:right w:val="single" w:color="B2DFB8" w:sz="1"/>
            </w:tcBorders>
            <w:shd w:fill="1A6B3A"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F7</w:t>
            </w:r>
          </w:p>
        </w:tc>
        <w:tc>
          <w:tcPr>
            <w:tcW w:type="dxa" w:w="8660"/>
            <w:tcBorders>
              <w:top w:val="single" w:color="B2DFB8" w:sz="1"/>
              <w:left w:val="single" w:color="B2DFB8" w:sz="1"/>
              <w:bottom w:val="single" w:color="B2DFB8" w:sz="1"/>
              <w:right w:val="single" w:color="B2DFB8" w:sz="1"/>
            </w:tcBorders>
            <w:shd w:fill="F4F6F4" w:val="clear"/>
            <w:tcMar>
              <w:top w:type="dxa" w:w="120"/>
              <w:left w:type="dxa" w:w="180"/>
              <w:bottom w:type="dxa" w:w="120"/>
              <w:right w:type="dxa" w:w="120"/>
            </w:tcMar>
          </w:tcPr>
          <w:p>
            <w:r>
              <w:rPr>
                <w:rFonts w:ascii="Arial" w:cs="Arial" w:eastAsia="Arial" w:hAnsi="Arial"/>
                <w:b/>
                <w:bCs/>
                <w:color w:val="0D3D20"/>
                <w:sz w:val="22"/>
                <w:szCs w:val="22"/>
              </w:rPr>
              <w:t xml:space="preserve">OpenTelemetry Distributed Tracing</w:t>
            </w:r>
          </w:p>
          <w:p>
            <w:pPr>
              <w:spacing w:before="60"/>
            </w:pPr>
            <w:r>
              <w:rPr>
                <w:rFonts w:ascii="Arial" w:cs="Arial" w:eastAsia="Arial" w:hAnsi="Arial"/>
                <w:color w:val="4A4A4A"/>
                <w:sz w:val="20"/>
                <w:szCs w:val="20"/>
              </w:rPr>
              <w:t xml:space="preserve">Trace IDs propagated from the NGINX Ingress through upstream services are preserved across Kafka message headers and internal processing spans. Each ranking computation emits a structured trace segment, enabling end-to-end request tracing from assessment submission through to rank publication in the Grafana observability dashboard.</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2DFB8" w:sz="1"/>
              <w:left w:val="single" w:color="B2DFB8" w:sz="1"/>
              <w:bottom w:val="single" w:color="B2DFB8" w:sz="1"/>
              <w:right w:val="single" w:color="B2DFB8" w:sz="1"/>
            </w:tcBorders>
            <w:shd w:fill="1A6B3A" w:val="clear"/>
            <w:tcMar>
              <w:top w:type="dxa" w:w="120"/>
              <w:left w:type="dxa" w:w="100"/>
              <w:bottom w:type="dxa" w:w="120"/>
              <w:right w:type="dxa" w:w="100"/>
            </w:tcMar>
            <w:vAlign w:val="center"/>
          </w:tcPr>
          <w:p>
            <w:pPr>
              <w:jc w:val="center"/>
            </w:pPr>
            <w:r>
              <w:rPr>
                <w:rFonts w:ascii="Arial" w:cs="Arial" w:eastAsia="Arial" w:hAnsi="Arial"/>
                <w:b/>
                <w:bCs/>
                <w:color w:val="FFFFFF"/>
                <w:sz w:val="24"/>
                <w:szCs w:val="24"/>
              </w:rPr>
              <w:t xml:space="preserve">F8</w:t>
            </w:r>
          </w:p>
        </w:tc>
        <w:tc>
          <w:tcPr>
            <w:tcW w:type="dxa" w:w="8660"/>
            <w:tcBorders>
              <w:top w:val="single" w:color="B2DFB8" w:sz="1"/>
              <w:left w:val="single" w:color="B2DFB8" w:sz="1"/>
              <w:bottom w:val="single" w:color="B2DFB8" w:sz="1"/>
              <w:right w:val="single" w:color="B2DFB8" w:sz="1"/>
            </w:tcBorders>
            <w:shd w:fill="F4F6F4" w:val="clear"/>
            <w:tcMar>
              <w:top w:type="dxa" w:w="120"/>
              <w:left w:type="dxa" w:w="180"/>
              <w:bottom w:type="dxa" w:w="120"/>
              <w:right w:type="dxa" w:w="120"/>
            </w:tcMar>
          </w:tcPr>
          <w:p>
            <w:r>
              <w:rPr>
                <w:rFonts w:ascii="Arial" w:cs="Arial" w:eastAsia="Arial" w:hAnsi="Arial"/>
                <w:b/>
                <w:bCs/>
                <w:color w:val="0D3D20"/>
                <w:sz w:val="22"/>
                <w:szCs w:val="22"/>
              </w:rPr>
              <w:t xml:space="preserve">Horizontal Pod Autoscaling (HPA)</w:t>
            </w:r>
          </w:p>
          <w:p>
            <w:pPr>
              <w:spacing w:before="60"/>
            </w:pPr>
            <w:r>
              <w:rPr>
                <w:rFonts w:ascii="Arial" w:cs="Arial" w:eastAsia="Arial" w:hAnsi="Arial"/>
                <w:color w:val="4A4A4A"/>
                <w:sz w:val="20"/>
                <w:szCs w:val="20"/>
              </w:rPr>
              <w:t xml:space="preserve">Kubernetes HPA scales ranking-engine pods based on CPU utilization and Kafka consumer lag metrics exposed via Prometheus. During peak assessment windows — when hundreds of gd.completed events arrive simultaneously — the engine scales out automatically within the k3s worker node pool (GCP n2-standard-8 instances) to maintain processing throughput.</w:t>
            </w:r>
          </w:p>
        </w:tc>
      </w:tr>
    </w:tbl>
    <w:p>
      <w:pPr>
        <w:spacing w:before="160" w:after="0"/>
      </w:pPr>
      <w:r>
        <w:t xml:space="preserve"/>
      </w:r>
    </w:p>
    <w:p>
      <w:pPr>
        <w:pStyle w:val="Heading1"/>
        <w:spacing w:before="360" w:after="120"/>
      </w:pPr>
      <w:r>
        <w:rPr>
          <w:rFonts w:ascii="Arial" w:cs="Arial" w:eastAsia="Arial" w:hAnsi="Arial"/>
          <w:b/>
          <w:bCs/>
          <w:color w:val="0D3D20"/>
          <w:sz w:val="36"/>
          <w:szCs w:val="36"/>
        </w:rPr>
        <w:t xml:space="preserve">5. Inputs</w:t>
      </w:r>
    </w:p>
    <w:p>
      <w:pPr>
        <w:pBdr>
          <w:bottom w:val="single" w:color="28A745" w:sz="6" w:space="1"/>
        </w:pBdr>
        <w:spacing w:before="100" w:after="100"/>
      </w:pPr>
    </w:p>
    <w:p>
      <w:pPr>
        <w:spacing w:before="80" w:after="0"/>
      </w:pPr>
      <w:r>
        <w:t xml:space="preserve"/>
      </w:r>
    </w:p>
    <w:p>
      <w:pPr>
        <w:pStyle w:val="Heading2"/>
        <w:spacing w:before="280" w:after="80"/>
      </w:pPr>
      <w:r>
        <w:rPr>
          <w:rFonts w:ascii="Arial" w:cs="Arial" w:eastAsia="Arial" w:hAnsi="Arial"/>
          <w:b/>
          <w:bCs/>
          <w:color w:val="1A6B3A"/>
          <w:sz w:val="28"/>
          <w:szCs w:val="28"/>
        </w:rPr>
        <w:t xml:space="preserve">5.1  Kafka Events Consumed</w:t>
      </w:r>
    </w:p>
    <w:p>
      <w:pPr>
        <w:spacing w:before="80" w:after="80"/>
      </w:pPr>
      <w:r>
        <w:rPr>
          <w:rFonts w:ascii="Arial" w:cs="Arial" w:eastAsia="Arial" w:hAnsi="Arial"/>
          <w:b w:val="false"/>
          <w:bCs w:val="false"/>
          <w:color w:val="1A1A1A"/>
          <w:sz w:val="22"/>
          <w:szCs w:val="22"/>
        </w:rPr>
        <w:t xml:space="preserve">The candidate-ranking-engine subscribes to the following Apache Kafka topics as part of the Ecoskiller event bus: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1200"/>
        <w:gridCol w:w="1660"/>
      </w:tblGrid>
      <w:tr>
        <w:tc>
          <w:tcPr>
            <w:tcW w:type="dxa" w:w="2200"/>
            <w:tcBorders>
              <w:top w:val="single" w:color="B2DFB8" w:sz="1"/>
              <w:left w:val="single" w:color="B2DFB8" w:sz="1"/>
              <w:bottom w:val="single" w:color="B2DFB8" w:sz="1"/>
              <w:right w:val="single" w:color="B2DFB8" w:sz="1"/>
            </w:tcBorders>
            <w:shd w:fill="1A6B3A" w:val="clear"/>
            <w:tcMar>
              <w:top w:type="dxa" w:w="90"/>
              <w:left w:type="dxa" w:w="120"/>
              <w:bottom w:type="dxa" w:w="90"/>
              <w:right w:type="dxa" w:w="120"/>
            </w:tcMar>
          </w:tcPr>
          <w:p>
            <w:r>
              <w:rPr>
                <w:rFonts w:ascii="Arial" w:cs="Arial" w:eastAsia="Arial" w:hAnsi="Arial"/>
                <w:b/>
                <w:bCs/>
                <w:color w:val="FFFFFF"/>
                <w:sz w:val="19"/>
                <w:szCs w:val="19"/>
              </w:rPr>
              <w:t xml:space="preserve">Kafka Topic</w:t>
            </w:r>
          </w:p>
        </w:tc>
        <w:tc>
          <w:tcPr>
            <w:tcW w:type="dxa" w:w="1800"/>
            <w:tcBorders>
              <w:top w:val="single" w:color="B2DFB8" w:sz="1"/>
              <w:left w:val="single" w:color="B2DFB8" w:sz="1"/>
              <w:bottom w:val="single" w:color="B2DFB8" w:sz="1"/>
              <w:right w:val="single" w:color="B2DFB8" w:sz="1"/>
            </w:tcBorders>
            <w:shd w:fill="1A6B3A" w:val="clear"/>
            <w:tcMar>
              <w:top w:type="dxa" w:w="90"/>
              <w:left w:type="dxa" w:w="120"/>
              <w:bottom w:type="dxa" w:w="90"/>
              <w:right w:type="dxa" w:w="120"/>
            </w:tcMar>
          </w:tcPr>
          <w:p>
            <w:r>
              <w:rPr>
                <w:rFonts w:ascii="Arial" w:cs="Arial" w:eastAsia="Arial" w:hAnsi="Arial"/>
                <w:b/>
                <w:bCs/>
                <w:color w:val="FFFFFF"/>
                <w:sz w:val="19"/>
                <w:szCs w:val="19"/>
              </w:rPr>
              <w:t xml:space="preserve">Producer</w:t>
            </w:r>
          </w:p>
        </w:tc>
        <w:tc>
          <w:tcPr>
            <w:tcW w:type="dxa" w:w="2500"/>
            <w:tcBorders>
              <w:top w:val="single" w:color="B2DFB8" w:sz="1"/>
              <w:left w:val="single" w:color="B2DFB8" w:sz="1"/>
              <w:bottom w:val="single" w:color="B2DFB8" w:sz="1"/>
              <w:right w:val="single" w:color="B2DFB8" w:sz="1"/>
            </w:tcBorders>
            <w:shd w:fill="1A6B3A" w:val="clear"/>
            <w:tcMar>
              <w:top w:type="dxa" w:w="90"/>
              <w:left w:type="dxa" w:w="120"/>
              <w:bottom w:type="dxa" w:w="90"/>
              <w:right w:type="dxa" w:w="120"/>
            </w:tcMar>
          </w:tcPr>
          <w:p>
            <w:r>
              <w:rPr>
                <w:rFonts w:ascii="Arial" w:cs="Arial" w:eastAsia="Arial" w:hAnsi="Arial"/>
                <w:b/>
                <w:bCs/>
                <w:color w:val="FFFFFF"/>
                <w:sz w:val="19"/>
                <w:szCs w:val="19"/>
              </w:rPr>
              <w:t xml:space="preserve">Consumer(s)</w:t>
            </w:r>
          </w:p>
        </w:tc>
        <w:tc>
          <w:tcPr>
            <w:tcW w:type="dxa" w:w="1200"/>
            <w:tcBorders>
              <w:top w:val="single" w:color="B2DFB8" w:sz="1"/>
              <w:left w:val="single" w:color="B2DFB8" w:sz="1"/>
              <w:bottom w:val="single" w:color="B2DFB8" w:sz="1"/>
              <w:right w:val="single" w:color="B2DFB8" w:sz="1"/>
            </w:tcBorders>
            <w:shd w:fill="1A6B3A" w:val="clear"/>
            <w:tcMar>
              <w:top w:type="dxa" w:w="90"/>
              <w:left w:type="dxa" w:w="120"/>
              <w:bottom w:type="dxa" w:w="90"/>
              <w:right w:type="dxa" w:w="120"/>
            </w:tcMar>
          </w:tcPr>
          <w:p>
            <w:r>
              <w:rPr>
                <w:rFonts w:ascii="Arial" w:cs="Arial" w:eastAsia="Arial" w:hAnsi="Arial"/>
                <w:b/>
                <w:bCs/>
                <w:color w:val="FFFFFF"/>
                <w:sz w:val="19"/>
                <w:szCs w:val="19"/>
              </w:rPr>
              <w:t xml:space="preserve">Partitions</w:t>
            </w:r>
          </w:p>
        </w:tc>
        <w:tc>
          <w:tcPr>
            <w:tcW w:type="dxa" w:w="1660"/>
            <w:tcBorders>
              <w:top w:val="single" w:color="B2DFB8" w:sz="1"/>
              <w:left w:val="single" w:color="B2DFB8" w:sz="1"/>
              <w:bottom w:val="single" w:color="B2DFB8" w:sz="1"/>
              <w:right w:val="single" w:color="B2DFB8" w:sz="1"/>
            </w:tcBorders>
            <w:shd w:fill="1A6B3A" w:val="clear"/>
            <w:tcMar>
              <w:top w:type="dxa" w:w="90"/>
              <w:left w:type="dxa" w:w="120"/>
              <w:bottom w:type="dxa" w:w="90"/>
              <w:right w:type="dxa" w:w="120"/>
            </w:tcMar>
          </w:tcPr>
          <w:p>
            <w:r>
              <w:rPr>
                <w:rFonts w:ascii="Arial" w:cs="Arial" w:eastAsia="Arial" w:hAnsi="Arial"/>
                <w:b/>
                <w:bCs/>
                <w:color w:val="FFFFFF"/>
                <w:sz w:val="19"/>
                <w:szCs w:val="19"/>
              </w:rPr>
              <w:t xml:space="preserve">Retention</w:t>
            </w:r>
          </w:p>
        </w:tc>
      </w:tr>
      <w:tr>
        <w:tc>
          <w:tcPr>
            <w:tcW w:type="dxa" w:w="22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gd.completed</w:t>
            </w:r>
          </w:p>
        </w:tc>
        <w:tc>
          <w:tcPr>
            <w:tcW w:type="dxa" w:w="18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gd-orchestrator</w:t>
            </w:r>
          </w:p>
        </w:tc>
        <w:tc>
          <w:tcPr>
            <w:tcW w:type="dxa" w:w="25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candidate-ranking-engine, scoring-engine, analytics-service</w:t>
            </w:r>
          </w:p>
        </w:tc>
        <w:tc>
          <w:tcPr>
            <w:tcW w:type="dxa" w:w="12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6</w:t>
            </w:r>
          </w:p>
        </w:tc>
        <w:tc>
          <w:tcPr>
            <w:tcW w:type="dxa" w:w="166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30 days</w:t>
            </w:r>
          </w:p>
        </w:tc>
      </w:tr>
      <w:tr>
        <w:tc>
          <w:tcPr>
            <w:tcW w:type="dxa" w:w="220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bCs/>
                <w:color w:val="4A4A4A"/>
                <w:sz w:val="19"/>
                <w:szCs w:val="19"/>
              </w:rPr>
              <w:t xml:space="preserve">interview.completed</w:t>
            </w:r>
          </w:p>
        </w:tc>
        <w:tc>
          <w:tcPr>
            <w:tcW w:type="dxa" w:w="180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val="false"/>
                <w:bCs w:val="false"/>
                <w:color w:val="4A4A4A"/>
                <w:sz w:val="19"/>
                <w:szCs w:val="19"/>
              </w:rPr>
              <w:t xml:space="preserve">interview-service</w:t>
            </w:r>
          </w:p>
        </w:tc>
        <w:tc>
          <w:tcPr>
            <w:tcW w:type="dxa" w:w="250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val="false"/>
                <w:bCs w:val="false"/>
                <w:color w:val="4A4A4A"/>
                <w:sz w:val="19"/>
                <w:szCs w:val="19"/>
              </w:rPr>
              <w:t xml:space="preserve">candidate-ranking-engine, scoring-engine, analytics-service</w:t>
            </w:r>
          </w:p>
        </w:tc>
        <w:tc>
          <w:tcPr>
            <w:tcW w:type="dxa" w:w="120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val="false"/>
                <w:bCs w:val="false"/>
                <w:color w:val="4A4A4A"/>
                <w:sz w:val="19"/>
                <w:szCs w:val="19"/>
              </w:rPr>
              <w:t xml:space="preserve">6</w:t>
            </w:r>
          </w:p>
        </w:tc>
        <w:tc>
          <w:tcPr>
            <w:tcW w:type="dxa" w:w="166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val="false"/>
                <w:bCs w:val="false"/>
                <w:color w:val="4A4A4A"/>
                <w:sz w:val="19"/>
                <w:szCs w:val="19"/>
              </w:rPr>
              <w:t xml:space="preserve">30 days</w:t>
            </w:r>
          </w:p>
        </w:tc>
      </w:tr>
      <w:tr>
        <w:tc>
          <w:tcPr>
            <w:tcW w:type="dxa" w:w="22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match.scored</w:t>
            </w:r>
          </w:p>
        </w:tc>
        <w:tc>
          <w:tcPr>
            <w:tcW w:type="dxa" w:w="18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scoring-engine</w:t>
            </w:r>
          </w:p>
        </w:tc>
        <w:tc>
          <w:tcPr>
            <w:tcW w:type="dxa" w:w="25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candidate-ranking-engine, certification-engine, analytics-service</w:t>
            </w:r>
          </w:p>
        </w:tc>
        <w:tc>
          <w:tcPr>
            <w:tcW w:type="dxa" w:w="12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w:t>
            </w:r>
          </w:p>
        </w:tc>
        <w:tc>
          <w:tcPr>
            <w:tcW w:type="dxa" w:w="166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30 days</w:t>
            </w:r>
          </w:p>
        </w:tc>
      </w:tr>
      <w:tr>
        <w:tc>
          <w:tcPr>
            <w:tcW w:type="dxa" w:w="220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bCs/>
                <w:color w:val="4A4A4A"/>
                <w:sz w:val="19"/>
                <w:szCs w:val="19"/>
              </w:rPr>
              <w:t xml:space="preserve">intelligence.signal.emitted</w:t>
            </w:r>
          </w:p>
        </w:tc>
        <w:tc>
          <w:tcPr>
            <w:tcW w:type="dxa" w:w="180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val="false"/>
                <w:bCs w:val="false"/>
                <w:color w:val="4A4A4A"/>
                <w:sz w:val="19"/>
                <w:szCs w:val="19"/>
              </w:rPr>
              <w:t xml:space="preserve">passive-intelligence-engine (XI)</w:t>
            </w:r>
          </w:p>
        </w:tc>
        <w:tc>
          <w:tcPr>
            <w:tcW w:type="dxa" w:w="250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val="false"/>
                <w:bCs w:val="false"/>
                <w:color w:val="4A4A4A"/>
                <w:sz w:val="19"/>
                <w:szCs w:val="19"/>
              </w:rPr>
              <w:t xml:space="preserve">candidate-ranking-engine</w:t>
            </w:r>
          </w:p>
        </w:tc>
        <w:tc>
          <w:tcPr>
            <w:tcW w:type="dxa" w:w="120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val="false"/>
                <w:bCs w:val="false"/>
                <w:color w:val="4A4A4A"/>
                <w:sz w:val="19"/>
                <w:szCs w:val="19"/>
              </w:rPr>
              <w:t xml:space="preserve">3</w:t>
            </w:r>
          </w:p>
        </w:tc>
        <w:tc>
          <w:tcPr>
            <w:tcW w:type="dxa" w:w="166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val="false"/>
                <w:bCs w:val="false"/>
                <w:color w:val="4A4A4A"/>
                <w:sz w:val="19"/>
                <w:szCs w:val="19"/>
              </w:rPr>
              <w:t xml:space="preserve">30 days</w:t>
            </w:r>
          </w:p>
        </w:tc>
      </w:tr>
      <w:tr>
        <w:tc>
          <w:tcPr>
            <w:tcW w:type="dxa" w:w="22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assessment.score.corrected</w:t>
            </w:r>
          </w:p>
        </w:tc>
        <w:tc>
          <w:tcPr>
            <w:tcW w:type="dxa" w:w="18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admin-service</w:t>
            </w:r>
          </w:p>
        </w:tc>
        <w:tc>
          <w:tcPr>
            <w:tcW w:type="dxa" w:w="25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candidate-ranking-engine</w:t>
            </w:r>
          </w:p>
        </w:tc>
        <w:tc>
          <w:tcPr>
            <w:tcW w:type="dxa" w:w="12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w:t>
            </w:r>
          </w:p>
        </w:tc>
        <w:tc>
          <w:tcPr>
            <w:tcW w:type="dxa" w:w="166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30 days</w:t>
            </w:r>
          </w:p>
        </w:tc>
      </w:tr>
    </w:tbl>
    <w:p>
      <w:pPr>
        <w:spacing w:before="100" w:after="0"/>
      </w:pPr>
      <w:r>
        <w:t xml:space="preserve"/>
      </w:r>
    </w:p>
    <w:p>
      <w:pPr>
        <w:pStyle w:val="Heading2"/>
        <w:spacing w:before="280" w:after="80"/>
      </w:pPr>
      <w:r>
        <w:rPr>
          <w:rFonts w:ascii="Arial" w:cs="Arial" w:eastAsia="Arial" w:hAnsi="Arial"/>
          <w:b/>
          <w:bCs/>
          <w:color w:val="1A6B3A"/>
          <w:sz w:val="28"/>
          <w:szCs w:val="28"/>
        </w:rPr>
        <w:t xml:space="preserve">5.2  REST API Inputs</w:t>
      </w:r>
    </w:p>
    <w:p>
      <w:pPr>
        <w:spacing w:before="80" w:after="80"/>
      </w:pPr>
      <w:r>
        <w:rPr>
          <w:rFonts w:ascii="Arial" w:cs="Arial" w:eastAsia="Arial" w:hAnsi="Arial"/>
          <w:b w:val="false"/>
          <w:bCs w:val="false"/>
          <w:color w:val="1A1A1A"/>
          <w:sz w:val="22"/>
          <w:szCs w:val="22"/>
        </w:rPr>
        <w:t xml:space="preserve">The service exposes a secured internal REST API consumed by the recruiter dashboard and application-service. All requests require a valid Keycloak-issued JWT with appropriate RBAC roles.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GET /api/v1/rankings/{job_id} — Retrieve ranked candidate list for a job posting</w:t>
      </w:r>
    </w:p>
    <w:p>
      <w:pPr>
        <w:pStyle w:val="ListParagraph"/>
        <w:numPr>
          <w:ilvl w:val="0"/>
          <w:numId w:val="2"/>
        </w:numPr>
        <w:spacing w:before="60" w:after="60"/>
      </w:pPr>
      <w:r>
        <w:rPr>
          <w:rFonts w:ascii="Arial" w:cs="Arial" w:eastAsia="Arial" w:hAnsi="Arial"/>
          <w:b w:val="false"/>
          <w:bCs w:val="false"/>
          <w:color w:val="1A1A1A"/>
          <w:sz w:val="22"/>
          <w:szCs w:val="22"/>
        </w:rPr>
        <w:t xml:space="preserve">GET /api/v1/rankings/{job_id}/candidate/{candidate_id} — Fetch individual candidate rank and score breakdown</w:t>
      </w:r>
    </w:p>
    <w:p>
      <w:pPr>
        <w:pStyle w:val="ListParagraph"/>
        <w:numPr>
          <w:ilvl w:val="0"/>
          <w:numId w:val="2"/>
        </w:numPr>
        <w:spacing w:before="60" w:after="60"/>
      </w:pPr>
      <w:r>
        <w:rPr>
          <w:rFonts w:ascii="Arial" w:cs="Arial" w:eastAsia="Arial" w:hAnsi="Arial"/>
          <w:b w:val="false"/>
          <w:bCs w:val="false"/>
          <w:color w:val="1A1A1A"/>
          <w:sz w:val="22"/>
          <w:szCs w:val="22"/>
        </w:rPr>
        <w:t xml:space="preserve">POST /api/v1/rankings/{job_id}/recompute — Trigger idempotent rank recomputation (admin role required)</w:t>
      </w:r>
    </w:p>
    <w:p>
      <w:pPr>
        <w:pStyle w:val="ListParagraph"/>
        <w:numPr>
          <w:ilvl w:val="0"/>
          <w:numId w:val="2"/>
        </w:numPr>
        <w:spacing w:before="60" w:after="60"/>
      </w:pPr>
      <w:r>
        <w:rPr>
          <w:rFonts w:ascii="Arial" w:cs="Arial" w:eastAsia="Arial" w:hAnsi="Arial"/>
          <w:b w:val="false"/>
          <w:bCs w:val="false"/>
          <w:color w:val="1A1A1A"/>
          <w:sz w:val="22"/>
          <w:szCs w:val="22"/>
        </w:rPr>
        <w:t xml:space="preserve">GET /api/v1/rankings/{job_id}/shortlist?threshold=75 — Filtered shortlist above score threshold</w:t>
      </w:r>
    </w:p>
    <w:p>
      <w:pPr>
        <w:pStyle w:val="ListParagraph"/>
        <w:numPr>
          <w:ilvl w:val="0"/>
          <w:numId w:val="2"/>
        </w:numPr>
        <w:spacing w:before="60" w:after="60"/>
      </w:pPr>
      <w:r>
        <w:rPr>
          <w:rFonts w:ascii="Arial" w:cs="Arial" w:eastAsia="Arial" w:hAnsi="Arial"/>
          <w:b w:val="false"/>
          <w:bCs w:val="false"/>
          <w:color w:val="1A1A1A"/>
          <w:sz w:val="22"/>
          <w:szCs w:val="22"/>
        </w:rPr>
        <w:t xml:space="preserve">GET /api/v1/rankings/{job_id}/export — CSV export of ranked results for offline recruiter review</w:t>
      </w:r>
    </w:p>
    <w:p>
      <w:pPr>
        <w:spacing w:before="80" w:after="0"/>
      </w:pPr>
      <w:r>
        <w:t xml:space="preserve"/>
      </w:r>
    </w:p>
    <w:p>
      <w:pPr>
        <w:pStyle w:val="Heading2"/>
        <w:spacing w:before="280" w:after="80"/>
      </w:pPr>
      <w:r>
        <w:rPr>
          <w:rFonts w:ascii="Arial" w:cs="Arial" w:eastAsia="Arial" w:hAnsi="Arial"/>
          <w:b/>
          <w:bCs/>
          <w:color w:val="1A6B3A"/>
          <w:sz w:val="28"/>
          <w:szCs w:val="28"/>
        </w:rPr>
        <w:t xml:space="preserve">5.3  Configuration Inputs</w:t>
      </w:r>
    </w:p>
    <w:p>
      <w:pPr>
        <w:spacing w:before="80" w:after="80"/>
      </w:pPr>
      <w:r>
        <w:rPr>
          <w:rFonts w:ascii="Arial" w:cs="Arial" w:eastAsia="Arial" w:hAnsi="Arial"/>
          <w:b w:val="false"/>
          <w:bCs w:val="false"/>
          <w:color w:val="1A1A1A"/>
          <w:sz w:val="22"/>
          <w:szCs w:val="22"/>
        </w:rPr>
        <w:t xml:space="preserve">At startup, the service reads the following configuration from Kubernetes Secrets and ConfigMaps: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Scoring weight matrix per job (read from PostgreSQL job_scoring_config table at job context initialization)</w:t>
      </w:r>
    </w:p>
    <w:p>
      <w:pPr>
        <w:pStyle w:val="ListParagraph"/>
        <w:numPr>
          <w:ilvl w:val="0"/>
          <w:numId w:val="2"/>
        </w:numPr>
        <w:spacing w:before="60" w:after="60"/>
      </w:pPr>
      <w:r>
        <w:rPr>
          <w:rFonts w:ascii="Arial" w:cs="Arial" w:eastAsia="Arial" w:hAnsi="Arial"/>
          <w:b w:val="false"/>
          <w:bCs w:val="false"/>
          <w:color w:val="1A1A1A"/>
          <w:sz w:val="22"/>
          <w:szCs w:val="22"/>
        </w:rPr>
        <w:t xml:space="preserve">Kafka broker endpoints, consumer group ID (candidate-ranking-engine-{topic}-consumer)</w:t>
      </w:r>
    </w:p>
    <w:p>
      <w:pPr>
        <w:pStyle w:val="ListParagraph"/>
        <w:numPr>
          <w:ilvl w:val="0"/>
          <w:numId w:val="2"/>
        </w:numPr>
        <w:spacing w:before="60" w:after="60"/>
      </w:pPr>
      <w:r>
        <w:rPr>
          <w:rFonts w:ascii="Arial" w:cs="Arial" w:eastAsia="Arial" w:hAnsi="Arial"/>
          <w:b w:val="false"/>
          <w:bCs w:val="false"/>
          <w:color w:val="1A1A1A"/>
          <w:sz w:val="22"/>
          <w:szCs w:val="22"/>
        </w:rPr>
        <w:t xml:space="preserve">Apicurio Schema Registry URL for Avro schema validation</w:t>
      </w:r>
    </w:p>
    <w:p>
      <w:pPr>
        <w:pStyle w:val="ListParagraph"/>
        <w:numPr>
          <w:ilvl w:val="0"/>
          <w:numId w:val="2"/>
        </w:numPr>
        <w:spacing w:before="60" w:after="60"/>
      </w:pPr>
      <w:r>
        <w:rPr>
          <w:rFonts w:ascii="Arial" w:cs="Arial" w:eastAsia="Arial" w:hAnsi="Arial"/>
          <w:b w:val="false"/>
          <w:bCs w:val="false"/>
          <w:color w:val="1A1A1A"/>
          <w:sz w:val="22"/>
          <w:szCs w:val="22"/>
        </w:rPr>
        <w:t xml:space="preserve">Redis connection string with tenant-scoped key prefix rules</w:t>
      </w:r>
    </w:p>
    <w:p>
      <w:pPr>
        <w:pStyle w:val="ListParagraph"/>
        <w:numPr>
          <w:ilvl w:val="0"/>
          <w:numId w:val="2"/>
        </w:numPr>
        <w:spacing w:before="60" w:after="60"/>
      </w:pPr>
      <w:r>
        <w:rPr>
          <w:rFonts w:ascii="Arial" w:cs="Arial" w:eastAsia="Arial" w:hAnsi="Arial"/>
          <w:b w:val="false"/>
          <w:bCs w:val="false"/>
          <w:color w:val="1A1A1A"/>
          <w:sz w:val="22"/>
          <w:szCs w:val="22"/>
        </w:rPr>
        <w:t xml:space="preserve">PostgreSQL DSN with RLS-enforcing service account credentials</w:t>
      </w:r>
    </w:p>
    <w:p>
      <w:pPr>
        <w:pStyle w:val="ListParagraph"/>
        <w:numPr>
          <w:ilvl w:val="0"/>
          <w:numId w:val="2"/>
        </w:numPr>
        <w:spacing w:before="60" w:after="60"/>
      </w:pPr>
      <w:r>
        <w:rPr>
          <w:rFonts w:ascii="Arial" w:cs="Arial" w:eastAsia="Arial" w:hAnsi="Arial"/>
          <w:b w:val="false"/>
          <w:bCs w:val="false"/>
          <w:color w:val="1A1A1A"/>
          <w:sz w:val="22"/>
          <w:szCs w:val="22"/>
        </w:rPr>
        <w:t xml:space="preserve">Belt eligibility score thresholds per belt tier (read from PostgreSQL config table)</w:t>
      </w:r>
    </w:p>
    <w:p>
      <w:pPr>
        <w:spacing w:before="160" w:after="0"/>
      </w:pPr>
      <w:r>
        <w:t xml:space="preserve"/>
      </w:r>
    </w:p>
    <w:p>
      <w:pPr>
        <w:pStyle w:val="Heading1"/>
        <w:spacing w:before="360" w:after="120"/>
      </w:pPr>
      <w:r>
        <w:rPr>
          <w:rFonts w:ascii="Arial" w:cs="Arial" w:eastAsia="Arial" w:hAnsi="Arial"/>
          <w:b/>
          <w:bCs/>
          <w:color w:val="0D3D20"/>
          <w:sz w:val="36"/>
          <w:szCs w:val="36"/>
        </w:rPr>
        <w:t xml:space="preserve">6. Outputs</w:t>
      </w:r>
    </w:p>
    <w:p>
      <w:pPr>
        <w:pBdr>
          <w:bottom w:val="single" w:color="28A745" w:sz="6" w:space="1"/>
        </w:pBdr>
        <w:spacing w:before="100" w:after="100"/>
      </w:pPr>
    </w:p>
    <w:p>
      <w:pPr>
        <w:spacing w:before="80" w:after="0"/>
      </w:pPr>
      <w:r>
        <w:t xml:space="preserve"/>
      </w:r>
    </w:p>
    <w:p>
      <w:pPr>
        <w:pStyle w:val="Heading2"/>
        <w:spacing w:before="280" w:after="80"/>
      </w:pPr>
      <w:r>
        <w:rPr>
          <w:rFonts w:ascii="Arial" w:cs="Arial" w:eastAsia="Arial" w:hAnsi="Arial"/>
          <w:b/>
          <w:bCs/>
          <w:color w:val="1A6B3A"/>
          <w:sz w:val="28"/>
          <w:szCs w:val="28"/>
        </w:rPr>
        <w:t xml:space="preserve">6.1  Kafka Events Published</w:t>
      </w:r>
    </w:p>
    <w:p>
      <w:pPr>
        <w:spacing w:before="80" w:after="80"/>
      </w:pPr>
      <w:r>
        <w:rPr>
          <w:rFonts w:ascii="Arial" w:cs="Arial" w:eastAsia="Arial" w:hAnsi="Arial"/>
          <w:b w:val="false"/>
          <w:bCs w:val="false"/>
          <w:color w:val="1A1A1A"/>
          <w:sz w:val="22"/>
          <w:szCs w:val="22"/>
        </w:rPr>
        <w:t xml:space="preserve">After completing a ranking computation cycle for a job cohort, the ranking engine publishes the following event: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1200"/>
        <w:gridCol w:w="1660"/>
      </w:tblGrid>
      <w:tr>
        <w:tc>
          <w:tcPr>
            <w:tcW w:type="dxa" w:w="2200"/>
            <w:tcBorders>
              <w:top w:val="single" w:color="B2DFB8" w:sz="1"/>
              <w:left w:val="single" w:color="B2DFB8" w:sz="1"/>
              <w:bottom w:val="single" w:color="B2DFB8" w:sz="1"/>
              <w:right w:val="single" w:color="B2DFB8" w:sz="1"/>
            </w:tcBorders>
            <w:shd w:fill="1A6B3A" w:val="clear"/>
            <w:tcMar>
              <w:top w:type="dxa" w:w="90"/>
              <w:left w:type="dxa" w:w="120"/>
              <w:bottom w:type="dxa" w:w="90"/>
              <w:right w:type="dxa" w:w="120"/>
            </w:tcMar>
          </w:tcPr>
          <w:p>
            <w:r>
              <w:rPr>
                <w:rFonts w:ascii="Arial" w:cs="Arial" w:eastAsia="Arial" w:hAnsi="Arial"/>
                <w:b/>
                <w:bCs/>
                <w:color w:val="FFFFFF"/>
                <w:sz w:val="19"/>
                <w:szCs w:val="19"/>
              </w:rPr>
              <w:t xml:space="preserve">Kafka Topic</w:t>
            </w:r>
          </w:p>
        </w:tc>
        <w:tc>
          <w:tcPr>
            <w:tcW w:type="dxa" w:w="1800"/>
            <w:tcBorders>
              <w:top w:val="single" w:color="B2DFB8" w:sz="1"/>
              <w:left w:val="single" w:color="B2DFB8" w:sz="1"/>
              <w:bottom w:val="single" w:color="B2DFB8" w:sz="1"/>
              <w:right w:val="single" w:color="B2DFB8" w:sz="1"/>
            </w:tcBorders>
            <w:shd w:fill="1A6B3A" w:val="clear"/>
            <w:tcMar>
              <w:top w:type="dxa" w:w="90"/>
              <w:left w:type="dxa" w:w="120"/>
              <w:bottom w:type="dxa" w:w="90"/>
              <w:right w:type="dxa" w:w="120"/>
            </w:tcMar>
          </w:tcPr>
          <w:p>
            <w:r>
              <w:rPr>
                <w:rFonts w:ascii="Arial" w:cs="Arial" w:eastAsia="Arial" w:hAnsi="Arial"/>
                <w:b/>
                <w:bCs/>
                <w:color w:val="FFFFFF"/>
                <w:sz w:val="19"/>
                <w:szCs w:val="19"/>
              </w:rPr>
              <w:t xml:space="preserve">Producer</w:t>
            </w:r>
          </w:p>
        </w:tc>
        <w:tc>
          <w:tcPr>
            <w:tcW w:type="dxa" w:w="2500"/>
            <w:tcBorders>
              <w:top w:val="single" w:color="B2DFB8" w:sz="1"/>
              <w:left w:val="single" w:color="B2DFB8" w:sz="1"/>
              <w:bottom w:val="single" w:color="B2DFB8" w:sz="1"/>
              <w:right w:val="single" w:color="B2DFB8" w:sz="1"/>
            </w:tcBorders>
            <w:shd w:fill="1A6B3A" w:val="clear"/>
            <w:tcMar>
              <w:top w:type="dxa" w:w="90"/>
              <w:left w:type="dxa" w:w="120"/>
              <w:bottom w:type="dxa" w:w="90"/>
              <w:right w:type="dxa" w:w="120"/>
            </w:tcMar>
          </w:tcPr>
          <w:p>
            <w:r>
              <w:rPr>
                <w:rFonts w:ascii="Arial" w:cs="Arial" w:eastAsia="Arial" w:hAnsi="Arial"/>
                <w:b/>
                <w:bCs/>
                <w:color w:val="FFFFFF"/>
                <w:sz w:val="19"/>
                <w:szCs w:val="19"/>
              </w:rPr>
              <w:t xml:space="preserve">Consumer(s)</w:t>
            </w:r>
          </w:p>
        </w:tc>
        <w:tc>
          <w:tcPr>
            <w:tcW w:type="dxa" w:w="1200"/>
            <w:tcBorders>
              <w:top w:val="single" w:color="B2DFB8" w:sz="1"/>
              <w:left w:val="single" w:color="B2DFB8" w:sz="1"/>
              <w:bottom w:val="single" w:color="B2DFB8" w:sz="1"/>
              <w:right w:val="single" w:color="B2DFB8" w:sz="1"/>
            </w:tcBorders>
            <w:shd w:fill="1A6B3A" w:val="clear"/>
            <w:tcMar>
              <w:top w:type="dxa" w:w="90"/>
              <w:left w:type="dxa" w:w="120"/>
              <w:bottom w:type="dxa" w:w="90"/>
              <w:right w:type="dxa" w:w="120"/>
            </w:tcMar>
          </w:tcPr>
          <w:p>
            <w:r>
              <w:rPr>
                <w:rFonts w:ascii="Arial" w:cs="Arial" w:eastAsia="Arial" w:hAnsi="Arial"/>
                <w:b/>
                <w:bCs/>
                <w:color w:val="FFFFFF"/>
                <w:sz w:val="19"/>
                <w:szCs w:val="19"/>
              </w:rPr>
              <w:t xml:space="preserve">Partitions</w:t>
            </w:r>
          </w:p>
        </w:tc>
        <w:tc>
          <w:tcPr>
            <w:tcW w:type="dxa" w:w="1660"/>
            <w:tcBorders>
              <w:top w:val="single" w:color="B2DFB8" w:sz="1"/>
              <w:left w:val="single" w:color="B2DFB8" w:sz="1"/>
              <w:bottom w:val="single" w:color="B2DFB8" w:sz="1"/>
              <w:right w:val="single" w:color="B2DFB8" w:sz="1"/>
            </w:tcBorders>
            <w:shd w:fill="1A6B3A" w:val="clear"/>
            <w:tcMar>
              <w:top w:type="dxa" w:w="90"/>
              <w:left w:type="dxa" w:w="120"/>
              <w:bottom w:type="dxa" w:w="90"/>
              <w:right w:type="dxa" w:w="120"/>
            </w:tcMar>
          </w:tcPr>
          <w:p>
            <w:r>
              <w:rPr>
                <w:rFonts w:ascii="Arial" w:cs="Arial" w:eastAsia="Arial" w:hAnsi="Arial"/>
                <w:b/>
                <w:bCs/>
                <w:color w:val="FFFFFF"/>
                <w:sz w:val="19"/>
                <w:szCs w:val="19"/>
              </w:rPr>
              <w:t xml:space="preserve">Retention</w:t>
            </w:r>
          </w:p>
        </w:tc>
      </w:tr>
      <w:tr>
        <w:tc>
          <w:tcPr>
            <w:tcW w:type="dxa" w:w="22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bCs/>
                <w:color w:val="4A4A4A"/>
                <w:sz w:val="19"/>
                <w:szCs w:val="19"/>
              </w:rPr>
              <w:t xml:space="preserve">candidate.rank.computed</w:t>
            </w:r>
          </w:p>
        </w:tc>
        <w:tc>
          <w:tcPr>
            <w:tcW w:type="dxa" w:w="18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candidate-ranking-engine</w:t>
            </w:r>
          </w:p>
        </w:tc>
        <w:tc>
          <w:tcPr>
            <w:tcW w:type="dxa" w:w="25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certification-engine, notification-service, analytics-service</w:t>
            </w:r>
          </w:p>
        </w:tc>
        <w:tc>
          <w:tcPr>
            <w:tcW w:type="dxa" w:w="120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w:t>
            </w:r>
          </w:p>
        </w:tc>
        <w:tc>
          <w:tcPr>
            <w:tcW w:type="dxa" w:w="1660"/>
            <w:tcBorders>
              <w:top w:val="single" w:color="B2DFB8" w:sz="1"/>
              <w:left w:val="single" w:color="B2DFB8" w:sz="1"/>
              <w:bottom w:val="single" w:color="B2DFB8" w:sz="1"/>
              <w:right w:val="single" w:color="B2DFB8" w:sz="1"/>
            </w:tcBorders>
            <w:shd w:fill="FFFFFF" w:val="clear"/>
            <w:tcMar>
              <w:top w:type="dxa" w:w="80"/>
              <w:left w:type="dxa" w:w="120"/>
              <w:bottom w:type="dxa" w:w="80"/>
              <w:right w:type="dxa" w:w="120"/>
            </w:tcMar>
          </w:tcPr>
          <w:p>
            <w:r>
              <w:rPr>
                <w:rFonts w:ascii="Arial" w:cs="Arial" w:eastAsia="Arial" w:hAnsi="Arial"/>
                <w:b w:val="false"/>
                <w:bCs w:val="false"/>
                <w:color w:val="4A4A4A"/>
                <w:sz w:val="19"/>
                <w:szCs w:val="19"/>
              </w:rPr>
              <w:t xml:space="preserve">30 days</w:t>
            </w:r>
          </w:p>
        </w:tc>
      </w:tr>
      <w:tr>
        <w:tc>
          <w:tcPr>
            <w:tcW w:type="dxa" w:w="220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bCs/>
                <w:color w:val="4A4A4A"/>
                <w:sz w:val="19"/>
                <w:szCs w:val="19"/>
              </w:rPr>
              <w:t xml:space="preserve">ranking.recomputed</w:t>
            </w:r>
          </w:p>
        </w:tc>
        <w:tc>
          <w:tcPr>
            <w:tcW w:type="dxa" w:w="180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val="false"/>
                <w:bCs w:val="false"/>
                <w:color w:val="4A4A4A"/>
                <w:sz w:val="19"/>
                <w:szCs w:val="19"/>
              </w:rPr>
              <w:t xml:space="preserve">candidate-ranking-engine</w:t>
            </w:r>
          </w:p>
        </w:tc>
        <w:tc>
          <w:tcPr>
            <w:tcW w:type="dxa" w:w="250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val="false"/>
                <w:bCs w:val="false"/>
                <w:color w:val="4A4A4A"/>
                <w:sz w:val="19"/>
                <w:szCs w:val="19"/>
              </w:rPr>
              <w:t xml:space="preserve">analytics-service, admin-service</w:t>
            </w:r>
          </w:p>
        </w:tc>
        <w:tc>
          <w:tcPr>
            <w:tcW w:type="dxa" w:w="120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val="false"/>
                <w:bCs w:val="false"/>
                <w:color w:val="4A4A4A"/>
                <w:sz w:val="19"/>
                <w:szCs w:val="19"/>
              </w:rPr>
              <w:t xml:space="preserve">3</w:t>
            </w:r>
          </w:p>
        </w:tc>
        <w:tc>
          <w:tcPr>
            <w:tcW w:type="dxa" w:w="1660"/>
            <w:tcBorders>
              <w:top w:val="single" w:color="B2DFB8" w:sz="1"/>
              <w:left w:val="single" w:color="B2DFB8" w:sz="1"/>
              <w:bottom w:val="single" w:color="B2DFB8" w:sz="1"/>
              <w:right w:val="single" w:color="B2DFB8" w:sz="1"/>
            </w:tcBorders>
            <w:shd w:fill="F4F6F4" w:val="clear"/>
            <w:tcMar>
              <w:top w:type="dxa" w:w="80"/>
              <w:left w:type="dxa" w:w="120"/>
              <w:bottom w:type="dxa" w:w="80"/>
              <w:right w:type="dxa" w:w="120"/>
            </w:tcMar>
          </w:tcPr>
          <w:p>
            <w:r>
              <w:rPr>
                <w:rFonts w:ascii="Arial" w:cs="Arial" w:eastAsia="Arial" w:hAnsi="Arial"/>
                <w:b w:val="false"/>
                <w:bCs w:val="false"/>
                <w:color w:val="4A4A4A"/>
                <w:sz w:val="19"/>
                <w:szCs w:val="19"/>
              </w:rPr>
              <w:t xml:space="preserve">14 days</w:t>
            </w:r>
          </w:p>
        </w:tc>
      </w:tr>
    </w:tbl>
    <w:p>
      <w:pPr>
        <w:spacing w:before="100" w:after="0"/>
      </w:pPr>
      <w:r>
        <w:t xml:space="preserve"/>
      </w:r>
    </w:p>
    <w:p>
      <w:pPr>
        <w:pStyle w:val="Heading2"/>
        <w:spacing w:before="280" w:after="80"/>
      </w:pPr>
      <w:r>
        <w:rPr>
          <w:rFonts w:ascii="Arial" w:cs="Arial" w:eastAsia="Arial" w:hAnsi="Arial"/>
          <w:b/>
          <w:bCs/>
          <w:color w:val="1A6B3A"/>
          <w:sz w:val="28"/>
          <w:szCs w:val="28"/>
        </w:rPr>
        <w:t xml:space="preserve">6.2  Kafka Event Payload: candidate.rank.computed</w:t>
      </w:r>
    </w:p>
    <w:p>
      <w:pPr>
        <w:spacing w:before="80" w:after="80"/>
      </w:pPr>
      <w:r>
        <w:rPr>
          <w:rFonts w:ascii="Arial" w:cs="Arial" w:eastAsia="Arial" w:hAnsi="Arial"/>
          <w:b w:val="false"/>
          <w:bCs w:val="false"/>
          <w:color w:val="1A1A1A"/>
          <w:sz w:val="22"/>
          <w:szCs w:val="22"/>
        </w:rPr>
        <w:t xml:space="preserve">The candidate.rank.computed event payload carries the following fields, serialized as Avro and validated against the Apicurio Schema Registry:</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tenant_id — Tenant scope identifier</w:t>
      </w:r>
    </w:p>
    <w:p>
      <w:pPr>
        <w:pStyle w:val="ListParagraph"/>
        <w:numPr>
          <w:ilvl w:val="0"/>
          <w:numId w:val="2"/>
        </w:numPr>
        <w:spacing w:before="60" w:after="60"/>
      </w:pPr>
      <w:r>
        <w:rPr>
          <w:rFonts w:ascii="Arial" w:cs="Arial" w:eastAsia="Arial" w:hAnsi="Arial"/>
          <w:b w:val="false"/>
          <w:bCs w:val="false"/>
          <w:color w:val="1A1A1A"/>
          <w:sz w:val="22"/>
          <w:szCs w:val="22"/>
        </w:rPr>
        <w:t xml:space="preserve">job_id — Job posting context for this ranking</w:t>
      </w:r>
    </w:p>
    <w:p>
      <w:pPr>
        <w:pStyle w:val="ListParagraph"/>
        <w:numPr>
          <w:ilvl w:val="0"/>
          <w:numId w:val="2"/>
        </w:numPr>
        <w:spacing w:before="60" w:after="60"/>
      </w:pPr>
      <w:r>
        <w:rPr>
          <w:rFonts w:ascii="Arial" w:cs="Arial" w:eastAsia="Arial" w:hAnsi="Arial"/>
          <w:b w:val="false"/>
          <w:bCs w:val="false"/>
          <w:color w:val="1A1A1A"/>
          <w:sz w:val="22"/>
          <w:szCs w:val="22"/>
        </w:rPr>
        <w:t xml:space="preserve">candidate_id — Ecoskiller candidate UUID</w:t>
      </w:r>
    </w:p>
    <w:p>
      <w:pPr>
        <w:pStyle w:val="ListParagraph"/>
        <w:numPr>
          <w:ilvl w:val="0"/>
          <w:numId w:val="2"/>
        </w:numPr>
        <w:spacing w:before="60" w:after="60"/>
      </w:pPr>
      <w:r>
        <w:rPr>
          <w:rFonts w:ascii="Arial" w:cs="Arial" w:eastAsia="Arial" w:hAnsi="Arial"/>
          <w:b w:val="false"/>
          <w:bCs w:val="false"/>
          <w:color w:val="1A1A1A"/>
          <w:sz w:val="22"/>
          <w:szCs w:val="22"/>
        </w:rPr>
        <w:t xml:space="preserve">composite_score — Final weighted aggregate score (0–100 float)</w:t>
      </w:r>
    </w:p>
    <w:p>
      <w:pPr>
        <w:pStyle w:val="ListParagraph"/>
        <w:numPr>
          <w:ilvl w:val="0"/>
          <w:numId w:val="2"/>
        </w:numPr>
        <w:spacing w:before="60" w:after="60"/>
      </w:pPr>
      <w:r>
        <w:rPr>
          <w:rFonts w:ascii="Arial" w:cs="Arial" w:eastAsia="Arial" w:hAnsi="Arial"/>
          <w:b w:val="false"/>
          <w:bCs w:val="false"/>
          <w:color w:val="1A1A1A"/>
          <w:sz w:val="22"/>
          <w:szCs w:val="22"/>
        </w:rPr>
        <w:t xml:space="preserve">dimension_scores — Object: {communication, problem_solving, technical, collaboration, leadership, innovation, adaptability, consistency}</w:t>
      </w:r>
    </w:p>
    <w:p>
      <w:pPr>
        <w:pStyle w:val="ListParagraph"/>
        <w:numPr>
          <w:ilvl w:val="0"/>
          <w:numId w:val="2"/>
        </w:numPr>
        <w:spacing w:before="60" w:after="60"/>
      </w:pPr>
      <w:r>
        <w:rPr>
          <w:rFonts w:ascii="Arial" w:cs="Arial" w:eastAsia="Arial" w:hAnsi="Arial"/>
          <w:b w:val="false"/>
          <w:bCs w:val="false"/>
          <w:color w:val="1A1A1A"/>
          <w:sz w:val="22"/>
          <w:szCs w:val="22"/>
        </w:rPr>
        <w:t xml:space="preserve">rank_position — Ordinal rank within the job cohort (1 = top)</w:t>
      </w:r>
    </w:p>
    <w:p>
      <w:pPr>
        <w:pStyle w:val="ListParagraph"/>
        <w:numPr>
          <w:ilvl w:val="0"/>
          <w:numId w:val="2"/>
        </w:numPr>
        <w:spacing w:before="60" w:after="60"/>
      </w:pPr>
      <w:r>
        <w:rPr>
          <w:rFonts w:ascii="Arial" w:cs="Arial" w:eastAsia="Arial" w:hAnsi="Arial"/>
          <w:b w:val="false"/>
          <w:bCs w:val="false"/>
          <w:color w:val="1A1A1A"/>
          <w:sz w:val="22"/>
          <w:szCs w:val="22"/>
        </w:rPr>
        <w:t xml:space="preserve">cohort_size — Total candidates ranked in this cohort</w:t>
      </w:r>
    </w:p>
    <w:p>
      <w:pPr>
        <w:pStyle w:val="ListParagraph"/>
        <w:numPr>
          <w:ilvl w:val="0"/>
          <w:numId w:val="2"/>
        </w:numPr>
        <w:spacing w:before="60" w:after="60"/>
      </w:pPr>
      <w:r>
        <w:rPr>
          <w:rFonts w:ascii="Arial" w:cs="Arial" w:eastAsia="Arial" w:hAnsi="Arial"/>
          <w:b w:val="false"/>
          <w:bCs w:val="false"/>
          <w:color w:val="1A1A1A"/>
          <w:sz w:val="22"/>
          <w:szCs w:val="22"/>
        </w:rPr>
        <w:t xml:space="preserve">belt_eligible — Boolean flag signaling threshold breach to certification-engine</w:t>
      </w:r>
    </w:p>
    <w:p>
      <w:pPr>
        <w:pStyle w:val="ListParagraph"/>
        <w:numPr>
          <w:ilvl w:val="0"/>
          <w:numId w:val="2"/>
        </w:numPr>
        <w:spacing w:before="60" w:after="60"/>
      </w:pPr>
      <w:r>
        <w:rPr>
          <w:rFonts w:ascii="Arial" w:cs="Arial" w:eastAsia="Arial" w:hAnsi="Arial"/>
          <w:b w:val="false"/>
          <w:bCs w:val="false"/>
          <w:color w:val="1A1A1A"/>
          <w:sz w:val="22"/>
          <w:szCs w:val="22"/>
        </w:rPr>
        <w:t xml:space="preserve">assessment_sources — Array of assessment types contributing to this rank</w:t>
      </w:r>
    </w:p>
    <w:p>
      <w:pPr>
        <w:pStyle w:val="ListParagraph"/>
        <w:numPr>
          <w:ilvl w:val="0"/>
          <w:numId w:val="2"/>
        </w:numPr>
        <w:spacing w:before="60" w:after="60"/>
      </w:pPr>
      <w:r>
        <w:rPr>
          <w:rFonts w:ascii="Arial" w:cs="Arial" w:eastAsia="Arial" w:hAnsi="Arial"/>
          <w:b w:val="false"/>
          <w:bCs w:val="false"/>
          <w:color w:val="1A1A1A"/>
          <w:sz w:val="22"/>
          <w:szCs w:val="22"/>
        </w:rPr>
        <w:t xml:space="preserve">computed_at — ISO-8601 timestamp of computation</w:t>
      </w:r>
    </w:p>
    <w:p>
      <w:pPr>
        <w:pStyle w:val="ListParagraph"/>
        <w:numPr>
          <w:ilvl w:val="0"/>
          <w:numId w:val="2"/>
        </w:numPr>
        <w:spacing w:before="60" w:after="60"/>
      </w:pPr>
      <w:r>
        <w:rPr>
          <w:rFonts w:ascii="Arial" w:cs="Arial" w:eastAsia="Arial" w:hAnsi="Arial"/>
          <w:b w:val="false"/>
          <w:bCs w:val="false"/>
          <w:color w:val="1A1A1A"/>
          <w:sz w:val="22"/>
          <w:szCs w:val="22"/>
        </w:rPr>
        <w:t xml:space="preserve">schema_version — Avro schema version reference from Apicurio Registry</w:t>
      </w:r>
    </w:p>
    <w:p>
      <w:pPr>
        <w:spacing w:before="100" w:after="0"/>
      </w:pPr>
      <w:r>
        <w:t xml:space="preserve"/>
      </w:r>
    </w:p>
    <w:p>
      <w:pPr>
        <w:pStyle w:val="Heading2"/>
        <w:spacing w:before="280" w:after="80"/>
      </w:pPr>
      <w:r>
        <w:rPr>
          <w:rFonts w:ascii="Arial" w:cs="Arial" w:eastAsia="Arial" w:hAnsi="Arial"/>
          <w:b/>
          <w:bCs/>
          <w:color w:val="1A6B3A"/>
          <w:sz w:val="28"/>
          <w:szCs w:val="28"/>
        </w:rPr>
        <w:t xml:space="preserve">6.3  REST API Responses</w:t>
      </w:r>
    </w:p>
    <w:p>
      <w:pPr>
        <w:spacing w:before="80" w:after="80"/>
      </w:pPr>
      <w:r>
        <w:rPr>
          <w:rFonts w:ascii="Arial" w:cs="Arial" w:eastAsia="Arial" w:hAnsi="Arial"/>
          <w:b w:val="false"/>
          <w:bCs w:val="false"/>
          <w:color w:val="1A1A1A"/>
          <w:sz w:val="22"/>
          <w:szCs w:val="22"/>
        </w:rPr>
        <w:t xml:space="preserve">All REST API responses are JSON, scoped to the authenticated tenant, and include the following key fields in ranked-list responses:</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ranked_candidates — Array of candidate objects ordered by composite_score descending</w:t>
      </w:r>
    </w:p>
    <w:p>
      <w:pPr>
        <w:pStyle w:val="ListParagraph"/>
        <w:numPr>
          <w:ilvl w:val="0"/>
          <w:numId w:val="2"/>
        </w:numPr>
        <w:spacing w:before="60" w:after="60"/>
      </w:pPr>
      <w:r>
        <w:rPr>
          <w:rFonts w:ascii="Arial" w:cs="Arial" w:eastAsia="Arial" w:hAnsi="Arial"/>
          <w:b w:val="false"/>
          <w:bCs w:val="false"/>
          <w:color w:val="1A1A1A"/>
          <w:sz w:val="22"/>
          <w:szCs w:val="22"/>
        </w:rPr>
        <w:t xml:space="preserve">Per candidate: candidate_id, display_name, composite_score, rank_position, dimension_scores, belt_eligible, assessment_sources</w:t>
      </w:r>
    </w:p>
    <w:p>
      <w:pPr>
        <w:pStyle w:val="ListParagraph"/>
        <w:numPr>
          <w:ilvl w:val="0"/>
          <w:numId w:val="2"/>
        </w:numPr>
        <w:spacing w:before="60" w:after="60"/>
      </w:pPr>
      <w:r>
        <w:rPr>
          <w:rFonts w:ascii="Arial" w:cs="Arial" w:eastAsia="Arial" w:hAnsi="Arial"/>
          <w:b w:val="false"/>
          <w:bCs w:val="false"/>
          <w:color w:val="1A1A1A"/>
          <w:sz w:val="22"/>
          <w:szCs w:val="22"/>
        </w:rPr>
        <w:t xml:space="preserve">pagination metadata — total_count, page, page_size</w:t>
      </w:r>
    </w:p>
    <w:p>
      <w:pPr>
        <w:pStyle w:val="ListParagraph"/>
        <w:numPr>
          <w:ilvl w:val="0"/>
          <w:numId w:val="2"/>
        </w:numPr>
        <w:spacing w:before="60" w:after="60"/>
      </w:pPr>
      <w:r>
        <w:rPr>
          <w:rFonts w:ascii="Arial" w:cs="Arial" w:eastAsia="Arial" w:hAnsi="Arial"/>
          <w:b w:val="false"/>
          <w:bCs w:val="false"/>
          <w:color w:val="1A1A1A"/>
          <w:sz w:val="22"/>
          <w:szCs w:val="22"/>
        </w:rPr>
        <w:t xml:space="preserve">cohort_stats — mean_score, median_score, score_stddev for the job cohort</w:t>
      </w:r>
    </w:p>
    <w:p>
      <w:pPr>
        <w:pStyle w:val="ListParagraph"/>
        <w:numPr>
          <w:ilvl w:val="0"/>
          <w:numId w:val="2"/>
        </w:numPr>
        <w:spacing w:before="60" w:after="60"/>
      </w:pPr>
      <w:r>
        <w:rPr>
          <w:rFonts w:ascii="Arial" w:cs="Arial" w:eastAsia="Arial" w:hAnsi="Arial"/>
          <w:b w:val="false"/>
          <w:bCs w:val="false"/>
          <w:color w:val="1A1A1A"/>
          <w:sz w:val="22"/>
          <w:szCs w:val="22"/>
        </w:rPr>
        <w:t xml:space="preserve">computed_at — Timestamp of last ranking computation for this job</w:t>
      </w:r>
    </w:p>
    <w:p>
      <w:pPr>
        <w:spacing w:before="100" w:after="0"/>
      </w:pPr>
      <w:r>
        <w:t xml:space="preserve"/>
      </w:r>
    </w:p>
    <w:p>
      <w:pPr>
        <w:pStyle w:val="Heading2"/>
        <w:spacing w:before="280" w:after="80"/>
      </w:pPr>
      <w:r>
        <w:rPr>
          <w:rFonts w:ascii="Arial" w:cs="Arial" w:eastAsia="Arial" w:hAnsi="Arial"/>
          <w:b/>
          <w:bCs/>
          <w:color w:val="1A6B3A"/>
          <w:sz w:val="28"/>
          <w:szCs w:val="28"/>
        </w:rPr>
        <w:t xml:space="preserve">6.4  PostgreSQL Persistence</w:t>
      </w:r>
    </w:p>
    <w:p>
      <w:pPr>
        <w:spacing w:before="80" w:after="80"/>
      </w:pPr>
      <w:r>
        <w:rPr>
          <w:rFonts w:ascii="Arial" w:cs="Arial" w:eastAsia="Arial" w:hAnsi="Arial"/>
          <w:b w:val="false"/>
          <w:bCs w:val="false"/>
          <w:color w:val="1A1A1A"/>
          <w:sz w:val="22"/>
          <w:szCs w:val="22"/>
        </w:rPr>
        <w:t xml:space="preserve">The service persists all finalized ranking records to the following tables in the Ecoskiller PostgreSQL 15 cluster:</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candidate_rankings — Primary ranking table. Stores composite_score, rank_position, dimension_scores (JSONB), belt_eligible, computed_at per (tenant_id, job_id, candidate_id).</w:t>
      </w:r>
    </w:p>
    <w:p>
      <w:pPr>
        <w:pStyle w:val="ListParagraph"/>
        <w:numPr>
          <w:ilvl w:val="0"/>
          <w:numId w:val="2"/>
        </w:numPr>
        <w:spacing w:before="60" w:after="60"/>
      </w:pPr>
      <w:r>
        <w:rPr>
          <w:rFonts w:ascii="Arial" w:cs="Arial" w:eastAsia="Arial" w:hAnsi="Arial"/>
          <w:b w:val="false"/>
          <w:bCs w:val="false"/>
          <w:color w:val="1A1A1A"/>
          <w:sz w:val="22"/>
          <w:szCs w:val="22"/>
        </w:rPr>
        <w:t xml:space="preserve">ranking_computation_log — Audit table logging each recomputation event with trigger source, affected candidates count, and computation duration.</w:t>
      </w:r>
    </w:p>
    <w:p>
      <w:pPr>
        <w:pStyle w:val="ListParagraph"/>
        <w:numPr>
          <w:ilvl w:val="0"/>
          <w:numId w:val="2"/>
        </w:numPr>
        <w:spacing w:before="60" w:after="60"/>
      </w:pPr>
      <w:r>
        <w:rPr>
          <w:rFonts w:ascii="Arial" w:cs="Arial" w:eastAsia="Arial" w:hAnsi="Arial"/>
          <w:b w:val="false"/>
          <w:bCs w:val="false"/>
          <w:color w:val="1A1A1A"/>
          <w:sz w:val="22"/>
          <w:szCs w:val="22"/>
        </w:rPr>
        <w:t xml:space="preserve">job_scoring_config — Read-only at compute time. Stores weight matrices per job, versioned and immutable post-assessment-start.</w:t>
      </w:r>
    </w:p>
    <w:p>
      <w:pPr>
        <w:spacing w:before="160" w:after="0"/>
      </w:pPr>
      <w:r>
        <w:t xml:space="preserve"/>
      </w:r>
    </w:p>
    <w:p>
      <w:pPr>
        <w:pStyle w:val="Heading1"/>
        <w:spacing w:before="360" w:after="120"/>
      </w:pPr>
      <w:r>
        <w:rPr>
          <w:rFonts w:ascii="Arial" w:cs="Arial" w:eastAsia="Arial" w:hAnsi="Arial"/>
          <w:b/>
          <w:bCs/>
          <w:color w:val="0D3D20"/>
          <w:sz w:val="36"/>
          <w:szCs w:val="36"/>
        </w:rPr>
        <w:t xml:space="preserve">7. Dependencies</w:t>
      </w:r>
    </w:p>
    <w:p>
      <w:pPr>
        <w:pBdr>
          <w:bottom w:val="single" w:color="28A745" w:sz="6" w:space="1"/>
        </w:pBdr>
        <w:spacing w:before="100" w:after="100"/>
      </w:pPr>
    </w:p>
    <w:p>
      <w:pPr>
        <w:spacing w:before="80" w:after="0"/>
      </w:pPr>
      <w:r>
        <w:t xml:space="preserve"/>
      </w:r>
    </w:p>
    <w:p>
      <w:pPr>
        <w:pStyle w:val="Heading2"/>
        <w:spacing w:before="280" w:after="80"/>
      </w:pPr>
      <w:r>
        <w:rPr>
          <w:rFonts w:ascii="Arial" w:cs="Arial" w:eastAsia="Arial" w:hAnsi="Arial"/>
          <w:b/>
          <w:bCs/>
          <w:color w:val="1A6B3A"/>
          <w:sz w:val="28"/>
          <w:szCs w:val="28"/>
        </w:rPr>
        <w:t xml:space="preserve">7.1  Upstream Service Dependencies</w:t>
      </w:r>
    </w:p>
    <w:p>
      <w:pPr>
        <w:spacing w:before="80" w:after="80"/>
      </w:pPr>
      <w:r>
        <w:rPr>
          <w:rFonts w:ascii="Arial" w:cs="Arial" w:eastAsia="Arial" w:hAnsi="Arial"/>
          <w:b w:val="false"/>
          <w:bCs w:val="false"/>
          <w:color w:val="1A1A1A"/>
          <w:sz w:val="22"/>
          <w:szCs w:val="22"/>
        </w:rPr>
        <w:t xml:space="preserve">The candidate-ranking-engine depends on data produced by the following Ecoskiller microservices: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2DFB8" w:sz="1"/>
              <w:left w:val="single" w:color="B2DFB8" w:sz="1"/>
              <w:bottom w:val="single" w:color="B2DFB8" w:sz="1"/>
              <w:right w:val="single" w:color="B2DFB8" w:sz="1"/>
            </w:tcBorders>
            <w:shd w:fill="1A6B3A" w:val="clear"/>
            <w:tcMar>
              <w:top w:type="dxa" w:w="100"/>
              <w:left w:type="dxa" w:w="150"/>
              <w:bottom w:type="dxa" w:w="100"/>
              <w:right w:type="dxa" w:w="150"/>
            </w:tcMar>
            <w:vAlign w:val="center"/>
          </w:tcPr>
          <w:p>
            <w:r>
              <w:rPr>
                <w:rFonts w:ascii="Arial" w:cs="Arial" w:eastAsia="Arial" w:hAnsi="Arial"/>
                <w:b/>
                <w:bCs/>
                <w:color w:val="FFFFFF"/>
                <w:sz w:val="22"/>
                <w:szCs w:val="22"/>
              </w:rPr>
              <w:t xml:space="preserve">Service</w:t>
            </w:r>
          </w:p>
        </w:tc>
        <w:tc>
          <w:tcPr>
            <w:tcW w:type="dxa" w:w="696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tcPr>
          <w:p>
            <w:r>
              <w:rPr>
                <w:rFonts w:ascii="Arial" w:cs="Arial" w:eastAsia="Arial" w:hAnsi="Arial"/>
                <w:b/>
                <w:bCs/>
                <w:color w:val="0D3D20"/>
                <w:sz w:val="22"/>
                <w:szCs w:val="22"/>
              </w:rPr>
              <w:t xml:space="preserve">Dependency Type &amp; Purpose</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gd-orchestrator</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Kafka producer → gd.completed events with GD session score payloads</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interview-service</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Kafka producer → interview.completed events with interview dimension scores</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scoring-engine</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Kafka producer → match.scored events with dojo coding challenge results</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passive-intelligence-engine (XI)</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Kafka producer → intelligence.signal.emitted events with 8-dimension behavioral vectors</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admin-service</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Kafka producer → assessment.score.corrected events for corrective recomputation triggers</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auth-service (Keycloak)</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JWT validation on all incoming REST API requests; RBAC claim extraction for tenant scoping</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job-service</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REST → Fetch job_scoring_config weight matrices at job context initialization</w:t>
            </w:r>
          </w:p>
        </w:tc>
      </w:tr>
    </w:tbl>
    <w:p>
      <w:pPr>
        <w:spacing w:before="100" w:after="0"/>
      </w:pPr>
      <w:r>
        <w:t xml:space="preserve"/>
      </w:r>
    </w:p>
    <w:p>
      <w:pPr>
        <w:pStyle w:val="Heading2"/>
        <w:spacing w:before="280" w:after="80"/>
      </w:pPr>
      <w:r>
        <w:rPr>
          <w:rFonts w:ascii="Arial" w:cs="Arial" w:eastAsia="Arial" w:hAnsi="Arial"/>
          <w:b/>
          <w:bCs/>
          <w:color w:val="1A6B3A"/>
          <w:sz w:val="28"/>
          <w:szCs w:val="28"/>
        </w:rPr>
        <w:t xml:space="preserve">7.2  Infrastructure Dependencies</w:t>
      </w:r>
    </w:p>
    <w:p>
      <w:pPr>
        <w:spacing w:before="80" w:after="80"/>
      </w:pPr>
      <w:r>
        <w:rPr>
          <w:rFonts w:ascii="Arial" w:cs="Arial" w:eastAsia="Arial" w:hAnsi="Arial"/>
          <w:b w:val="false"/>
          <w:bCs w:val="false"/>
          <w:color w:val="1A1A1A"/>
          <w:sz w:val="22"/>
          <w:szCs w:val="22"/>
        </w:rPr>
        <w:t xml:space="preserve">The service depends on the following shared Ecoskiller infrastructure components: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2DFB8" w:sz="1"/>
              <w:left w:val="single" w:color="B2DFB8" w:sz="1"/>
              <w:bottom w:val="single" w:color="B2DFB8" w:sz="1"/>
              <w:right w:val="single" w:color="B2DFB8" w:sz="1"/>
            </w:tcBorders>
            <w:shd w:fill="1A6B3A" w:val="clear"/>
            <w:tcMar>
              <w:top w:type="dxa" w:w="100"/>
              <w:left w:type="dxa" w:w="150"/>
              <w:bottom w:type="dxa" w:w="100"/>
              <w:right w:type="dxa" w:w="150"/>
            </w:tcMar>
            <w:vAlign w:val="center"/>
          </w:tcPr>
          <w:p>
            <w:r>
              <w:rPr>
                <w:rFonts w:ascii="Arial" w:cs="Arial" w:eastAsia="Arial" w:hAnsi="Arial"/>
                <w:b/>
                <w:bCs/>
                <w:color w:val="FFFFFF"/>
                <w:sz w:val="22"/>
                <w:szCs w:val="22"/>
              </w:rPr>
              <w:t xml:space="preserve">Infrastructure</w:t>
            </w:r>
          </w:p>
        </w:tc>
        <w:tc>
          <w:tcPr>
            <w:tcW w:type="dxa" w:w="696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tcPr>
          <w:p>
            <w:r>
              <w:rPr>
                <w:rFonts w:ascii="Arial" w:cs="Arial" w:eastAsia="Arial" w:hAnsi="Arial"/>
                <w:b/>
                <w:bCs/>
                <w:color w:val="0D3D20"/>
                <w:sz w:val="22"/>
                <w:szCs w:val="22"/>
              </w:rPr>
              <w:t xml:space="preserve">Purpose</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Apache Kafka 3.7.0</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Primary event bus for async score event consumption and rank event publication</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PostgreSQL 15</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Durable storage for finalized ranking records; RLS enforces tenant isolation</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Redis 7</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In-memory sorted set cache for live leaderboards; key-prefix tenant namespacing</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Apicurio Schema Registry</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Avro schema validation for all consumed and produced Kafka events</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Prometheus + Grafana</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Metrics emission (ranking compute latency, Kafka consumer lag, DLQ event count)</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OpenTelemetry Collector</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Distributed trace propagation across service boundaries</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NGINX Ingress Controller</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External REST API routing and TLS termination</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Keycloak 24.0</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OAuth2/OIDC JWT issuance for REST API authentication</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k3s (GCP asia-south1 + AWS ap-south-1)</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Kubernetes orchestration, HPA, ConfigMap and Secret mounting</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Flyway</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PostgreSQL schema version control for candidate_rankings and related tables</w:t>
            </w:r>
          </w:p>
        </w:tc>
      </w:tr>
    </w:tbl>
    <w:p>
      <w:pPr>
        <w:spacing w:before="160" w:after="0"/>
      </w:pPr>
      <w:r>
        <w:t xml:space="preserve"/>
      </w:r>
    </w:p>
    <w:p>
      <w:pPr>
        <w:pStyle w:val="Heading1"/>
        <w:spacing w:before="360" w:after="120"/>
      </w:pPr>
      <w:r>
        <w:rPr>
          <w:rFonts w:ascii="Arial" w:cs="Arial" w:eastAsia="Arial" w:hAnsi="Arial"/>
          <w:b/>
          <w:bCs/>
          <w:color w:val="0D3D20"/>
          <w:sz w:val="36"/>
          <w:szCs w:val="36"/>
        </w:rPr>
        <w:t xml:space="preserve">8. Tech Stack</w:t>
      </w:r>
    </w:p>
    <w:p>
      <w:pPr>
        <w:pBdr>
          <w:bottom w:val="single" w:color="28A745" w:sz="6" w:space="1"/>
        </w:pBdr>
        <w:spacing w:before="100" w:after="100"/>
      </w:pPr>
    </w:p>
    <w:p>
      <w:pPr>
        <w:spacing w:before="80" w:after="0"/>
      </w:pPr>
      <w:r>
        <w:t xml:space="preserve"/>
      </w:r>
    </w:p>
    <w:p>
      <w:pPr>
        <w:spacing w:before="80" w:after="80"/>
      </w:pPr>
      <w:r>
        <w:rPr>
          <w:rFonts w:ascii="Arial" w:cs="Arial" w:eastAsia="Arial" w:hAnsi="Arial"/>
          <w:b w:val="false"/>
          <w:bCs w:val="false"/>
          <w:color w:val="1A1A1A"/>
          <w:sz w:val="22"/>
          <w:szCs w:val="22"/>
        </w:rPr>
        <w:t xml:space="preserve">The candidate-ranking-engine is built using the same Node.js microservice baseline as all 13 custom Ecoskiller services, containerized as a ~1.58 GB Docker image (alpine base optimization planned) and deployed via Helm charts to the k3s cluster.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B2DFB8" w:sz="1"/>
              <w:left w:val="single" w:color="B2DFB8" w:sz="1"/>
              <w:bottom w:val="single" w:color="B2DFB8" w:sz="1"/>
              <w:right w:val="single" w:color="B2DFB8"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1400"/>
            <w:tcBorders>
              <w:top w:val="single" w:color="B2DFB8" w:sz="1"/>
              <w:left w:val="single" w:color="B2DFB8" w:sz="1"/>
              <w:bottom w:val="single" w:color="B2DFB8" w:sz="1"/>
              <w:right w:val="single" w:color="B2DFB8"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Version</w:t>
            </w:r>
          </w:p>
        </w:tc>
        <w:tc>
          <w:tcPr>
            <w:tcW w:type="dxa" w:w="5160"/>
            <w:tcBorders>
              <w:top w:val="single" w:color="B2DFB8" w:sz="1"/>
              <w:left w:val="single" w:color="B2DFB8" w:sz="1"/>
              <w:bottom w:val="single" w:color="B2DFB8" w:sz="1"/>
              <w:right w:val="single" w:color="B2DFB8" w:sz="1"/>
            </w:tcBorders>
            <w:shd w:fill="1A6B3A" w:val="clear"/>
            <w:tcMar>
              <w:top w:type="dxa" w:w="100"/>
              <w:left w:type="dxa" w:w="150"/>
              <w:bottom w:type="dxa" w:w="100"/>
              <w:right w:type="dxa" w:w="150"/>
            </w:tcMar>
          </w:tcPr>
          <w:p>
            <w:r>
              <w:rPr>
                <w:rFonts w:ascii="Arial" w:cs="Arial" w:eastAsia="Arial" w:hAnsi="Arial"/>
                <w:b/>
                <w:bCs/>
                <w:color w:val="FFFFFF"/>
                <w:sz w:val="20"/>
                <w:szCs w:val="20"/>
              </w:rPr>
              <w:t xml:space="preserve">Role in Service</w:t>
            </w:r>
          </w:p>
        </w:tc>
      </w:tr>
      <w:tr>
        <w:tc>
          <w:tcPr>
            <w:tcW w:type="dxa" w:w="28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b/>
                <w:bCs/>
                <w:color w:val="0D3D20"/>
                <w:sz w:val="20"/>
                <w:szCs w:val="20"/>
              </w:rPr>
              <w:t xml:space="preserve">Node.js (JavaScript)</w:t>
            </w:r>
          </w:p>
        </w:tc>
        <w:tc>
          <w:tcPr>
            <w:tcW w:type="dxa" w:w="14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LTS 20.x</w:t>
            </w:r>
          </w:p>
        </w:tc>
        <w:tc>
          <w:tcPr>
            <w:tcW w:type="dxa" w:w="516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Primary runtime for all scoring computation and Kafka consumer logic</w:t>
            </w:r>
          </w:p>
        </w:tc>
      </w:tr>
      <w:tr>
        <w:tc>
          <w:tcPr>
            <w:tcW w:type="dxa" w:w="28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b/>
                <w:bCs/>
                <w:color w:val="0D3D20"/>
                <w:sz w:val="20"/>
                <w:szCs w:val="20"/>
              </w:rPr>
              <w:t xml:space="preserve">Apache Kafka</w:t>
            </w:r>
          </w:p>
        </w:tc>
        <w:tc>
          <w:tcPr>
            <w:tcW w:type="dxa" w:w="14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3.7.0</w:t>
            </w:r>
          </w:p>
        </w:tc>
        <w:tc>
          <w:tcPr>
            <w:tcW w:type="dxa" w:w="516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Event bus — consuming gd.completed, interview.completed, match.scored; publishing candidate.rank.computed</w:t>
            </w:r>
          </w:p>
        </w:tc>
      </w:tr>
      <w:tr>
        <w:tc>
          <w:tcPr>
            <w:tcW w:type="dxa" w:w="28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b/>
                <w:bCs/>
                <w:color w:val="0D3D20"/>
                <w:sz w:val="20"/>
                <w:szCs w:val="20"/>
              </w:rPr>
              <w:t xml:space="preserve">KafkaJS</w:t>
            </w:r>
          </w:p>
        </w:tc>
        <w:tc>
          <w:tcPr>
            <w:tcW w:type="dxa" w:w="14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Latest</w:t>
            </w:r>
          </w:p>
        </w:tc>
        <w:tc>
          <w:tcPr>
            <w:tcW w:type="dxa" w:w="516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Node.js Kafka client library for consumer group management, offset commits, and DLQ routing</w:t>
            </w:r>
          </w:p>
        </w:tc>
      </w:tr>
      <w:tr>
        <w:tc>
          <w:tcPr>
            <w:tcW w:type="dxa" w:w="28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b/>
                <w:bCs/>
                <w:color w:val="0D3D20"/>
                <w:sz w:val="20"/>
                <w:szCs w:val="20"/>
              </w:rPr>
              <w:t xml:space="preserve">PostgreSQL</w:t>
            </w:r>
          </w:p>
        </w:tc>
        <w:tc>
          <w:tcPr>
            <w:tcW w:type="dxa" w:w="14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15</w:t>
            </w:r>
          </w:p>
        </w:tc>
        <w:tc>
          <w:tcPr>
            <w:tcW w:type="dxa" w:w="516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Durable storage for finalized rankings, scoring weight configs, and audit logs</w:t>
            </w:r>
          </w:p>
        </w:tc>
      </w:tr>
      <w:tr>
        <w:tc>
          <w:tcPr>
            <w:tcW w:type="dxa" w:w="28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b/>
                <w:bCs/>
                <w:color w:val="0D3D20"/>
                <w:sz w:val="20"/>
                <w:szCs w:val="20"/>
              </w:rPr>
              <w:t xml:space="preserve">node-postgres (pg)</w:t>
            </w:r>
          </w:p>
        </w:tc>
        <w:tc>
          <w:tcPr>
            <w:tcW w:type="dxa" w:w="14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Latest</w:t>
            </w:r>
          </w:p>
        </w:tc>
        <w:tc>
          <w:tcPr>
            <w:tcW w:type="dxa" w:w="516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PostgreSQL client library; parameterized queries; RLS-enforcing service account</w:t>
            </w:r>
          </w:p>
        </w:tc>
      </w:tr>
      <w:tr>
        <w:tc>
          <w:tcPr>
            <w:tcW w:type="dxa" w:w="28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b/>
                <w:bCs/>
                <w:color w:val="0D3D20"/>
                <w:sz w:val="20"/>
                <w:szCs w:val="20"/>
              </w:rPr>
              <w:t xml:space="preserve">Redis</w:t>
            </w:r>
          </w:p>
        </w:tc>
        <w:tc>
          <w:tcPr>
            <w:tcW w:type="dxa" w:w="14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7</w:t>
            </w:r>
          </w:p>
        </w:tc>
        <w:tc>
          <w:tcPr>
            <w:tcW w:type="dxa" w:w="516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Sorted set leaderboard cache; tenant-scoped key namespacing; sub-10ms leaderboard reads</w:t>
            </w:r>
          </w:p>
        </w:tc>
      </w:tr>
      <w:tr>
        <w:tc>
          <w:tcPr>
            <w:tcW w:type="dxa" w:w="28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b/>
                <w:bCs/>
                <w:color w:val="0D3D20"/>
                <w:sz w:val="20"/>
                <w:szCs w:val="20"/>
              </w:rPr>
              <w:t xml:space="preserve">ioredis</w:t>
            </w:r>
          </w:p>
        </w:tc>
        <w:tc>
          <w:tcPr>
            <w:tcW w:type="dxa" w:w="14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Latest</w:t>
            </w:r>
          </w:p>
        </w:tc>
        <w:tc>
          <w:tcPr>
            <w:tcW w:type="dxa" w:w="516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Node.js Redis client with cluster support, TLS, and pipeline batching</w:t>
            </w:r>
          </w:p>
        </w:tc>
      </w:tr>
      <w:tr>
        <w:tc>
          <w:tcPr>
            <w:tcW w:type="dxa" w:w="28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b/>
                <w:bCs/>
                <w:color w:val="0D3D20"/>
                <w:sz w:val="20"/>
                <w:szCs w:val="20"/>
              </w:rPr>
              <w:t xml:space="preserve">Avro / Apicurio Registry</w:t>
            </w:r>
          </w:p>
        </w:tc>
        <w:tc>
          <w:tcPr>
            <w:tcW w:type="dxa" w:w="14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Self-hosted</w:t>
            </w:r>
          </w:p>
        </w:tc>
        <w:tc>
          <w:tcPr>
            <w:tcW w:type="dxa" w:w="516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Schema validation for all Kafka events consumed and produced by the service</w:t>
            </w:r>
          </w:p>
        </w:tc>
      </w:tr>
      <w:tr>
        <w:tc>
          <w:tcPr>
            <w:tcW w:type="dxa" w:w="28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b/>
                <w:bCs/>
                <w:color w:val="0D3D20"/>
                <w:sz w:val="20"/>
                <w:szCs w:val="20"/>
              </w:rPr>
              <w:t xml:space="preserve">Docker</w:t>
            </w:r>
          </w:p>
        </w:tc>
        <w:tc>
          <w:tcPr>
            <w:tcW w:type="dxa" w:w="14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Latest</w:t>
            </w:r>
          </w:p>
        </w:tc>
        <w:tc>
          <w:tcPr>
            <w:tcW w:type="dxa" w:w="516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Container packaging; ~1.58 GB image; node:lts-alpine base (optimization target)</w:t>
            </w:r>
          </w:p>
        </w:tc>
      </w:tr>
      <w:tr>
        <w:tc>
          <w:tcPr>
            <w:tcW w:type="dxa" w:w="28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b/>
                <w:bCs/>
                <w:color w:val="0D3D20"/>
                <w:sz w:val="20"/>
                <w:szCs w:val="20"/>
              </w:rPr>
              <w:t xml:space="preserve">Kubernetes (k3s)</w:t>
            </w:r>
          </w:p>
        </w:tc>
        <w:tc>
          <w:tcPr>
            <w:tcW w:type="dxa" w:w="14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CNCF-certified</w:t>
            </w:r>
          </w:p>
        </w:tc>
        <w:tc>
          <w:tcPr>
            <w:tcW w:type="dxa" w:w="516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Pod scheduling, HPA (CPU + Kafka lag), ConfigMap/Secret mounting, Helm chart deployment</w:t>
            </w:r>
          </w:p>
        </w:tc>
      </w:tr>
      <w:tr>
        <w:tc>
          <w:tcPr>
            <w:tcW w:type="dxa" w:w="28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b/>
                <w:bCs/>
                <w:color w:val="0D3D20"/>
                <w:sz w:val="20"/>
                <w:szCs w:val="20"/>
              </w:rPr>
              <w:t xml:space="preserve">Helm</w:t>
            </w:r>
          </w:p>
        </w:tc>
        <w:tc>
          <w:tcPr>
            <w:tcW w:type="dxa" w:w="14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v3.x</w:t>
            </w:r>
          </w:p>
        </w:tc>
        <w:tc>
          <w:tcPr>
            <w:tcW w:type="dxa" w:w="516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Kubernetes release management; environment-specific value overrides (dev/test/stage/prod)</w:t>
            </w:r>
          </w:p>
        </w:tc>
      </w:tr>
      <w:tr>
        <w:tc>
          <w:tcPr>
            <w:tcW w:type="dxa" w:w="28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b/>
                <w:bCs/>
                <w:color w:val="0D3D20"/>
                <w:sz w:val="20"/>
                <w:szCs w:val="20"/>
              </w:rPr>
              <w:t xml:space="preserve">NGINX Ingress</w:t>
            </w:r>
          </w:p>
        </w:tc>
        <w:tc>
          <w:tcPr>
            <w:tcW w:type="dxa" w:w="14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Latest</w:t>
            </w:r>
          </w:p>
        </w:tc>
        <w:tc>
          <w:tcPr>
            <w:tcW w:type="dxa" w:w="516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External API routing; TLS termination; auth_request validation against Keycloak</w:t>
            </w:r>
          </w:p>
        </w:tc>
      </w:tr>
      <w:tr>
        <w:tc>
          <w:tcPr>
            <w:tcW w:type="dxa" w:w="28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b/>
                <w:bCs/>
                <w:color w:val="0D3D20"/>
                <w:sz w:val="20"/>
                <w:szCs w:val="20"/>
              </w:rPr>
              <w:t xml:space="preserve">Keycloak</w:t>
            </w:r>
          </w:p>
        </w:tc>
        <w:tc>
          <w:tcPr>
            <w:tcW w:type="dxa" w:w="14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24.0</w:t>
            </w:r>
          </w:p>
        </w:tc>
        <w:tc>
          <w:tcPr>
            <w:tcW w:type="dxa" w:w="516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JWT verification; RBAC claim extraction for tenant and role scoping on REST APIs</w:t>
            </w:r>
          </w:p>
        </w:tc>
      </w:tr>
      <w:tr>
        <w:tc>
          <w:tcPr>
            <w:tcW w:type="dxa" w:w="28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b/>
                <w:bCs/>
                <w:color w:val="0D3D20"/>
                <w:sz w:val="20"/>
                <w:szCs w:val="20"/>
              </w:rPr>
              <w:t xml:space="preserve">Prometheus Client</w:t>
            </w:r>
          </w:p>
        </w:tc>
        <w:tc>
          <w:tcPr>
            <w:tcW w:type="dxa" w:w="14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Latest</w:t>
            </w:r>
          </w:p>
        </w:tc>
        <w:tc>
          <w:tcPr>
            <w:tcW w:type="dxa" w:w="516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Metrics exposition: compute latency histograms, Kafka consumer lag, DLQ event counters</w:t>
            </w:r>
          </w:p>
        </w:tc>
      </w:tr>
      <w:tr>
        <w:tc>
          <w:tcPr>
            <w:tcW w:type="dxa" w:w="28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b/>
                <w:bCs/>
                <w:color w:val="0D3D20"/>
                <w:sz w:val="20"/>
                <w:szCs w:val="20"/>
              </w:rPr>
              <w:t xml:space="preserve">OpenTelemetry SDK</w:t>
            </w:r>
          </w:p>
        </w:tc>
        <w:tc>
          <w:tcPr>
            <w:tcW w:type="dxa" w:w="14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Latest</w:t>
            </w:r>
          </w:p>
        </w:tc>
        <w:tc>
          <w:tcPr>
            <w:tcW w:type="dxa" w:w="516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Distributed trace propagation; Kafka header trace context; span emission per ranking compute</w:t>
            </w:r>
          </w:p>
        </w:tc>
      </w:tr>
      <w:tr>
        <w:tc>
          <w:tcPr>
            <w:tcW w:type="dxa" w:w="28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b/>
                <w:bCs/>
                <w:color w:val="0D3D20"/>
                <w:sz w:val="20"/>
                <w:szCs w:val="20"/>
              </w:rPr>
              <w:t xml:space="preserve">Flyway</w:t>
            </w:r>
          </w:p>
        </w:tc>
        <w:tc>
          <w:tcPr>
            <w:tcW w:type="dxa" w:w="14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Latest</w:t>
            </w:r>
          </w:p>
        </w:tc>
        <w:tc>
          <w:tcPr>
            <w:tcW w:type="dxa" w:w="516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Database migration versioning for ranking schema tables</w:t>
            </w:r>
          </w:p>
        </w:tc>
      </w:tr>
      <w:tr>
        <w:tc>
          <w:tcPr>
            <w:tcW w:type="dxa" w:w="28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b/>
                <w:bCs/>
                <w:color w:val="0D3D20"/>
                <w:sz w:val="20"/>
                <w:szCs w:val="20"/>
              </w:rPr>
              <w:t xml:space="preserve">GitLab CI</w:t>
            </w:r>
          </w:p>
        </w:tc>
        <w:tc>
          <w:tcPr>
            <w:tcW w:type="dxa" w:w="14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Self-Hosted</w:t>
            </w:r>
          </w:p>
        </w:tc>
        <w:tc>
          <w:tcPr>
            <w:tcW w:type="dxa" w:w="516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CI/CD pipeline; Trivy image scan; Harbor push; Helm deploy to k3s</w:t>
            </w:r>
          </w:p>
        </w:tc>
      </w:tr>
      <w:tr>
        <w:tc>
          <w:tcPr>
            <w:tcW w:type="dxa" w:w="28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b/>
                <w:bCs/>
                <w:color w:val="0D3D20"/>
                <w:sz w:val="20"/>
                <w:szCs w:val="20"/>
              </w:rPr>
              <w:t xml:space="preserve">Harbor</w:t>
            </w:r>
          </w:p>
        </w:tc>
        <w:tc>
          <w:tcPr>
            <w:tcW w:type="dxa" w:w="140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Self-Hosted</w:t>
            </w:r>
          </w:p>
        </w:tc>
        <w:tc>
          <w:tcPr>
            <w:tcW w:type="dxa" w:w="5160"/>
            <w:tcBorders>
              <w:top w:val="single" w:color="B2DFB8" w:sz="1"/>
              <w:left w:val="single" w:color="B2DFB8" w:sz="1"/>
              <w:bottom w:val="single" w:color="B2DFB8" w:sz="1"/>
              <w:right w:val="single" w:color="B2DFB8" w:sz="1"/>
            </w:tcBorders>
            <w:shd w:fill="F4F6F4" w:val="clear"/>
            <w:tcMar>
              <w:top w:type="dxa" w:w="90"/>
              <w:left w:type="dxa" w:w="150"/>
              <w:bottom w:type="dxa" w:w="90"/>
              <w:right w:type="dxa" w:w="150"/>
            </w:tcMar>
          </w:tcPr>
          <w:p>
            <w:r>
              <w:rPr>
                <w:rFonts w:ascii="Arial" w:cs="Arial" w:eastAsia="Arial" w:hAnsi="Arial"/>
                <w:color w:val="4A4A4A"/>
                <w:sz w:val="20"/>
                <w:szCs w:val="20"/>
              </w:rPr>
              <w:t xml:space="preserve">Container image registry; version-tagged images per GitLab pipeline run</w:t>
            </w:r>
          </w:p>
        </w:tc>
      </w:tr>
      <w:tr>
        <w:tc>
          <w:tcPr>
            <w:tcW w:type="dxa" w:w="28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b/>
                <w:bCs/>
                <w:color w:val="0D3D20"/>
                <w:sz w:val="20"/>
                <w:szCs w:val="20"/>
              </w:rPr>
              <w:t xml:space="preserve">Trivy</w:t>
            </w:r>
          </w:p>
        </w:tc>
        <w:tc>
          <w:tcPr>
            <w:tcW w:type="dxa" w:w="140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Latest</w:t>
            </w:r>
          </w:p>
        </w:tc>
        <w:tc>
          <w:tcPr>
            <w:tcW w:type="dxa" w:w="5160"/>
            <w:tcBorders>
              <w:top w:val="single" w:color="B2DFB8" w:sz="1"/>
              <w:left w:val="single" w:color="B2DFB8" w:sz="1"/>
              <w:bottom w:val="single" w:color="B2DFB8" w:sz="1"/>
              <w:right w:val="single" w:color="B2DFB8" w:sz="1"/>
            </w:tcBorders>
            <w:shd w:fill="FFFFFF" w:val="clear"/>
            <w:tcMar>
              <w:top w:type="dxa" w:w="90"/>
              <w:left w:type="dxa" w:w="150"/>
              <w:bottom w:type="dxa" w:w="90"/>
              <w:right w:type="dxa" w:w="150"/>
            </w:tcMar>
          </w:tcPr>
          <w:p>
            <w:r>
              <w:rPr>
                <w:rFonts w:ascii="Arial" w:cs="Arial" w:eastAsia="Arial" w:hAnsi="Arial"/>
                <w:color w:val="4A4A4A"/>
                <w:sz w:val="20"/>
                <w:szCs w:val="20"/>
              </w:rPr>
              <w:t xml:space="preserve">Container vulnerability scanning in CI; blocks CRITICAL/HIGH CVE images from deployment</w:t>
            </w:r>
          </w:p>
        </w:tc>
      </w:tr>
    </w:tbl>
    <w:p>
      <w:pPr>
        <w:spacing w:before="160" w:after="0"/>
      </w:pPr>
      <w:r>
        <w:t xml:space="preserve"/>
      </w:r>
    </w:p>
    <w:p>
      <w:pPr>
        <w:pStyle w:val="Heading1"/>
        <w:spacing w:before="360" w:after="120"/>
      </w:pPr>
      <w:r>
        <w:rPr>
          <w:rFonts w:ascii="Arial" w:cs="Arial" w:eastAsia="Arial" w:hAnsi="Arial"/>
          <w:b/>
          <w:bCs/>
          <w:color w:val="0D3D20"/>
          <w:sz w:val="36"/>
          <w:szCs w:val="36"/>
        </w:rPr>
        <w:t xml:space="preserve">9. Business Value</w:t>
      </w:r>
    </w:p>
    <w:p>
      <w:pPr>
        <w:pBdr>
          <w:bottom w:val="single" w:color="28A745" w:sz="6" w:space="1"/>
        </w:pBdr>
        <w:spacing w:before="100" w:after="100"/>
      </w:pPr>
    </w:p>
    <w:p>
      <w:pPr>
        <w:spacing w:before="80" w:after="0"/>
      </w:pPr>
      <w:r>
        <w:t xml:space="preserve"/>
      </w:r>
    </w:p>
    <w:p>
      <w:pPr>
        <w:spacing w:before="80" w:after="80"/>
      </w:pPr>
      <w:r>
        <w:rPr>
          <w:rFonts w:ascii="Arial" w:cs="Arial" w:eastAsia="Arial" w:hAnsi="Arial"/>
          <w:b w:val="false"/>
          <w:bCs w:val="false"/>
          <w:color w:val="1A1A1A"/>
          <w:sz w:val="22"/>
          <w:szCs w:val="22"/>
        </w:rPr>
        <w:t xml:space="preserve">The candidate-ranking-engine delivers measurable business value across three dimensions of the Ecoskiller platform:</w:t>
      </w:r>
    </w:p>
    <w:p>
      <w:pPr>
        <w:spacing w:before="100" w:after="0"/>
      </w:pPr>
      <w:r>
        <w:t xml:space="preserve"/>
      </w:r>
    </w:p>
    <w:p>
      <w:pPr>
        <w:pStyle w:val="Heading2"/>
        <w:spacing w:before="280" w:after="80"/>
      </w:pPr>
      <w:r>
        <w:rPr>
          <w:rFonts w:ascii="Arial" w:cs="Arial" w:eastAsia="Arial" w:hAnsi="Arial"/>
          <w:b/>
          <w:bCs/>
          <w:color w:val="1A6B3A"/>
          <w:sz w:val="28"/>
          <w:szCs w:val="28"/>
        </w:rPr>
        <w:t xml:space="preserve">9.1  Bias-Resistant, Data-Driven Shortlisting</w:t>
      </w:r>
    </w:p>
    <w:p>
      <w:pPr>
        <w:spacing w:before="80" w:after="80"/>
      </w:pPr>
      <w:r>
        <w:rPr>
          <w:rFonts w:ascii="Arial" w:cs="Arial" w:eastAsia="Arial" w:hAnsi="Arial"/>
          <w:b w:val="false"/>
          <w:bCs w:val="false"/>
          <w:color w:val="1A1A1A"/>
          <w:sz w:val="22"/>
          <w:szCs w:val="22"/>
        </w:rPr>
        <w:t xml:space="preserve">By aggregating scores across structured group discussions, video interviews, and coding dojo matches into a single weighted composite, the ranking engine replaces subjective recruiter intuition with an auditable, reproducible scoring model. The integration of the 8-dimension XI Intelligence Profile adds passive behavioral signals — reducing the influence of presentation bias present in single-format assessments. Recruiters receive a ranked shortlist grounded in multi-dimensional evidence, directly advancing Ecoskiller's core value proposition of structured, fair hiring.</w:t>
      </w:r>
    </w:p>
    <w:p>
      <w:pPr>
        <w:spacing w:before="100" w:after="0"/>
      </w:pPr>
      <w:r>
        <w:t xml:space="preserve"/>
      </w:r>
    </w:p>
    <w:p>
      <w:pPr>
        <w:pStyle w:val="Heading2"/>
        <w:spacing w:before="280" w:after="80"/>
      </w:pPr>
      <w:r>
        <w:rPr>
          <w:rFonts w:ascii="Arial" w:cs="Arial" w:eastAsia="Arial" w:hAnsi="Arial"/>
          <w:b/>
          <w:bCs/>
          <w:color w:val="1A6B3A"/>
          <w:sz w:val="28"/>
          <w:szCs w:val="28"/>
        </w:rPr>
        <w:t xml:space="preserve">9.2  Automation of High-Effort Recruiter Workflows</w:t>
      </w:r>
    </w:p>
    <w:p>
      <w:pPr>
        <w:spacing w:before="80" w:after="80"/>
      </w:pPr>
      <w:r>
        <w:rPr>
          <w:rFonts w:ascii="Arial" w:cs="Arial" w:eastAsia="Arial" w:hAnsi="Arial"/>
          <w:b w:val="false"/>
          <w:bCs w:val="false"/>
          <w:color w:val="1A1A1A"/>
          <w:sz w:val="22"/>
          <w:szCs w:val="22"/>
        </w:rPr>
        <w:t xml:space="preserve">Without the ranking engine, recruiters would need to manually correlate scores from three separate assessment formats per candidate — a process that does not scale for enterprise hiring volumes. The engine eliminates this manual reconciliation entirely. Ranked shortlists and belt-eligibility signals are available within seconds of the final assessment event landing on Kafka, compressing recruiter decision cycles from hours to minutes. This directly reduces recruiter time-per-hire, a key B2B SaaS billing and retention metric for Ecoskiller.</w:t>
      </w:r>
    </w:p>
    <w:p>
      <w:pPr>
        <w:spacing w:before="100" w:after="0"/>
      </w:pPr>
      <w:r>
        <w:t xml:space="preserve"/>
      </w:r>
    </w:p>
    <w:p>
      <w:pPr>
        <w:pStyle w:val="Heading2"/>
        <w:spacing w:before="280" w:after="80"/>
      </w:pPr>
      <w:r>
        <w:rPr>
          <w:rFonts w:ascii="Arial" w:cs="Arial" w:eastAsia="Arial" w:hAnsi="Arial"/>
          <w:b/>
          <w:bCs/>
          <w:color w:val="1A6B3A"/>
          <w:sz w:val="28"/>
          <w:szCs w:val="28"/>
        </w:rPr>
        <w:t xml:space="preserve">9.3  Platform Revenue and Certification Triggers</w:t>
      </w:r>
    </w:p>
    <w:p>
      <w:pPr>
        <w:spacing w:before="80" w:after="80"/>
      </w:pPr>
      <w:r>
        <w:rPr>
          <w:rFonts w:ascii="Arial" w:cs="Arial" w:eastAsia="Arial" w:hAnsi="Arial"/>
          <w:b w:val="false"/>
          <w:bCs w:val="false"/>
          <w:color w:val="1A1A1A"/>
          <w:sz w:val="22"/>
          <w:szCs w:val="22"/>
        </w:rPr>
        <w:t xml:space="preserve">The ranking engine is the primary upstream trigger for the certification-engine belt issuance workflow. Belt certifications are verifiable credentials issued to candidates who demonstrate multi-format competency — a differentiator that drives platform stickiness for both candidates (credential value) and recruiters (pre-certified talent pool). By reliably and accurately propagating belt eligibility signals, the ranking engine underpins one of Ecoskiller's most commercially distinctive platform features.</w:t>
      </w:r>
    </w:p>
    <w:p>
      <w:pPr>
        <w:spacing w:before="100" w:after="0"/>
      </w:pPr>
      <w:r>
        <w:t xml:space="preserve"/>
      </w:r>
    </w:p>
    <w:p>
      <w:pPr>
        <w:pStyle w:val="Heading2"/>
        <w:spacing w:before="280" w:after="80"/>
      </w:pPr>
      <w:r>
        <w:rPr>
          <w:rFonts w:ascii="Arial" w:cs="Arial" w:eastAsia="Arial" w:hAnsi="Arial"/>
          <w:b/>
          <w:bCs/>
          <w:color w:val="1A6B3A"/>
          <w:sz w:val="28"/>
          <w:szCs w:val="28"/>
        </w:rPr>
        <w:t xml:space="preserve">9.4  Analytics and Continuous Improvement</w:t>
      </w:r>
    </w:p>
    <w:p>
      <w:pPr>
        <w:spacing w:before="80" w:after="80"/>
      </w:pPr>
      <w:r>
        <w:rPr>
          <w:rFonts w:ascii="Arial" w:cs="Arial" w:eastAsia="Arial" w:hAnsi="Arial"/>
          <w:b w:val="false"/>
          <w:bCs w:val="false"/>
          <w:color w:val="1A1A1A"/>
          <w:sz w:val="22"/>
          <w:szCs w:val="22"/>
        </w:rPr>
        <w:t xml:space="preserve">Every ranking computation emits structured events consumed by the ClickHouse-backed analytics-service. This creates a feedback loop: Ecoskiller's platform team can analyze scoring distribution patterns, identify assessment formats with low signal-to-noise ratios, and refine default weight matrices over time. The ranking engine's event output is therefore not only operationally necessary but also the data substrate for long-term product quality improvement.</w:t>
      </w:r>
    </w:p>
    <w:p>
      <w:pPr>
        <w:spacing w:before="100" w:after="0"/>
      </w:pPr>
      <w:r>
        <w:t xml:space="preserve"/>
      </w:r>
    </w:p>
    <w:p>
      <w:pPr>
        <w:pStyle w:val="Heading2"/>
        <w:spacing w:before="280" w:after="80"/>
      </w:pPr>
      <w:r>
        <w:rPr>
          <w:rFonts w:ascii="Arial" w:cs="Arial" w:eastAsia="Arial" w:hAnsi="Arial"/>
          <w:b/>
          <w:bCs/>
          <w:color w:val="1A6B3A"/>
          <w:sz w:val="28"/>
          <w:szCs w:val="28"/>
        </w:rPr>
        <w:t xml:space="preserve">9.5  Scalability for Enterprise Hiring Volumes</w:t>
      </w:r>
    </w:p>
    <w:p>
      <w:pPr>
        <w:spacing w:before="80" w:after="80"/>
      </w:pPr>
      <w:r>
        <w:rPr>
          <w:rFonts w:ascii="Arial" w:cs="Arial" w:eastAsia="Arial" w:hAnsi="Arial"/>
          <w:b w:val="false"/>
          <w:bCs w:val="false"/>
          <w:color w:val="1A1A1A"/>
          <w:sz w:val="22"/>
          <w:szCs w:val="22"/>
        </w:rPr>
        <w:t xml:space="preserve">The event-driven, Kubernetes-native architecture of the ranking engine ensures it scales horizontally as Ecoskiller onboards enterprise tenants with large candidate cohorts. Kafka consumer group parallelism, Redis sorted set performance, and Kubernetes HPA combine to sustain ranking throughput without architectural changes. This positions Ecoskiller to handle enterprise-scale hiring campaigns — hundreds of concurrent candidates per job — without per-tenant infrastructure customization, preserving multi-tenant margin efficiency.</w:t>
      </w:r>
    </w:p>
    <w:p>
      <w:pPr>
        <w:spacing w:before="160" w:after="0"/>
      </w:pPr>
      <w:r>
        <w:t xml:space="preserve"/>
      </w:r>
    </w:p>
    <w:p>
      <w:pPr>
        <w:pStyle w:val="Heading1"/>
        <w:spacing w:before="360" w:after="120"/>
      </w:pPr>
      <w:r>
        <w:rPr>
          <w:rFonts w:ascii="Arial" w:cs="Arial" w:eastAsia="Arial" w:hAnsi="Arial"/>
          <w:b/>
          <w:bCs/>
          <w:color w:val="0D3D20"/>
          <w:sz w:val="36"/>
          <w:szCs w:val="36"/>
        </w:rPr>
        <w:t xml:space="preserve">Appendix A: REST API Quick Reference</w:t>
      </w:r>
    </w:p>
    <w:p>
      <w:pPr>
        <w:pBdr>
          <w:bottom w:val="single" w:color="28A745" w:sz="6" w:space="1"/>
        </w:pBdr>
        <w:spacing w:before="100" w:after="100"/>
      </w:pPr>
    </w:p>
    <w:p>
      <w:pPr>
        <w:spacing w:before="80" w:after="0"/>
      </w:pPr>
      <w:r>
        <w:t xml:space="preserve"/>
      </w:r>
    </w:p>
    <w:p>
      <w:pPr>
        <w:spacing w:before="80" w:after="80"/>
      </w:pPr>
      <w:r>
        <w:rPr>
          <w:rFonts w:ascii="Arial" w:cs="Arial" w:eastAsia="Arial" w:hAnsi="Arial"/>
          <w:b w:val="false"/>
          <w:bCs w:val="false"/>
          <w:color w:val="1A1A1A"/>
          <w:sz w:val="22"/>
          <w:szCs w:val="22"/>
        </w:rPr>
        <w:t xml:space="preserve">All endpoints require Authorization: Bearer &lt;keycloak_jwt&gt; with tenant-scoped claims. Base URL is routed through NGINX Ingress: https://api.ecoskiller.com/ranking/</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2DFB8" w:sz="1"/>
              <w:left w:val="single" w:color="B2DFB8" w:sz="1"/>
              <w:bottom w:val="single" w:color="B2DFB8" w:sz="1"/>
              <w:right w:val="single" w:color="B2DFB8" w:sz="1"/>
            </w:tcBorders>
            <w:shd w:fill="1A6B3A" w:val="clear"/>
            <w:tcMar>
              <w:top w:type="dxa" w:w="100"/>
              <w:left w:type="dxa" w:w="150"/>
              <w:bottom w:type="dxa" w:w="100"/>
              <w:right w:type="dxa" w:w="150"/>
            </w:tcMar>
            <w:vAlign w:val="center"/>
          </w:tcPr>
          <w:p>
            <w:r>
              <w:rPr>
                <w:rFonts w:ascii="Arial" w:cs="Arial" w:eastAsia="Arial" w:hAnsi="Arial"/>
                <w:b/>
                <w:bCs/>
                <w:color w:val="FFFFFF"/>
                <w:sz w:val="22"/>
                <w:szCs w:val="22"/>
              </w:rPr>
              <w:t xml:space="preserve">Endpoint</w:t>
            </w:r>
          </w:p>
        </w:tc>
        <w:tc>
          <w:tcPr>
            <w:tcW w:type="dxa" w:w="696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tcPr>
          <w:p>
            <w:r>
              <w:rPr>
                <w:rFonts w:ascii="Arial" w:cs="Arial" w:eastAsia="Arial" w:hAnsi="Arial"/>
                <w:b/>
                <w:bCs/>
                <w:color w:val="0D3D20"/>
                <w:sz w:val="22"/>
                <w:szCs w:val="22"/>
              </w:rPr>
              <w:t xml:space="preserve">Description</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GET /api/v1/rankings/{job_id}</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Ranked candidate list for a job. Paginated. Sorted by composite_score desc.</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GET /api/v1/rankings/{job_id}/candidate/{candidate_id}</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Individual candidate rank, composite score, and dimension score breakdown.</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GET /api/v1/rankings/{job_id}/shortlist?threshold=N</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Filtered candidates above score threshold N (0–100).</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POST /api/v1/rankings/{job_id}/recompute</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Trigger idempotent full recomputation. Admin role required. Returns job_id and recompute_id.</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GET /api/v1/rankings/{job_id}/export</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CSV export of ranked results. Async job — returns download URL when complete.</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GET /api/v1/health</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Liveness endpoint. Returns 200 OK with Kafka consumer and Redis connection status.</w:t>
            </w:r>
          </w:p>
        </w:tc>
      </w:tr>
      <w:tr>
        <w:tc>
          <w:tcPr>
            <w:tcW w:type="dxa" w:w="2400"/>
            <w:tcBorders>
              <w:top w:val="single" w:color="B2DFB8" w:sz="1"/>
              <w:left w:val="single" w:color="B2DFB8" w:sz="1"/>
              <w:bottom w:val="single" w:color="B2DFB8" w:sz="1"/>
              <w:right w:val="single" w:color="B2DFB8" w:sz="1"/>
            </w:tcBorders>
            <w:shd w:fill="E8F5EC" w:val="clear"/>
            <w:tcMar>
              <w:top w:type="dxa" w:w="100"/>
              <w:left w:type="dxa" w:w="150"/>
              <w:bottom w:type="dxa" w:w="100"/>
              <w:right w:type="dxa" w:w="150"/>
            </w:tcMar>
            <w:vAlign w:val="center"/>
          </w:tcPr>
          <w:p>
            <w:r>
              <w:rPr>
                <w:rFonts w:ascii="Arial" w:cs="Arial" w:eastAsia="Arial" w:hAnsi="Arial"/>
                <w:b/>
                <w:bCs/>
                <w:color w:val="0D3D20"/>
                <w:sz w:val="20"/>
                <w:szCs w:val="20"/>
              </w:rPr>
              <w:t xml:space="preserve">GET /metrics</w:t>
            </w:r>
          </w:p>
        </w:tc>
        <w:tc>
          <w:tcPr>
            <w:tcW w:type="dxa" w:w="6960"/>
            <w:tcBorders>
              <w:top w:val="single" w:color="B2DFB8" w:sz="1"/>
              <w:left w:val="single" w:color="B2DFB8" w:sz="1"/>
              <w:bottom w:val="single" w:color="B2DFB8" w:sz="1"/>
              <w:right w:val="single" w:color="B2DFB8" w:sz="1"/>
            </w:tcBorders>
            <w:shd w:fill="FFFFFF" w:val="clear"/>
            <w:tcMar>
              <w:top w:type="dxa" w:w="100"/>
              <w:left w:type="dxa" w:w="150"/>
              <w:bottom w:type="dxa" w:w="100"/>
              <w:right w:type="dxa" w:w="150"/>
            </w:tcMar>
          </w:tcPr>
          <w:p>
            <w:r>
              <w:rPr>
                <w:rFonts w:ascii="Arial" w:cs="Arial" w:eastAsia="Arial" w:hAnsi="Arial"/>
                <w:b w:val="false"/>
                <w:bCs w:val="false"/>
                <w:color w:val="4A4A4A"/>
                <w:sz w:val="20"/>
                <w:szCs w:val="20"/>
              </w:rPr>
              <w:t xml:space="preserve">Prometheus metrics endpoint (internal cluster access only). Exposes compute latency, Kafka lag, DLQ counts.</w:t>
            </w:r>
          </w:p>
        </w:tc>
      </w:tr>
    </w:tbl>
    <w:p>
      <w:pPr>
        <w:spacing w:before="160" w:after="0"/>
      </w:pPr>
      <w:r>
        <w:t xml:space="preserve"/>
      </w:r>
    </w:p>
    <w:p>
      <w:pPr>
        <w:pStyle w:val="Heading1"/>
        <w:spacing w:before="360" w:after="120"/>
      </w:pPr>
      <w:r>
        <w:rPr>
          <w:rFonts w:ascii="Arial" w:cs="Arial" w:eastAsia="Arial" w:hAnsi="Arial"/>
          <w:b/>
          <w:bCs/>
          <w:color w:val="0D3D20"/>
          <w:sz w:val="36"/>
          <w:szCs w:val="36"/>
        </w:rPr>
        <w:t xml:space="preserve">Appendix B: Kafka Consumer &amp; DLQ Policy</w:t>
      </w:r>
    </w:p>
    <w:p>
      <w:pPr>
        <w:pBdr>
          <w:bottom w:val="single" w:color="28A745" w:sz="6" w:space="1"/>
        </w:pBdr>
        <w:spacing w:before="100" w:after="100"/>
      </w:pPr>
    </w:p>
    <w:p>
      <w:pPr>
        <w:spacing w:before="80" w:after="0"/>
      </w:pPr>
      <w:r>
        <w:t xml:space="preserve"/>
      </w:r>
    </w:p>
    <w:p>
      <w:pPr>
        <w:spacing w:before="80" w:after="80"/>
      </w:pPr>
      <w:r>
        <w:rPr>
          <w:rFonts w:ascii="Arial" w:cs="Arial" w:eastAsia="Arial" w:hAnsi="Arial"/>
          <w:b w:val="false"/>
          <w:bCs w:val="false"/>
          <w:color w:val="1A1A1A"/>
          <w:sz w:val="22"/>
          <w:szCs w:val="22"/>
        </w:rPr>
        <w:t xml:space="preserve">All Kafka consumers in the candidate-ranking-engine follow the Ecoskiller platform-wide consumer standards defined in the infrastructure specification:</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Consumer group naming: candidate-ranking-engine-{topic}-consumer (e.g., candidate-ranking-engine-gd.completed-consumer)</w:t>
      </w:r>
    </w:p>
    <w:p>
      <w:pPr>
        <w:pStyle w:val="ListParagraph"/>
        <w:numPr>
          <w:ilvl w:val="0"/>
          <w:numId w:val="2"/>
        </w:numPr>
        <w:spacing w:before="60" w:after="60"/>
      </w:pPr>
      <w:r>
        <w:rPr>
          <w:rFonts w:ascii="Arial" w:cs="Arial" w:eastAsia="Arial" w:hAnsi="Arial"/>
          <w:b w:val="false"/>
          <w:bCs w:val="false"/>
          <w:color w:val="1A1A1A"/>
          <w:sz w:val="22"/>
          <w:szCs w:val="22"/>
        </w:rPr>
        <w:t xml:space="preserve">Retry policy: 3 retries with exponential backoff (1s, 4s, 16s) before DLQ publication</w:t>
      </w:r>
    </w:p>
    <w:p>
      <w:pPr>
        <w:pStyle w:val="ListParagraph"/>
        <w:numPr>
          <w:ilvl w:val="0"/>
          <w:numId w:val="2"/>
        </w:numPr>
        <w:spacing w:before="60" w:after="60"/>
      </w:pPr>
      <w:r>
        <w:rPr>
          <w:rFonts w:ascii="Arial" w:cs="Arial" w:eastAsia="Arial" w:hAnsi="Arial"/>
          <w:b w:val="false"/>
          <w:bCs w:val="false"/>
          <w:color w:val="1A1A1A"/>
          <w:sz w:val="22"/>
          <w:szCs w:val="22"/>
        </w:rPr>
        <w:t xml:space="preserve">Dead-letter topics: {topic}.dlq (e.g., gd.completed.dlq, match.scored.dlq)</w:t>
      </w:r>
    </w:p>
    <w:p>
      <w:pPr>
        <w:pStyle w:val="ListParagraph"/>
        <w:numPr>
          <w:ilvl w:val="0"/>
          <w:numId w:val="2"/>
        </w:numPr>
        <w:spacing w:before="60" w:after="60"/>
      </w:pPr>
      <w:r>
        <w:rPr>
          <w:rFonts w:ascii="Arial" w:cs="Arial" w:eastAsia="Arial" w:hAnsi="Arial"/>
          <w:b w:val="false"/>
          <w:bCs w:val="false"/>
          <w:color w:val="1A1A1A"/>
          <w:sz w:val="22"/>
          <w:szCs w:val="22"/>
        </w:rPr>
        <w:t xml:space="preserve">Offset commit strategy: manual commit after successful processing to prevent message loss on pod restart</w:t>
      </w:r>
    </w:p>
    <w:p>
      <w:pPr>
        <w:pStyle w:val="ListParagraph"/>
        <w:numPr>
          <w:ilvl w:val="0"/>
          <w:numId w:val="2"/>
        </w:numPr>
        <w:spacing w:before="60" w:after="60"/>
      </w:pPr>
      <w:r>
        <w:rPr>
          <w:rFonts w:ascii="Arial" w:cs="Arial" w:eastAsia="Arial" w:hAnsi="Arial"/>
          <w:b w:val="false"/>
          <w:bCs w:val="false"/>
          <w:color w:val="1A1A1A"/>
          <w:sz w:val="22"/>
          <w:szCs w:val="22"/>
        </w:rPr>
        <w:t xml:space="preserve">Replication factor: 3 for all consumed and produced topics</w:t>
      </w:r>
    </w:p>
    <w:p>
      <w:pPr>
        <w:pStyle w:val="ListParagraph"/>
        <w:numPr>
          <w:ilvl w:val="0"/>
          <w:numId w:val="2"/>
        </w:numPr>
        <w:spacing w:before="60" w:after="60"/>
      </w:pPr>
      <w:r>
        <w:rPr>
          <w:rFonts w:ascii="Arial" w:cs="Arial" w:eastAsia="Arial" w:hAnsi="Arial"/>
          <w:b w:val="false"/>
          <w:bCs w:val="false"/>
          <w:color w:val="1A1A1A"/>
          <w:sz w:val="22"/>
          <w:szCs w:val="22"/>
        </w:rPr>
        <w:t xml:space="preserve">Schema validation: all events validated against Apicurio Registry Avro schemas before processing begins</w:t>
      </w:r>
    </w:p>
    <w:p>
      <w:pPr>
        <w:pStyle w:val="ListParagraph"/>
        <w:numPr>
          <w:ilvl w:val="0"/>
          <w:numId w:val="2"/>
        </w:numPr>
        <w:spacing w:before="60" w:after="60"/>
      </w:pPr>
      <w:r>
        <w:rPr>
          <w:rFonts w:ascii="Arial" w:cs="Arial" w:eastAsia="Arial" w:hAnsi="Arial"/>
          <w:b w:val="false"/>
          <w:bCs w:val="false"/>
          <w:color w:val="1A1A1A"/>
          <w:sz w:val="22"/>
          <w:szCs w:val="22"/>
        </w:rPr>
        <w:t xml:space="preserve">Monitoring: Prometheus alert fires for any DLQ event count &gt; 0 within a 5-minute window</w:t>
      </w:r>
    </w:p>
    <w:p>
      <w:pPr>
        <w:spacing w:before="160" w:after="0"/>
      </w:pPr>
      <w:r>
        <w:t xml:space="preserve"/>
      </w:r>
    </w:p>
    <w:p>
      <w:pPr>
        <w:pStyle w:val="Heading1"/>
        <w:spacing w:before="360" w:after="120"/>
      </w:pPr>
      <w:r>
        <w:rPr>
          <w:rFonts w:ascii="Arial" w:cs="Arial" w:eastAsia="Arial" w:hAnsi="Arial"/>
          <w:b/>
          <w:bCs/>
          <w:color w:val="0D3D20"/>
          <w:sz w:val="36"/>
          <w:szCs w:val="36"/>
        </w:rPr>
        <w:t xml:space="preserve">Appendix C: Deployment &amp; Operations</w:t>
      </w:r>
    </w:p>
    <w:p>
      <w:pPr>
        <w:pBdr>
          <w:bottom w:val="single" w:color="28A745" w:sz="6" w:space="1"/>
        </w:pBdr>
        <w:spacing w:before="100" w:after="100"/>
      </w:pPr>
    </w:p>
    <w:p>
      <w:pPr>
        <w:spacing w:before="80" w:after="0"/>
      </w:pPr>
      <w:r>
        <w:t xml:space="preserve"/>
      </w:r>
    </w:p>
    <w:p>
      <w:pPr>
        <w:pStyle w:val="Heading2"/>
        <w:spacing w:before="280" w:after="80"/>
      </w:pPr>
      <w:r>
        <w:rPr>
          <w:rFonts w:ascii="Arial" w:cs="Arial" w:eastAsia="Arial" w:hAnsi="Arial"/>
          <w:b/>
          <w:bCs/>
          <w:color w:val="1A6B3A"/>
          <w:sz w:val="28"/>
          <w:szCs w:val="28"/>
        </w:rPr>
        <w:t xml:space="preserve">Helm Chart Values (Key Overrides)</w:t>
      </w:r>
    </w:p>
    <w:p>
      <w:pPr>
        <w:spacing w:before="80" w:after="80"/>
      </w:pPr>
      <w:r>
        <w:rPr>
          <w:rFonts w:ascii="Arial" w:cs="Arial" w:eastAsia="Arial" w:hAnsi="Arial"/>
          <w:b w:val="false"/>
          <w:bCs w:val="false"/>
          <w:color w:val="1A1A1A"/>
          <w:sz w:val="22"/>
          <w:szCs w:val="22"/>
        </w:rPr>
        <w:t xml:space="preserve">The following Helm chart values are environment-specific for the candidate-ranking-engine:</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image.repository: harbor.ecoskiller.internal/ecoskiller/candidate-ranking-engine</w:t>
      </w:r>
    </w:p>
    <w:p>
      <w:pPr>
        <w:pStyle w:val="ListParagraph"/>
        <w:numPr>
          <w:ilvl w:val="0"/>
          <w:numId w:val="2"/>
        </w:numPr>
        <w:spacing w:before="60" w:after="60"/>
      </w:pPr>
      <w:r>
        <w:rPr>
          <w:rFonts w:ascii="Arial" w:cs="Arial" w:eastAsia="Arial" w:hAnsi="Arial"/>
          <w:b w:val="false"/>
          <w:bCs w:val="false"/>
          <w:color w:val="1A1A1A"/>
          <w:sz w:val="22"/>
          <w:szCs w:val="22"/>
        </w:rPr>
        <w:t xml:space="preserve">image.tag: &lt;GitLab pipeline build tag&gt;</w:t>
      </w:r>
    </w:p>
    <w:p>
      <w:pPr>
        <w:pStyle w:val="ListParagraph"/>
        <w:numPr>
          <w:ilvl w:val="0"/>
          <w:numId w:val="2"/>
        </w:numPr>
        <w:spacing w:before="60" w:after="60"/>
      </w:pPr>
      <w:r>
        <w:rPr>
          <w:rFonts w:ascii="Arial" w:cs="Arial" w:eastAsia="Arial" w:hAnsi="Arial"/>
          <w:b w:val="false"/>
          <w:bCs w:val="false"/>
          <w:color w:val="1A1A1A"/>
          <w:sz w:val="22"/>
          <w:szCs w:val="22"/>
        </w:rPr>
        <w:t xml:space="preserve">replicaCount: 2 (prod) · 1 (dev/test) · 2 (stage)</w:t>
      </w:r>
    </w:p>
    <w:p>
      <w:pPr>
        <w:pStyle w:val="ListParagraph"/>
        <w:numPr>
          <w:ilvl w:val="0"/>
          <w:numId w:val="2"/>
        </w:numPr>
        <w:spacing w:before="60" w:after="60"/>
      </w:pPr>
      <w:r>
        <w:rPr>
          <w:rFonts w:ascii="Arial" w:cs="Arial" w:eastAsia="Arial" w:hAnsi="Arial"/>
          <w:b w:val="false"/>
          <w:bCs w:val="false"/>
          <w:color w:val="1A1A1A"/>
          <w:sz w:val="22"/>
          <w:szCs w:val="22"/>
        </w:rPr>
        <w:t xml:space="preserve">resources.requests.cpu: 250m · resources.limits.cpu: 1000m</w:t>
      </w:r>
    </w:p>
    <w:p>
      <w:pPr>
        <w:pStyle w:val="ListParagraph"/>
        <w:numPr>
          <w:ilvl w:val="0"/>
          <w:numId w:val="2"/>
        </w:numPr>
        <w:spacing w:before="60" w:after="60"/>
      </w:pPr>
      <w:r>
        <w:rPr>
          <w:rFonts w:ascii="Arial" w:cs="Arial" w:eastAsia="Arial" w:hAnsi="Arial"/>
          <w:b w:val="false"/>
          <w:bCs w:val="false"/>
          <w:color w:val="1A1A1A"/>
          <w:sz w:val="22"/>
          <w:szCs w:val="22"/>
        </w:rPr>
        <w:t xml:space="preserve">resources.requests.memory: 512Mi · resources.limits.memory: 1024Mi</w:t>
      </w:r>
    </w:p>
    <w:p>
      <w:pPr>
        <w:pStyle w:val="ListParagraph"/>
        <w:numPr>
          <w:ilvl w:val="0"/>
          <w:numId w:val="2"/>
        </w:numPr>
        <w:spacing w:before="60" w:after="60"/>
      </w:pPr>
      <w:r>
        <w:rPr>
          <w:rFonts w:ascii="Arial" w:cs="Arial" w:eastAsia="Arial" w:hAnsi="Arial"/>
          <w:b w:val="false"/>
          <w:bCs w:val="false"/>
          <w:color w:val="1A1A1A"/>
          <w:sz w:val="22"/>
          <w:szCs w:val="22"/>
        </w:rPr>
        <w:t xml:space="preserve">autoscaling.enabled: true · minReplicas: 2 · maxReplicas: 8 (prod)</w:t>
      </w:r>
    </w:p>
    <w:p>
      <w:pPr>
        <w:pStyle w:val="ListParagraph"/>
        <w:numPr>
          <w:ilvl w:val="0"/>
          <w:numId w:val="2"/>
        </w:numPr>
        <w:spacing w:before="60" w:after="60"/>
      </w:pPr>
      <w:r>
        <w:rPr>
          <w:rFonts w:ascii="Arial" w:cs="Arial" w:eastAsia="Arial" w:hAnsi="Arial"/>
          <w:b w:val="false"/>
          <w:bCs w:val="false"/>
          <w:color w:val="1A1A1A"/>
          <w:sz w:val="22"/>
          <w:szCs w:val="22"/>
        </w:rPr>
        <w:t xml:space="preserve">autoscaling.metrics: CPU (target 70%) + Kafka consumer lag (target &lt; 500 messages)</w:t>
      </w:r>
    </w:p>
    <w:p>
      <w:pPr>
        <w:pStyle w:val="ListParagraph"/>
        <w:numPr>
          <w:ilvl w:val="0"/>
          <w:numId w:val="2"/>
        </w:numPr>
        <w:spacing w:before="60" w:after="60"/>
      </w:pPr>
      <w:r>
        <w:rPr>
          <w:rFonts w:ascii="Arial" w:cs="Arial" w:eastAsia="Arial" w:hAnsi="Arial"/>
          <w:b w:val="false"/>
          <w:bCs w:val="false"/>
          <w:color w:val="1A1A1A"/>
          <w:sz w:val="22"/>
          <w:szCs w:val="22"/>
        </w:rPr>
        <w:t xml:space="preserve">env.KAFKA_BROKERS: injected via Kubernetes Secret</w:t>
      </w:r>
    </w:p>
    <w:p>
      <w:pPr>
        <w:pStyle w:val="ListParagraph"/>
        <w:numPr>
          <w:ilvl w:val="0"/>
          <w:numId w:val="2"/>
        </w:numPr>
        <w:spacing w:before="60" w:after="60"/>
      </w:pPr>
      <w:r>
        <w:rPr>
          <w:rFonts w:ascii="Arial" w:cs="Arial" w:eastAsia="Arial" w:hAnsi="Arial"/>
          <w:b w:val="false"/>
          <w:bCs w:val="false"/>
          <w:color w:val="1A1A1A"/>
          <w:sz w:val="22"/>
          <w:szCs w:val="22"/>
        </w:rPr>
        <w:t xml:space="preserve">env.POSTGRES_DSN: injected via Kubernetes Secret (RLS-scoped service account)</w:t>
      </w:r>
    </w:p>
    <w:p>
      <w:pPr>
        <w:pStyle w:val="ListParagraph"/>
        <w:numPr>
          <w:ilvl w:val="0"/>
          <w:numId w:val="2"/>
        </w:numPr>
        <w:spacing w:before="60" w:after="60"/>
      </w:pPr>
      <w:r>
        <w:rPr>
          <w:rFonts w:ascii="Arial" w:cs="Arial" w:eastAsia="Arial" w:hAnsi="Arial"/>
          <w:b w:val="false"/>
          <w:bCs w:val="false"/>
          <w:color w:val="1A1A1A"/>
          <w:sz w:val="22"/>
          <w:szCs w:val="22"/>
        </w:rPr>
        <w:t xml:space="preserve">env.REDIS_URL: injected via Kubernetes Secret</w:t>
      </w:r>
    </w:p>
    <w:p>
      <w:pPr>
        <w:pStyle w:val="ListParagraph"/>
        <w:numPr>
          <w:ilvl w:val="0"/>
          <w:numId w:val="2"/>
        </w:numPr>
        <w:spacing w:before="60" w:after="60"/>
      </w:pPr>
      <w:r>
        <w:rPr>
          <w:rFonts w:ascii="Arial" w:cs="Arial" w:eastAsia="Arial" w:hAnsi="Arial"/>
          <w:b w:val="false"/>
          <w:bCs w:val="false"/>
          <w:color w:val="1A1A1A"/>
          <w:sz w:val="22"/>
          <w:szCs w:val="22"/>
        </w:rPr>
        <w:t xml:space="preserve">env.SCHEMA_REGISTRY_URL: injected via Kubernetes ConfigMap</w:t>
      </w:r>
    </w:p>
    <w:p>
      <w:pPr>
        <w:spacing w:before="100" w:after="0"/>
      </w:pPr>
      <w:r>
        <w:t xml:space="preserve"/>
      </w:r>
    </w:p>
    <w:p>
      <w:pPr>
        <w:pStyle w:val="Heading2"/>
        <w:spacing w:before="280" w:after="80"/>
      </w:pPr>
      <w:r>
        <w:rPr>
          <w:rFonts w:ascii="Arial" w:cs="Arial" w:eastAsia="Arial" w:hAnsi="Arial"/>
          <w:b/>
          <w:bCs/>
          <w:color w:val="1A6B3A"/>
          <w:sz w:val="28"/>
          <w:szCs w:val="28"/>
        </w:rPr>
        <w:t xml:space="preserve">CI/CD Pipeline Stages</w:t>
      </w:r>
    </w:p>
    <w:p>
      <w:pPr>
        <w:spacing w:before="80" w:after="80"/>
      </w:pPr>
      <w:r>
        <w:rPr>
          <w:rFonts w:ascii="Arial" w:cs="Arial" w:eastAsia="Arial" w:hAnsi="Arial"/>
          <w:b w:val="false"/>
          <w:bCs w:val="false"/>
          <w:color w:val="1A1A1A"/>
          <w:sz w:val="22"/>
          <w:szCs w:val="22"/>
        </w:rPr>
        <w:t xml:space="preserve">The service follows the Ecoskiller GitLab CI pipeline:</w:t>
      </w:r>
    </w:p>
    <w:p>
      <w:pPr>
        <w:spacing w:before="80" w:after="0"/>
      </w:pPr>
      <w:r>
        <w:t xml:space="preserve"/>
      </w:r>
    </w:p>
    <w:p>
      <w:pPr>
        <w:pStyle w:val="ListParagraph"/>
        <w:numPr>
          <w:ilvl w:val="0"/>
          <w:numId w:val="2"/>
        </w:numPr>
        <w:spacing w:before="60" w:after="60"/>
      </w:pPr>
      <w:r>
        <w:rPr>
          <w:rFonts w:ascii="Arial" w:cs="Arial" w:eastAsia="Arial" w:hAnsi="Arial"/>
          <w:b w:val="false"/>
          <w:bCs w:val="false"/>
          <w:color w:val="1A1A1A"/>
          <w:sz w:val="22"/>
          <w:szCs w:val="22"/>
        </w:rPr>
        <w:t xml:space="preserve">lint → unit-test → trivy-scan → docker-build → harbor-push → helm-deploy</w:t>
      </w:r>
    </w:p>
    <w:p>
      <w:pPr>
        <w:pStyle w:val="ListParagraph"/>
        <w:numPr>
          <w:ilvl w:val="0"/>
          <w:numId w:val="2"/>
        </w:numPr>
        <w:spacing w:before="60" w:after="60"/>
      </w:pPr>
      <w:r>
        <w:rPr>
          <w:rFonts w:ascii="Arial" w:cs="Arial" w:eastAsia="Arial" w:hAnsi="Arial"/>
          <w:b w:val="false"/>
          <w:bCs w:val="false"/>
          <w:color w:val="1A1A1A"/>
          <w:sz w:val="22"/>
          <w:szCs w:val="22"/>
        </w:rPr>
        <w:t xml:space="preserve">Trivy scan blocks deployment on any CRITICAL or HIGH CVE</w:t>
      </w:r>
    </w:p>
    <w:p>
      <w:pPr>
        <w:pStyle w:val="ListParagraph"/>
        <w:numPr>
          <w:ilvl w:val="0"/>
          <w:numId w:val="2"/>
        </w:numPr>
        <w:spacing w:before="60" w:after="60"/>
      </w:pPr>
      <w:r>
        <w:rPr>
          <w:rFonts w:ascii="Arial" w:cs="Arial" w:eastAsia="Arial" w:hAnsi="Arial"/>
          <w:b w:val="false"/>
          <w:bCs w:val="false"/>
          <w:color w:val="1A1A1A"/>
          <w:sz w:val="22"/>
          <w:szCs w:val="22"/>
        </w:rPr>
        <w:t xml:space="preserve">Helm deploy applies environment-specific values overlay (dev/test/stage/prod)</w:t>
      </w:r>
    </w:p>
    <w:p>
      <w:pPr>
        <w:pStyle w:val="ListParagraph"/>
        <w:numPr>
          <w:ilvl w:val="0"/>
          <w:numId w:val="2"/>
        </w:numPr>
        <w:spacing w:before="60" w:after="60"/>
      </w:pPr>
      <w:r>
        <w:rPr>
          <w:rFonts w:ascii="Arial" w:cs="Arial" w:eastAsia="Arial" w:hAnsi="Arial"/>
          <w:b w:val="false"/>
          <w:bCs w:val="false"/>
          <w:color w:val="1A1A1A"/>
          <w:sz w:val="22"/>
          <w:szCs w:val="22"/>
        </w:rPr>
        <w:t xml:space="preserve">Post-deploy smoke test: GET /api/v1/health returns 200 with Kafka and Redis status healthy</w:t>
      </w:r>
    </w:p>
    <w:p>
      <w:pPr>
        <w:spacing w:before="160" w:after="0"/>
      </w:pPr>
      <w:r>
        <w:t xml:space="preserve"/>
      </w:r>
    </w:p>
    <w:p>
      <w:pPr>
        <w:pBdr>
          <w:bottom w:val="single" w:color="B2DFB8" w:sz="6" w:space="1"/>
        </w:pBdr>
        <w:spacing w:before="100" w:after="100"/>
      </w:pPr>
    </w:p>
    <w:p>
      <w:pPr>
        <w:spacing w:before="120" w:after="60"/>
        <w:jc w:val="center"/>
      </w:pPr>
      <w:r>
        <w:rPr>
          <w:rFonts w:ascii="Arial" w:cs="Arial" w:eastAsia="Arial" w:hAnsi="Arial"/>
          <w:i/>
          <w:iCs/>
          <w:color w:val="4A4A4A"/>
          <w:sz w:val="18"/>
          <w:szCs w:val="18"/>
        </w:rPr>
        <w:t xml:space="preserve">Ecoskiller Platform Engineering · candidate-ranking-engine · Technical Reference v1.0 · March 2026</w:t>
      </w:r>
    </w:p>
    <w:p>
      <w:pPr>
        <w:jc w:val="center"/>
      </w:pPr>
      <w:r>
        <w:rPr>
          <w:rFonts w:ascii="Arial" w:cs="Arial" w:eastAsia="Arial" w:hAnsi="Arial"/>
          <w:i/>
          <w:iCs/>
          <w:color w:val="4A4A4A"/>
          <w:sz w:val="17"/>
          <w:szCs w:val="17"/>
        </w:rPr>
        <w:t xml:space="preserve">This document is generated from the Ecoskiller infrastructure specification and is intended for internal platform engineering use.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2DFB8" w:sz="4"/>
      </w:pBdr>
      <w:tabs>
        <w:tab w:val="right" w:pos="9360"/>
      </w:tabs>
      <w:spacing w:before="100"/>
    </w:pPr>
    <w:r>
      <w:rPr>
        <w:rFonts w:ascii="Arial" w:cs="Arial" w:eastAsia="Arial" w:hAnsi="Arial"/>
        <w:color w:val="4A4A4A"/>
        <w:sz w:val="18"/>
        <w:szCs w:val="18"/>
      </w:rPr>
      <w:t xml:space="preserve">Ecoskiller Platform Engineering  ·  Confidential</w:t>
    </w:r>
    <w:r>
      <w:rPr>
        <w:rFonts w:ascii="Arial" w:cs="Arial" w:eastAsia="Arial" w:hAnsi="Arial"/>
        <w:color w:val="4A4A4A"/>
        <w:sz w:val="18"/>
        <w:szCs w:val="18"/>
      </w:rPr>
      <w:t xml:space="preserve">	Page </w:t>
    </w:r>
    <w:r>
      <w:rPr>
        <w:rFonts w:ascii="Arial" w:cs="Arial" w:eastAsia="Arial" w:hAnsi="Arial"/>
        <w:color w:val="4A4A4A"/>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DFB8" w:sz="4"/>
      </w:pBdr>
      <w:spacing w:after="100"/>
    </w:pPr>
    <w:r>
      <w:rPr>
        <w:rFonts w:ascii="Arial" w:cs="Arial" w:eastAsia="Arial" w:hAnsi="Arial"/>
        <w:b/>
        <w:bCs/>
        <w:color w:val="1A6B3A"/>
        <w:sz w:val="18"/>
        <w:szCs w:val="18"/>
      </w:rPr>
      <w:t xml:space="preserve">ECOSKILLER  ·  </w:t>
    </w:r>
    <w:r>
      <w:rPr>
        <w:rFonts w:ascii="Arial" w:cs="Arial" w:eastAsia="Arial" w:hAnsi="Arial"/>
        <w:color w:val="4A4A4A"/>
        <w:sz w:val="18"/>
        <w:szCs w:val="18"/>
      </w:rPr>
      <w:t xml:space="preserve">candidate-ranking-engine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100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D3D20"/>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A6B3A"/>
      <w:sz w:val="28"/>
      <w:szCs w:val="28"/>
    </w:rPr>
  </w:style>
  <w:style w:type="paragraph" w:styleId="Heading3">
    <w:name w:val="Heading 3"/>
    <w:basedOn w:val="Normal"/>
    <w:next w:val="Normal"/>
    <w:qFormat/>
    <w:pPr>
      <w:spacing w:before="200" w:after="60"/>
      <w:outlineLvl w:val="2"/>
    </w:pPr>
    <w:rPr>
      <w:rFonts w:ascii="Arial" w:cs="Arial" w:eastAsia="Arial" w:hAnsi="Arial"/>
      <w:b/>
      <w:bCs/>
      <w:color w:val="28A74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2026-03-10T06:10:07.196Z</dcterms:created>
  <dcterms:modified xsi:type="dcterms:W3CDTF">2026-03-10T06:10:07.197Z</dcterms:modified>
</cp:coreProperties>
</file>

<file path=docProps/custom.xml><?xml version="1.0" encoding="utf-8"?>
<Properties xmlns="http://schemas.openxmlformats.org/officeDocument/2006/custom-properties" xmlns:vt="http://schemas.openxmlformats.org/officeDocument/2006/docPropsVTypes"/>
</file>