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Ecoskiller Backend Service Documentation</w:t>
      </w:r>
    </w:p>
    <w:p>
      <w:pPr>
        <w:pStyle w:val="Heading2"/>
      </w:pPr>
      <w:r>
        <w:t>1. Service Name</w:t>
      </w:r>
    </w:p>
    <w:p>
      <w:r>
        <w:t>Certification Engine – Backend microservice responsible for issuing verifiable digital certifications and belt levels within the Ecoskiller talent assessment platform.</w:t>
      </w:r>
    </w:p>
    <w:p>
      <w:pPr>
        <w:pStyle w:val="Heading2"/>
      </w:pPr>
      <w:r>
        <w:t>2. Service Overview</w:t>
      </w:r>
    </w:p>
    <w:p>
      <w:r>
        <w:t>The Certification Engine operates as a domain service in the Ecoskiller event‑driven microservices architecture. It listens to evaluation events from scoring systems, validates eligibility rules, and generates digitally verifiable certificates for candidates who pass defined competency thresholds. The service ensures certification integrity, auditability, and multi‑tenant isolation across organizations using the platform.</w:t>
      </w:r>
    </w:p>
    <w:p>
      <w:pPr>
        <w:pStyle w:val="Heading2"/>
      </w:pPr>
      <w:r>
        <w:t>3. Core Responsibilities</w:t>
      </w:r>
    </w:p>
    <w:p>
      <w:r>
        <w:t>Evaluate certification eligibility based on scoring thresholds, maintain certification records, generate digital certificates, manage belt levels and progression rules, trigger mentor verification flows, and publish certification events to downstream services.</w:t>
      </w:r>
    </w:p>
    <w:p>
      <w:pPr>
        <w:pStyle w:val="Heading2"/>
      </w:pPr>
      <w:r>
        <w:t>4. Key Features</w:t>
      </w:r>
    </w:p>
    <w:p>
      <w:r>
        <w:t>Rule‑based certification eligibility evaluation, versioned belt hierarchy management, cryptographically verifiable certificate generation, audit logging for certification decisions, and integration with candidate intelligence profiles.</w:t>
      </w:r>
    </w:p>
    <w:p>
      <w:pPr>
        <w:pStyle w:val="Heading2"/>
      </w:pPr>
      <w:r>
        <w:t>5. Inputs</w:t>
      </w:r>
    </w:p>
    <w:p>
      <w:r>
        <w:t>Kafka events such as match.scored, gd.completed, interview.completed, and belt.eligible; REST API requests from admin or governance services; candidate scoring metrics.</w:t>
      </w:r>
    </w:p>
    <w:p>
      <w:pPr>
        <w:pStyle w:val="Heading2"/>
      </w:pPr>
      <w:r>
        <w:t>6. Outputs</w:t>
      </w:r>
    </w:p>
    <w:p>
      <w:r>
        <w:t>Digital certificate metadata, certification records stored in PostgreSQL, certificate files stored in object storage, and Kafka events such as certificate.issued or certification.rejected.</w:t>
      </w:r>
    </w:p>
    <w:p>
      <w:pPr>
        <w:pStyle w:val="Heading2"/>
      </w:pPr>
      <w:r>
        <w:t>7. Dependencies</w:t>
      </w:r>
    </w:p>
    <w:p>
      <w:r>
        <w:t>Scoring Engine, User Service, Analytics Service, Notification Service, PostgreSQL database, and object storage for certificate files.</w:t>
      </w:r>
    </w:p>
    <w:p>
      <w:pPr>
        <w:pStyle w:val="Heading2"/>
      </w:pPr>
      <w:r>
        <w:t>8. Tech Stack</w:t>
      </w:r>
    </w:p>
    <w:p>
      <w:r>
        <w:t>Node.js microservice, Apache Kafka event streaming, PostgreSQL relational database, Redis caching, Docker containers, and Kubernetes orchestration across multi‑cloud clusters.</w:t>
      </w:r>
    </w:p>
    <w:p>
      <w:pPr>
        <w:pStyle w:val="Heading2"/>
      </w:pPr>
      <w:r>
        <w:t>9. Business Value</w:t>
      </w:r>
    </w:p>
    <w:p>
      <w:r>
        <w:t>The Certification Engine enables Ecoskiller to convert assessment outcomes into trusted credentials. These certificates validate candidate competencies for recruiters and institutes while ensuring tamper‑proof records and scalable issuance within the platform’s multi‑tenant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