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r>
        <w:t xml:space="preserve"/>
      </w:r>
    </w:p>
    <w:p>
      <w:pPr>
        <w:jc w:val="center"/>
      </w:pPr>
      <w:r>
        <w:rPr>
          <w:rFonts w:ascii="Arial" w:cs="Arial" w:eastAsia="Arial" w:hAnsi="Arial"/>
          <w:b/>
          <w:bCs/>
          <w:color w:val="1A3A6B"/>
          <w:sz w:val="64"/>
          <w:szCs w:val="64"/>
        </w:rPr>
        <w:t xml:space="preserve">ECOSKILLER</w:t>
      </w:r>
    </w:p>
    <w:p>
      <w:pPr>
        <w:spacing w:before="80" w:after="200"/>
        <w:jc w:val="center"/>
      </w:pPr>
      <w:r>
        <w:rPr>
          <w:rFonts w:ascii="Arial" w:cs="Arial" w:eastAsia="Arial" w:hAnsi="Arial"/>
          <w:color w:val="4A4A4A"/>
          <w:sz w:val="26"/>
          <w:szCs w:val="26"/>
        </w:rPr>
        <w:t xml:space="preserve">Platform · Microservice Technical Reference</w:t>
      </w:r>
    </w:p>
    <w:p>
      <w:pPr>
        <w:pBdr>
          <w:bottom w:val="single" w:color="2563EB" w:sz="6" w:space="1"/>
        </w:pBdr>
        <w:spacing w:before="80" w:after="100"/>
      </w:pPr>
    </w:p>
    <w:p>
      <w:pPr>
        <w:spacing w:before="200" w:after="0"/>
      </w:pPr>
      <w:r>
        <w:t xml:space="preserve"/>
      </w:r>
    </w:p>
    <w:p>
      <w:pPr>
        <w:spacing w:before="0" w:after="60"/>
        <w:jc w:val="center"/>
      </w:pPr>
      <w:r>
        <w:rPr>
          <w:rFonts w:ascii="Courier New" w:cs="Courier New" w:eastAsia="Courier New" w:hAnsi="Courier New"/>
          <w:b/>
          <w:bCs/>
          <w:color w:val="0F1E40"/>
          <w:sz w:val="52"/>
          <w:szCs w:val="52"/>
        </w:rPr>
        <w:t xml:space="preserve">idea-similarity-detector</w:t>
      </w:r>
    </w:p>
    <w:p>
      <w:pPr>
        <w:spacing w:before="0" w:after="0"/>
        <w:jc w:val="center"/>
      </w:pPr>
      <w:r>
        <w:rPr>
          <w:rFonts w:ascii="Arial" w:cs="Arial" w:eastAsia="Arial" w:hAnsi="Arial"/>
          <w:i/>
          <w:iCs/>
          <w:color w:val="4A4A4A"/>
          <w:sz w:val="28"/>
          <w:szCs w:val="28"/>
        </w:rPr>
        <w:t xml:space="preserve">Service Description &amp; Architecture Reference</w:t>
      </w:r>
    </w:p>
    <w:p>
      <w:pPr>
        <w:spacing w:before="240" w:after="0"/>
      </w:pPr>
      <w:r>
        <w:t xml:space="preserve"/>
      </w:r>
    </w:p>
    <w:p>
      <w:pPr>
        <w:pBdr>
          <w:bottom w:val="single" w:color="BFCBEE" w:sz="6" w:space="1"/>
        </w:pBdr>
        <w:spacing w:before="80" w:after="100"/>
      </w:pPr>
    </w:p>
    <w:p>
      <w:pPr>
        <w:spacing w:before="300" w:after="0"/>
      </w:pPr>
      <w:r>
        <w:t xml:space="preserve"/>
      </w:r>
    </w:p>
    <w:tbl>
      <w:tblPr>
        <w:tblW w:type="dxa" w:w="620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tblGrid>
      <w:tr>
        <w:tc>
          <w:tcPr>
            <w:tcW w:type="dxa" w:w="2400"/>
            <w:tcBorders>
              <w:top w:val="single" w:color="BFCBEE" w:sz="1"/>
              <w:left w:val="single" w:color="BFCBEE" w:sz="1"/>
              <w:bottom w:val="single" w:color="BFCBEE" w:sz="1"/>
              <w:right w:val="single" w:color="BFCBEE" w:sz="1"/>
            </w:tcBorders>
            <w:shd w:fill="EEF2FF" w:val="clear"/>
            <w:tcMar>
              <w:top w:type="dxa" w:w="90"/>
              <w:left w:type="dxa" w:w="120"/>
              <w:bottom w:type="dxa" w:w="90"/>
              <w:right w:type="dxa" w:w="120"/>
            </w:tcMar>
          </w:tcPr>
          <w:p>
            <w:r>
              <w:rPr>
                <w:rFonts w:ascii="Arial" w:cs="Arial" w:eastAsia="Arial" w:hAnsi="Arial"/>
                <w:b/>
                <w:bCs/>
                <w:color w:val="0F1E40"/>
                <w:sz w:val="19"/>
                <w:szCs w:val="19"/>
              </w:rPr>
              <w:t xml:space="preserve">Service Name</w:t>
            </w:r>
          </w:p>
        </w:tc>
        <w:tc>
          <w:tcPr>
            <w:tcW w:type="dxa" w:w="3800"/>
            <w:tcBorders>
              <w:top w:val="single" w:color="BFCBEE" w:sz="1"/>
              <w:left w:val="single" w:color="BFCBEE" w:sz="1"/>
              <w:bottom w:val="single" w:color="BFCBEE" w:sz="1"/>
              <w:right w:val="single" w:color="BFCBEE" w:sz="1"/>
            </w:tcBorders>
            <w:shd w:fill="FFFFFF" w:val="clear"/>
            <w:tcMar>
              <w:top w:type="dxa" w:w="90"/>
              <w:left w:type="dxa" w:w="120"/>
              <w:bottom w:type="dxa" w:w="90"/>
              <w:right w:type="dxa" w:w="120"/>
            </w:tcMar>
          </w:tcPr>
          <w:p>
            <w:r>
              <w:rPr>
                <w:rFonts w:ascii="Arial" w:cs="Arial" w:eastAsia="Arial" w:hAnsi="Arial"/>
                <w:color w:val="4A4A4A"/>
                <w:sz w:val="19"/>
                <w:szCs w:val="19"/>
              </w:rPr>
              <w:t xml:space="preserve">idea-similarity-detector</w:t>
            </w:r>
          </w:p>
        </w:tc>
      </w:tr>
      <w:tr>
        <w:tc>
          <w:tcPr>
            <w:tcW w:type="dxa" w:w="2400"/>
            <w:tcBorders>
              <w:top w:val="single" w:color="BFCBEE" w:sz="1"/>
              <w:left w:val="single" w:color="BFCBEE" w:sz="1"/>
              <w:bottom w:val="single" w:color="BFCBEE" w:sz="1"/>
              <w:right w:val="single" w:color="BFCBEE" w:sz="1"/>
            </w:tcBorders>
            <w:shd w:fill="EEF2FF" w:val="clear"/>
            <w:tcMar>
              <w:top w:type="dxa" w:w="90"/>
              <w:left w:type="dxa" w:w="120"/>
              <w:bottom w:type="dxa" w:w="90"/>
              <w:right w:type="dxa" w:w="120"/>
            </w:tcMar>
          </w:tcPr>
          <w:p>
            <w:r>
              <w:rPr>
                <w:rFonts w:ascii="Arial" w:cs="Arial" w:eastAsia="Arial" w:hAnsi="Arial"/>
                <w:b/>
                <w:bCs/>
                <w:color w:val="0F1E40"/>
                <w:sz w:val="19"/>
                <w:szCs w:val="19"/>
              </w:rPr>
              <w:t xml:space="preserve">Domain Module</w:t>
            </w:r>
          </w:p>
        </w:tc>
        <w:tc>
          <w:tcPr>
            <w:tcW w:type="dxa" w:w="3800"/>
            <w:tcBorders>
              <w:top w:val="single" w:color="BFCBEE" w:sz="1"/>
              <w:left w:val="single" w:color="BFCBEE" w:sz="1"/>
              <w:bottom w:val="single" w:color="BFCBEE" w:sz="1"/>
              <w:right w:val="single" w:color="BFCBEE" w:sz="1"/>
            </w:tcBorders>
            <w:shd w:fill="FFFFFF" w:val="clear"/>
            <w:tcMar>
              <w:top w:type="dxa" w:w="90"/>
              <w:left w:type="dxa" w:w="120"/>
              <w:bottom w:type="dxa" w:w="90"/>
              <w:right w:type="dxa" w:w="120"/>
            </w:tcMar>
          </w:tcPr>
          <w:p>
            <w:r>
              <w:rPr>
                <w:rFonts w:ascii="Arial" w:cs="Arial" w:eastAsia="Arial" w:hAnsi="Arial"/>
                <w:color w:val="4A4A4A"/>
                <w:sz w:val="19"/>
                <w:szCs w:val="19"/>
              </w:rPr>
              <w:t xml:space="preserve">Innovation Engine · XII (Anti-Theft Layer)</w:t>
            </w:r>
          </w:p>
        </w:tc>
      </w:tr>
      <w:tr>
        <w:tc>
          <w:tcPr>
            <w:tcW w:type="dxa" w:w="2400"/>
            <w:tcBorders>
              <w:top w:val="single" w:color="BFCBEE" w:sz="1"/>
              <w:left w:val="single" w:color="BFCBEE" w:sz="1"/>
              <w:bottom w:val="single" w:color="BFCBEE" w:sz="1"/>
              <w:right w:val="single" w:color="BFCBEE" w:sz="1"/>
            </w:tcBorders>
            <w:shd w:fill="EEF2FF" w:val="clear"/>
            <w:tcMar>
              <w:top w:type="dxa" w:w="90"/>
              <w:left w:type="dxa" w:w="120"/>
              <w:bottom w:type="dxa" w:w="90"/>
              <w:right w:type="dxa" w:w="120"/>
            </w:tcMar>
          </w:tcPr>
          <w:p>
            <w:r>
              <w:rPr>
                <w:rFonts w:ascii="Arial" w:cs="Arial" w:eastAsia="Arial" w:hAnsi="Arial"/>
                <w:b/>
                <w:bCs/>
                <w:color w:val="0F1E40"/>
                <w:sz w:val="19"/>
                <w:szCs w:val="19"/>
              </w:rPr>
              <w:t xml:space="preserve">Namespace</w:t>
            </w:r>
          </w:p>
        </w:tc>
        <w:tc>
          <w:tcPr>
            <w:tcW w:type="dxa" w:w="3800"/>
            <w:tcBorders>
              <w:top w:val="single" w:color="BFCBEE" w:sz="1"/>
              <w:left w:val="single" w:color="BFCBEE" w:sz="1"/>
              <w:bottom w:val="single" w:color="BFCBEE" w:sz="1"/>
              <w:right w:val="single" w:color="BFCBEE" w:sz="1"/>
            </w:tcBorders>
            <w:shd w:fill="FFFFFF" w:val="clear"/>
            <w:tcMar>
              <w:top w:type="dxa" w:w="90"/>
              <w:left w:type="dxa" w:w="120"/>
              <w:bottom w:type="dxa" w:w="90"/>
              <w:right w:type="dxa" w:w="120"/>
            </w:tcMar>
          </w:tcPr>
          <w:p>
            <w:r>
              <w:rPr>
                <w:rFonts w:ascii="Arial" w:cs="Arial" w:eastAsia="Arial" w:hAnsi="Arial"/>
                <w:color w:val="4A4A4A"/>
                <w:sz w:val="19"/>
                <w:szCs w:val="19"/>
              </w:rPr>
              <w:t xml:space="preserve">analytics</w:t>
            </w:r>
          </w:p>
        </w:tc>
      </w:tr>
      <w:tr>
        <w:tc>
          <w:tcPr>
            <w:tcW w:type="dxa" w:w="2400"/>
            <w:tcBorders>
              <w:top w:val="single" w:color="BFCBEE" w:sz="1"/>
              <w:left w:val="single" w:color="BFCBEE" w:sz="1"/>
              <w:bottom w:val="single" w:color="BFCBEE" w:sz="1"/>
              <w:right w:val="single" w:color="BFCBEE" w:sz="1"/>
            </w:tcBorders>
            <w:shd w:fill="EEF2FF" w:val="clear"/>
            <w:tcMar>
              <w:top w:type="dxa" w:w="90"/>
              <w:left w:type="dxa" w:w="120"/>
              <w:bottom w:type="dxa" w:w="90"/>
              <w:right w:type="dxa" w:w="120"/>
            </w:tcMar>
          </w:tcPr>
          <w:p>
            <w:r>
              <w:rPr>
                <w:rFonts w:ascii="Arial" w:cs="Arial" w:eastAsia="Arial" w:hAnsi="Arial"/>
                <w:b/>
                <w:bCs/>
                <w:color w:val="0F1E40"/>
                <w:sz w:val="19"/>
                <w:szCs w:val="19"/>
              </w:rPr>
              <w:t xml:space="preserve">Cluster</w:t>
            </w:r>
          </w:p>
        </w:tc>
        <w:tc>
          <w:tcPr>
            <w:tcW w:type="dxa" w:w="3800"/>
            <w:tcBorders>
              <w:top w:val="single" w:color="BFCBEE" w:sz="1"/>
              <w:left w:val="single" w:color="BFCBEE" w:sz="1"/>
              <w:bottom w:val="single" w:color="BFCBEE" w:sz="1"/>
              <w:right w:val="single" w:color="BFCBEE" w:sz="1"/>
            </w:tcBorders>
            <w:shd w:fill="FFFFFF" w:val="clear"/>
            <w:tcMar>
              <w:top w:type="dxa" w:w="90"/>
              <w:left w:type="dxa" w:w="120"/>
              <w:bottom w:type="dxa" w:w="90"/>
              <w:right w:type="dxa" w:w="120"/>
            </w:tcMar>
          </w:tcPr>
          <w:p>
            <w:r>
              <w:rPr>
                <w:rFonts w:ascii="Arial" w:cs="Arial" w:eastAsia="Arial" w:hAnsi="Arial"/>
                <w:color w:val="4A4A4A"/>
                <w:sz w:val="19"/>
                <w:szCs w:val="19"/>
              </w:rPr>
              <w:t xml:space="preserve">k3s · GCP asia-south1 + AWS ap-south-1</w:t>
            </w:r>
          </w:p>
        </w:tc>
      </w:tr>
      <w:tr>
        <w:tc>
          <w:tcPr>
            <w:tcW w:type="dxa" w:w="2400"/>
            <w:tcBorders>
              <w:top w:val="single" w:color="BFCBEE" w:sz="1"/>
              <w:left w:val="single" w:color="BFCBEE" w:sz="1"/>
              <w:bottom w:val="single" w:color="BFCBEE" w:sz="1"/>
              <w:right w:val="single" w:color="BFCBEE" w:sz="1"/>
            </w:tcBorders>
            <w:shd w:fill="EEF2FF" w:val="clear"/>
            <w:tcMar>
              <w:top w:type="dxa" w:w="90"/>
              <w:left w:type="dxa" w:w="120"/>
              <w:bottom w:type="dxa" w:w="90"/>
              <w:right w:type="dxa" w:w="120"/>
            </w:tcMar>
          </w:tcPr>
          <w:p>
            <w:r>
              <w:rPr>
                <w:rFonts w:ascii="Arial" w:cs="Arial" w:eastAsia="Arial" w:hAnsi="Arial"/>
                <w:b/>
                <w:bCs/>
                <w:color w:val="0F1E40"/>
                <w:sz w:val="19"/>
                <w:szCs w:val="19"/>
              </w:rPr>
              <w:t xml:space="preserve">Document Version</w:t>
            </w:r>
          </w:p>
        </w:tc>
        <w:tc>
          <w:tcPr>
            <w:tcW w:type="dxa" w:w="3800"/>
            <w:tcBorders>
              <w:top w:val="single" w:color="BFCBEE" w:sz="1"/>
              <w:left w:val="single" w:color="BFCBEE" w:sz="1"/>
              <w:bottom w:val="single" w:color="BFCBEE" w:sz="1"/>
              <w:right w:val="single" w:color="BFCBEE" w:sz="1"/>
            </w:tcBorders>
            <w:shd w:fill="FFFFFF" w:val="clear"/>
            <w:tcMar>
              <w:top w:type="dxa" w:w="90"/>
              <w:left w:type="dxa" w:w="120"/>
              <w:bottom w:type="dxa" w:w="90"/>
              <w:right w:type="dxa" w:w="120"/>
            </w:tcMar>
          </w:tcPr>
          <w:p>
            <w:r>
              <w:rPr>
                <w:rFonts w:ascii="Arial" w:cs="Arial" w:eastAsia="Arial" w:hAnsi="Arial"/>
                <w:color w:val="4A4A4A"/>
                <w:sz w:val="19"/>
                <w:szCs w:val="19"/>
              </w:rPr>
              <w:t xml:space="preserve">v1.0 · March 2026</w:t>
            </w:r>
          </w:p>
        </w:tc>
      </w:tr>
      <w:tr>
        <w:tc>
          <w:tcPr>
            <w:tcW w:type="dxa" w:w="2400"/>
            <w:tcBorders>
              <w:top w:val="single" w:color="BFCBEE" w:sz="1"/>
              <w:left w:val="single" w:color="BFCBEE" w:sz="1"/>
              <w:bottom w:val="single" w:color="BFCBEE" w:sz="1"/>
              <w:right w:val="single" w:color="BFCBEE" w:sz="1"/>
            </w:tcBorders>
            <w:shd w:fill="EEF2FF" w:val="clear"/>
            <w:tcMar>
              <w:top w:type="dxa" w:w="90"/>
              <w:left w:type="dxa" w:w="120"/>
              <w:bottom w:type="dxa" w:w="90"/>
              <w:right w:type="dxa" w:w="120"/>
            </w:tcMar>
          </w:tcPr>
          <w:p>
            <w:r>
              <w:rPr>
                <w:rFonts w:ascii="Arial" w:cs="Arial" w:eastAsia="Arial" w:hAnsi="Arial"/>
                <w:b/>
                <w:bCs/>
                <w:color w:val="0F1E40"/>
                <w:sz w:val="19"/>
                <w:szCs w:val="19"/>
              </w:rPr>
              <w:t xml:space="preserve">Maintainer</w:t>
            </w:r>
          </w:p>
        </w:tc>
        <w:tc>
          <w:tcPr>
            <w:tcW w:type="dxa" w:w="3800"/>
            <w:tcBorders>
              <w:top w:val="single" w:color="BFCBEE" w:sz="1"/>
              <w:left w:val="single" w:color="BFCBEE" w:sz="1"/>
              <w:bottom w:val="single" w:color="BFCBEE" w:sz="1"/>
              <w:right w:val="single" w:color="BFCBEE" w:sz="1"/>
            </w:tcBorders>
            <w:shd w:fill="FFFFFF" w:val="clear"/>
            <w:tcMar>
              <w:top w:type="dxa" w:w="90"/>
              <w:left w:type="dxa" w:w="120"/>
              <w:bottom w:type="dxa" w:w="90"/>
              <w:right w:type="dxa" w:w="120"/>
            </w:tcMar>
          </w:tcPr>
          <w:p>
            <w:r>
              <w:rPr>
                <w:rFonts w:ascii="Arial" w:cs="Arial" w:eastAsia="Arial" w:hAnsi="Arial"/>
                <w:color w:val="4A4A4A"/>
                <w:sz w:val="19"/>
                <w:szCs w:val="19"/>
              </w:rPr>
              <w:t xml:space="preserve">Ecoskiller Platform Engineering Team</w:t>
            </w:r>
          </w:p>
        </w:tc>
      </w:tr>
      <w:tr>
        <w:tc>
          <w:tcPr>
            <w:tcW w:type="dxa" w:w="2400"/>
            <w:tcBorders>
              <w:top w:val="single" w:color="BFCBEE" w:sz="1"/>
              <w:left w:val="single" w:color="BFCBEE" w:sz="1"/>
              <w:bottom w:val="single" w:color="BFCBEE" w:sz="1"/>
              <w:right w:val="single" w:color="BFCBEE" w:sz="1"/>
            </w:tcBorders>
            <w:shd w:fill="EEF2FF" w:val="clear"/>
            <w:tcMar>
              <w:top w:type="dxa" w:w="90"/>
              <w:left w:type="dxa" w:w="120"/>
              <w:bottom w:type="dxa" w:w="90"/>
              <w:right w:type="dxa" w:w="120"/>
            </w:tcMar>
          </w:tcPr>
          <w:p>
            <w:r>
              <w:rPr>
                <w:rFonts w:ascii="Arial" w:cs="Arial" w:eastAsia="Arial" w:hAnsi="Arial"/>
                <w:b/>
                <w:bCs/>
                <w:color w:val="0F1E40"/>
                <w:sz w:val="19"/>
                <w:szCs w:val="19"/>
              </w:rPr>
              <w:t xml:space="preserve">Status</w:t>
            </w:r>
          </w:p>
        </w:tc>
        <w:tc>
          <w:tcPr>
            <w:tcW w:type="dxa" w:w="3800"/>
            <w:tcBorders>
              <w:top w:val="single" w:color="BFCBEE" w:sz="1"/>
              <w:left w:val="single" w:color="BFCBEE" w:sz="1"/>
              <w:bottom w:val="single" w:color="BFCBEE" w:sz="1"/>
              <w:right w:val="single" w:color="BFCBEE" w:sz="1"/>
            </w:tcBorders>
            <w:shd w:fill="FFFFFF" w:val="clear"/>
            <w:tcMar>
              <w:top w:type="dxa" w:w="90"/>
              <w:left w:type="dxa" w:w="120"/>
              <w:bottom w:type="dxa" w:w="90"/>
              <w:right w:type="dxa" w:w="120"/>
            </w:tcMar>
          </w:tcPr>
          <w:p>
            <w:r>
              <w:rPr>
                <w:rFonts w:ascii="Arial" w:cs="Arial" w:eastAsia="Arial" w:hAnsi="Arial"/>
                <w:color w:val="4A4A4A"/>
                <w:sz w:val="19"/>
                <w:szCs w:val="19"/>
              </w:rPr>
              <w:t xml:space="preserve">Active · Production-Candidate</w:t>
            </w:r>
          </w:p>
        </w:tc>
      </w:tr>
    </w:tbl>
    <w:p>
      <w:pPr>
        <w:spacing w:before="400" w:after="0"/>
      </w:pPr>
      <w:r>
        <w:t xml:space="preserve"/>
      </w:r>
    </w:p>
    <w:p>
      <w:r>
        <w:br w:type="page"/>
      </w:r>
    </w:p>
    <w:p>
      <w:pPr>
        <w:pStyle w:val="Heading1"/>
        <w:spacing w:before="360" w:after="100"/>
      </w:pPr>
      <w:r>
        <w:rPr>
          <w:rFonts w:ascii="Arial" w:cs="Arial" w:eastAsia="Arial" w:hAnsi="Arial"/>
          <w:b/>
          <w:bCs/>
          <w:color w:val="0F1E40"/>
          <w:sz w:val="36"/>
          <w:szCs w:val="36"/>
        </w:rPr>
        <w:t xml:space="preserve">1. Service Name</w:t>
      </w:r>
    </w:p>
    <w:p>
      <w:pPr>
        <w:pBdr>
          <w:bottom w:val="single" w:color="2563EB" w:sz="6" w:space="1"/>
        </w:pBdr>
        <w:spacing w:before="80" w:after="100"/>
      </w:pPr>
    </w:p>
    <w:p>
      <w:pPr>
        <w:spacing w:before="80" w:after="0"/>
      </w:pPr>
      <w:r>
        <w:t xml:space="preserve"/>
      </w:r>
    </w:p>
    <w:p>
      <w:pPr>
        <w:spacing w:before="80" w:after="80"/>
      </w:pPr>
      <w:r>
        <w:rPr>
          <w:rFonts w:ascii="Courier New" w:cs="Courier New" w:eastAsia="Courier New" w:hAnsi="Courier New"/>
          <w:b/>
          <w:bCs/>
          <w:color w:val="1A3A6B"/>
          <w:sz w:val="30"/>
          <w:szCs w:val="30"/>
        </w:rPr>
        <w:t xml:space="preserve">idea-similarity-detector</w:t>
      </w:r>
    </w:p>
    <w:p>
      <w:pPr>
        <w:spacing w:before="80" w:after="80"/>
      </w:pPr>
      <w:r>
        <w:rPr>
          <w:rFonts w:ascii="Arial" w:cs="Arial" w:eastAsia="Arial" w:hAnsi="Arial"/>
          <w:b w:val="false"/>
          <w:bCs w:val="false"/>
          <w:i w:val="false"/>
          <w:iCs w:val="false"/>
          <w:color w:val="1A1A1A"/>
          <w:sz w:val="22"/>
          <w:szCs w:val="22"/>
        </w:rPr>
        <w:t xml:space="preserve">The idea-similarity-detector is a Node.js microservice within Ecoskiller's Innovation Engine (Module XII). It serves as the real-time intellectual property protection layer of the platform — analyzing every newly submitted candidate idea against the entire existing corpus using high-dimensional vector similarity search, detecting potential plagiarism or prior art, assigning a copy-probability score, and raising automated Kafka alerts when similarity thresholds are breached. The service is a core component of Ecoskiller's candidate-facing differentiation: ensuring that ideas submitted through the platform are timestamped, fingerprinted, and protected from unauthorized reuse before they are exposed to recruiters or marketplace participants.</w:t>
      </w:r>
    </w:p>
    <w:p>
      <w:pPr>
        <w:spacing w:before="160" w:after="0"/>
      </w:pPr>
      <w:r>
        <w:t xml:space="preserve"/>
      </w:r>
    </w:p>
    <w:p>
      <w:pPr>
        <w:pStyle w:val="Heading1"/>
        <w:spacing w:before="360" w:after="100"/>
      </w:pPr>
      <w:r>
        <w:rPr>
          <w:rFonts w:ascii="Arial" w:cs="Arial" w:eastAsia="Arial" w:hAnsi="Arial"/>
          <w:b/>
          <w:bCs/>
          <w:color w:val="0F1E40"/>
          <w:sz w:val="36"/>
          <w:szCs w:val="36"/>
        </w:rPr>
        <w:t xml:space="preserve">2. Service Overview</w:t>
      </w:r>
    </w:p>
    <w:p>
      <w:pPr>
        <w:pBdr>
          <w:bottom w:val="single" w:color="2563EB" w:sz="6" w:space="1"/>
        </w:pBdr>
        <w:spacing w:before="80" w:after="100"/>
      </w:pPr>
    </w:p>
    <w:p>
      <w:pPr>
        <w:spacing w:before="80" w:after="0"/>
      </w:pPr>
      <w:r>
        <w:t xml:space="preserve"/>
      </w:r>
    </w:p>
    <w:p>
      <w:pPr>
        <w:spacing w:before="80" w:after="80"/>
      </w:pPr>
      <w:r>
        <w:rPr>
          <w:rFonts w:ascii="Arial" w:cs="Arial" w:eastAsia="Arial" w:hAnsi="Arial"/>
          <w:b w:val="false"/>
          <w:bCs w:val="false"/>
          <w:i w:val="false"/>
          <w:iCs w:val="false"/>
          <w:color w:val="1A1A1A"/>
          <w:sz w:val="22"/>
          <w:szCs w:val="22"/>
        </w:rPr>
        <w:t xml:space="preserve">Within the Ecoskiller event-driven microservices architecture, the idea-similarity-detector occupies the third position in the Innovation Engine pipeline. It is activated asynchronously by the idea.fingerprinted Kafka event — emitted by the upstream Idea DNA Fingerprint Engine after a candidate submits an idea and its semantic embedding has been generated and stored in Qdrant.</w:t>
      </w:r>
    </w:p>
    <w:p>
      <w:pPr>
        <w:spacing w:before="80" w:after="0"/>
      </w:pPr>
      <w:r>
        <w:t xml:space="preserve"/>
      </w:r>
    </w:p>
    <w:p>
      <w:pPr>
        <w:spacing w:before="80" w:after="80"/>
      </w:pPr>
      <w:r>
        <w:rPr>
          <w:rFonts w:ascii="Arial" w:cs="Arial" w:eastAsia="Arial" w:hAnsi="Arial"/>
          <w:b w:val="false"/>
          <w:bCs w:val="false"/>
          <w:i w:val="false"/>
          <w:iCs w:val="false"/>
          <w:color w:val="1A1A1A"/>
          <w:sz w:val="22"/>
          <w:szCs w:val="22"/>
        </w:rPr>
        <w:t xml:space="preserve">The detector's primary function is to execute an Approximate Nearest Neighbor (ANN) similarity search against the idea-embeddings Qdrant collection, retrieve the top-K most semantically similar existing ideas, compute a cosine-similarity-based copy probability score, and make a binary decision: clear the idea as sufficiently original or flag it for dispute review. This decision is propagated downstream via Kafka events, consumed by the notification-service, admin-service, and optionally the Dispute Service.</w:t>
      </w:r>
    </w:p>
    <w:p>
      <w:pPr>
        <w:spacing w:before="80" w:after="0"/>
      </w:pPr>
      <w:r>
        <w:t xml:space="preserve"/>
      </w:r>
    </w:p>
    <w:p>
      <w:pPr>
        <w:spacing w:before="80" w:after="80"/>
      </w:pPr>
      <w:r>
        <w:rPr>
          <w:rFonts w:ascii="Arial" w:cs="Arial" w:eastAsia="Arial" w:hAnsi="Arial"/>
          <w:b w:val="false"/>
          <w:bCs w:val="false"/>
          <w:i w:val="false"/>
          <w:iCs w:val="false"/>
          <w:color w:val="1A1A1A"/>
          <w:sz w:val="22"/>
          <w:szCs w:val="22"/>
        </w:rPr>
        <w:t xml:space="preserve">The service operates in the analytics Kubernetes namespace alongside other XIV AI infrastructure services — the Embedding &amp; Model Inference Service and the Vector Database Service — which it depends on directly. All operations are multi-tenant scoped: similarity searches are performed within tenant-scoped Qdrant payload filters, and results are stored in PostgreSQL with Row-Level Security enforcing tenant isolation.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CBEE" w:sz="1"/>
              <w:left w:val="single" w:color="BFCBEE" w:sz="1"/>
              <w:bottom w:val="single" w:color="BFCBEE" w:sz="1"/>
              <w:right w:val="single" w:color="BFCBEE" w:sz="1"/>
            </w:tcBorders>
            <w:shd w:fill="1A3A6B" w:val="clear"/>
            <w:tcMar>
              <w:top w:type="dxa" w:w="100"/>
              <w:left w:type="dxa" w:w="150"/>
              <w:bottom w:type="dxa" w:w="100"/>
              <w:right w:type="dxa" w:w="150"/>
            </w:tcMar>
            <w:vAlign w:val="center"/>
          </w:tcPr>
          <w:p>
            <w:r>
              <w:rPr>
                <w:rFonts w:ascii="Arial" w:cs="Arial" w:eastAsia="Arial" w:hAnsi="Arial"/>
                <w:b/>
                <w:bCs/>
                <w:color w:val="FFFFFF"/>
                <w:sz w:val="22"/>
                <w:szCs w:val="22"/>
              </w:rPr>
              <w:t xml:space="preserve">Field</w:t>
            </w:r>
          </w:p>
        </w:tc>
        <w:tc>
          <w:tcPr>
            <w:tcW w:type="dxa" w:w="6760"/>
            <w:tcBorders>
              <w:top w:val="single" w:color="BFCBEE" w:sz="1"/>
              <w:left w:val="single" w:color="BFCBEE" w:sz="1"/>
              <w:bottom w:val="single" w:color="BFCBEE" w:sz="1"/>
              <w:right w:val="single" w:color="BFCBEE" w:sz="1"/>
            </w:tcBorders>
            <w:shd w:fill="EEF2FF" w:val="clear"/>
            <w:tcMar>
              <w:top w:type="dxa" w:w="100"/>
              <w:left w:type="dxa" w:w="150"/>
              <w:bottom w:type="dxa" w:w="100"/>
              <w:right w:type="dxa" w:w="150"/>
            </w:tcMar>
          </w:tcPr>
          <w:p>
            <w:r>
              <w:rPr>
                <w:rFonts w:ascii="Arial" w:cs="Arial" w:eastAsia="Arial" w:hAnsi="Arial"/>
                <w:b/>
                <w:bCs/>
                <w:color w:val="0F1E40"/>
                <w:sz w:val="22"/>
                <w:szCs w:val="22"/>
              </w:rPr>
              <w:t xml:space="preserve">Detail</w:t>
            </w:r>
          </w:p>
        </w:tc>
      </w:tr>
      <w:tr>
        <w:tc>
          <w:tcPr>
            <w:tcW w:type="dxa" w:w="2600"/>
            <w:tcBorders>
              <w:top w:val="single" w:color="BFCBEE" w:sz="1"/>
              <w:left w:val="single" w:color="BFCBEE" w:sz="1"/>
              <w:bottom w:val="single" w:color="BFCBEE" w:sz="1"/>
              <w:right w:val="single" w:color="BFCBEE" w:sz="1"/>
            </w:tcBorders>
            <w:shd w:fill="EEF2FF" w:val="clear"/>
            <w:tcMar>
              <w:top w:type="dxa" w:w="100"/>
              <w:left w:type="dxa" w:w="150"/>
              <w:bottom w:type="dxa" w:w="100"/>
              <w:right w:type="dxa" w:w="150"/>
            </w:tcMar>
            <w:vAlign w:val="center"/>
          </w:tcPr>
          <w:p>
            <w:r>
              <w:rPr>
                <w:rFonts w:ascii="Arial" w:cs="Arial" w:eastAsia="Arial" w:hAnsi="Arial"/>
                <w:b/>
                <w:bCs/>
                <w:color w:val="0F1E40"/>
                <w:sz w:val="20"/>
                <w:szCs w:val="20"/>
              </w:rPr>
              <w:t xml:space="preserve">Service Identifier</w:t>
            </w:r>
          </w:p>
        </w:tc>
        <w:tc>
          <w:tcPr>
            <w:tcW w:type="dxa" w:w="6760"/>
            <w:tcBorders>
              <w:top w:val="single" w:color="BFCBEE" w:sz="1"/>
              <w:left w:val="single" w:color="BFCBEE" w:sz="1"/>
              <w:bottom w:val="single" w:color="BFCBEE" w:sz="1"/>
              <w:right w:val="single" w:color="BFCBEE"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idea-similarity-detector</w:t>
            </w:r>
          </w:p>
        </w:tc>
      </w:tr>
      <w:tr>
        <w:tc>
          <w:tcPr>
            <w:tcW w:type="dxa" w:w="2600"/>
            <w:tcBorders>
              <w:top w:val="single" w:color="BFCBEE" w:sz="1"/>
              <w:left w:val="single" w:color="BFCBEE" w:sz="1"/>
              <w:bottom w:val="single" w:color="BFCBEE" w:sz="1"/>
              <w:right w:val="single" w:color="BFCBEE" w:sz="1"/>
            </w:tcBorders>
            <w:shd w:fill="EEF2FF" w:val="clear"/>
            <w:tcMar>
              <w:top w:type="dxa" w:w="100"/>
              <w:left w:type="dxa" w:w="150"/>
              <w:bottom w:type="dxa" w:w="100"/>
              <w:right w:type="dxa" w:w="150"/>
            </w:tcMar>
            <w:vAlign w:val="center"/>
          </w:tcPr>
          <w:p>
            <w:r>
              <w:rPr>
                <w:rFonts w:ascii="Arial" w:cs="Arial" w:eastAsia="Arial" w:hAnsi="Arial"/>
                <w:b/>
                <w:bCs/>
                <w:color w:val="0F1E40"/>
                <w:sz w:val="20"/>
                <w:szCs w:val="20"/>
              </w:rPr>
              <w:t xml:space="preserve">Module</w:t>
            </w:r>
          </w:p>
        </w:tc>
        <w:tc>
          <w:tcPr>
            <w:tcW w:type="dxa" w:w="6760"/>
            <w:tcBorders>
              <w:top w:val="single" w:color="BFCBEE" w:sz="1"/>
              <w:left w:val="single" w:color="BFCBEE" w:sz="1"/>
              <w:bottom w:val="single" w:color="BFCBEE" w:sz="1"/>
              <w:right w:val="single" w:color="BFCBEE"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XII Innovation Engine · Anti-Theft Layer</w:t>
            </w:r>
          </w:p>
        </w:tc>
      </w:tr>
      <w:tr>
        <w:tc>
          <w:tcPr>
            <w:tcW w:type="dxa" w:w="2600"/>
            <w:tcBorders>
              <w:top w:val="single" w:color="BFCBEE" w:sz="1"/>
              <w:left w:val="single" w:color="BFCBEE" w:sz="1"/>
              <w:bottom w:val="single" w:color="BFCBEE" w:sz="1"/>
              <w:right w:val="single" w:color="BFCBEE" w:sz="1"/>
            </w:tcBorders>
            <w:shd w:fill="EEF2FF" w:val="clear"/>
            <w:tcMar>
              <w:top w:type="dxa" w:w="100"/>
              <w:left w:type="dxa" w:w="150"/>
              <w:bottom w:type="dxa" w:w="100"/>
              <w:right w:type="dxa" w:w="150"/>
            </w:tcMar>
            <w:vAlign w:val="center"/>
          </w:tcPr>
          <w:p>
            <w:r>
              <w:rPr>
                <w:rFonts w:ascii="Arial" w:cs="Arial" w:eastAsia="Arial" w:hAnsi="Arial"/>
                <w:b/>
                <w:bCs/>
                <w:color w:val="0F1E40"/>
                <w:sz w:val="20"/>
                <w:szCs w:val="20"/>
              </w:rPr>
              <w:t xml:space="preserve">Namespace</w:t>
            </w:r>
          </w:p>
        </w:tc>
        <w:tc>
          <w:tcPr>
            <w:tcW w:type="dxa" w:w="6760"/>
            <w:tcBorders>
              <w:top w:val="single" w:color="BFCBEE" w:sz="1"/>
              <w:left w:val="single" w:color="BFCBEE" w:sz="1"/>
              <w:bottom w:val="single" w:color="BFCBEE" w:sz="1"/>
              <w:right w:val="single" w:color="BFCBEE"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analytics (k3s)</w:t>
            </w:r>
          </w:p>
        </w:tc>
      </w:tr>
      <w:tr>
        <w:tc>
          <w:tcPr>
            <w:tcW w:type="dxa" w:w="2600"/>
            <w:tcBorders>
              <w:top w:val="single" w:color="BFCBEE" w:sz="1"/>
              <w:left w:val="single" w:color="BFCBEE" w:sz="1"/>
              <w:bottom w:val="single" w:color="BFCBEE" w:sz="1"/>
              <w:right w:val="single" w:color="BFCBEE" w:sz="1"/>
            </w:tcBorders>
            <w:shd w:fill="EEF2FF" w:val="clear"/>
            <w:tcMar>
              <w:top w:type="dxa" w:w="100"/>
              <w:left w:type="dxa" w:w="150"/>
              <w:bottom w:type="dxa" w:w="100"/>
              <w:right w:type="dxa" w:w="150"/>
            </w:tcMar>
            <w:vAlign w:val="center"/>
          </w:tcPr>
          <w:p>
            <w:r>
              <w:rPr>
                <w:rFonts w:ascii="Arial" w:cs="Arial" w:eastAsia="Arial" w:hAnsi="Arial"/>
                <w:b/>
                <w:bCs/>
                <w:color w:val="0F1E40"/>
                <w:sz w:val="20"/>
                <w:szCs w:val="20"/>
              </w:rPr>
              <w:t xml:space="preserve">Activation Pattern</w:t>
            </w:r>
          </w:p>
        </w:tc>
        <w:tc>
          <w:tcPr>
            <w:tcW w:type="dxa" w:w="6760"/>
            <w:tcBorders>
              <w:top w:val="single" w:color="BFCBEE" w:sz="1"/>
              <w:left w:val="single" w:color="BFCBEE" w:sz="1"/>
              <w:bottom w:val="single" w:color="BFCBEE" w:sz="1"/>
              <w:right w:val="single" w:color="BFCBEE"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Kafka Consumer (async) · idea.fingerprinted topic</w:t>
            </w:r>
          </w:p>
        </w:tc>
      </w:tr>
      <w:tr>
        <w:tc>
          <w:tcPr>
            <w:tcW w:type="dxa" w:w="2600"/>
            <w:tcBorders>
              <w:top w:val="single" w:color="BFCBEE" w:sz="1"/>
              <w:left w:val="single" w:color="BFCBEE" w:sz="1"/>
              <w:bottom w:val="single" w:color="BFCBEE" w:sz="1"/>
              <w:right w:val="single" w:color="BFCBEE" w:sz="1"/>
            </w:tcBorders>
            <w:shd w:fill="EEF2FF" w:val="clear"/>
            <w:tcMar>
              <w:top w:type="dxa" w:w="100"/>
              <w:left w:type="dxa" w:w="150"/>
              <w:bottom w:type="dxa" w:w="100"/>
              <w:right w:type="dxa" w:w="150"/>
            </w:tcMar>
            <w:vAlign w:val="center"/>
          </w:tcPr>
          <w:p>
            <w:r>
              <w:rPr>
                <w:rFonts w:ascii="Arial" w:cs="Arial" w:eastAsia="Arial" w:hAnsi="Arial"/>
                <w:b/>
                <w:bCs/>
                <w:color w:val="0F1E40"/>
                <w:sz w:val="20"/>
                <w:szCs w:val="20"/>
              </w:rPr>
              <w:t xml:space="preserve">Core Algorithm</w:t>
            </w:r>
          </w:p>
        </w:tc>
        <w:tc>
          <w:tcPr>
            <w:tcW w:type="dxa" w:w="6760"/>
            <w:tcBorders>
              <w:top w:val="single" w:color="BFCBEE" w:sz="1"/>
              <w:left w:val="single" w:color="BFCBEE" w:sz="1"/>
              <w:bottom w:val="single" w:color="BFCBEE" w:sz="1"/>
              <w:right w:val="single" w:color="BFCBEE"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Cosine Similarity via ANN search · Qdrant vector DB</w:t>
            </w:r>
          </w:p>
        </w:tc>
      </w:tr>
      <w:tr>
        <w:tc>
          <w:tcPr>
            <w:tcW w:type="dxa" w:w="2600"/>
            <w:tcBorders>
              <w:top w:val="single" w:color="BFCBEE" w:sz="1"/>
              <w:left w:val="single" w:color="BFCBEE" w:sz="1"/>
              <w:bottom w:val="single" w:color="BFCBEE" w:sz="1"/>
              <w:right w:val="single" w:color="BFCBEE" w:sz="1"/>
            </w:tcBorders>
            <w:shd w:fill="EEF2FF" w:val="clear"/>
            <w:tcMar>
              <w:top w:type="dxa" w:w="100"/>
              <w:left w:type="dxa" w:w="150"/>
              <w:bottom w:type="dxa" w:w="100"/>
              <w:right w:type="dxa" w:w="150"/>
            </w:tcMar>
            <w:vAlign w:val="center"/>
          </w:tcPr>
          <w:p>
            <w:r>
              <w:rPr>
                <w:rFonts w:ascii="Arial" w:cs="Arial" w:eastAsia="Arial" w:hAnsi="Arial"/>
                <w:b/>
                <w:bCs/>
                <w:color w:val="0F1E40"/>
                <w:sz w:val="20"/>
                <w:szCs w:val="20"/>
              </w:rPr>
              <w:t xml:space="preserve">State Storage</w:t>
            </w:r>
          </w:p>
        </w:tc>
        <w:tc>
          <w:tcPr>
            <w:tcW w:type="dxa" w:w="6760"/>
            <w:tcBorders>
              <w:top w:val="single" w:color="BFCBEE" w:sz="1"/>
              <w:left w:val="single" w:color="BFCBEE" w:sz="1"/>
              <w:bottom w:val="single" w:color="BFCBEE" w:sz="1"/>
              <w:right w:val="single" w:color="BFCBEE"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PostgreSQL 15 (similarity results) · Qdrant (vector index)</w:t>
            </w:r>
          </w:p>
        </w:tc>
      </w:tr>
      <w:tr>
        <w:tc>
          <w:tcPr>
            <w:tcW w:type="dxa" w:w="2600"/>
            <w:tcBorders>
              <w:top w:val="single" w:color="BFCBEE" w:sz="1"/>
              <w:left w:val="single" w:color="BFCBEE" w:sz="1"/>
              <w:bottom w:val="single" w:color="BFCBEE" w:sz="1"/>
              <w:right w:val="single" w:color="BFCBEE" w:sz="1"/>
            </w:tcBorders>
            <w:shd w:fill="EEF2FF" w:val="clear"/>
            <w:tcMar>
              <w:top w:type="dxa" w:w="100"/>
              <w:left w:type="dxa" w:w="150"/>
              <w:bottom w:type="dxa" w:w="100"/>
              <w:right w:type="dxa" w:w="150"/>
            </w:tcMar>
            <w:vAlign w:val="center"/>
          </w:tcPr>
          <w:p>
            <w:r>
              <w:rPr>
                <w:rFonts w:ascii="Arial" w:cs="Arial" w:eastAsia="Arial" w:hAnsi="Arial"/>
                <w:b/>
                <w:bCs/>
                <w:color w:val="0F1E40"/>
                <w:sz w:val="20"/>
                <w:szCs w:val="20"/>
              </w:rPr>
              <w:t xml:space="preserve">Tenant Isolation</w:t>
            </w:r>
          </w:p>
        </w:tc>
        <w:tc>
          <w:tcPr>
            <w:tcW w:type="dxa" w:w="6760"/>
            <w:tcBorders>
              <w:top w:val="single" w:color="BFCBEE" w:sz="1"/>
              <w:left w:val="single" w:color="BFCBEE" w:sz="1"/>
              <w:bottom w:val="single" w:color="BFCBEE" w:sz="1"/>
              <w:right w:val="single" w:color="BFCBEE"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Qdrant payload filter by tenant_id · PostgreSQL RLS</w:t>
            </w:r>
          </w:p>
        </w:tc>
      </w:tr>
      <w:tr>
        <w:tc>
          <w:tcPr>
            <w:tcW w:type="dxa" w:w="2600"/>
            <w:tcBorders>
              <w:top w:val="single" w:color="BFCBEE" w:sz="1"/>
              <w:left w:val="single" w:color="BFCBEE" w:sz="1"/>
              <w:bottom w:val="single" w:color="BFCBEE" w:sz="1"/>
              <w:right w:val="single" w:color="BFCBEE" w:sz="1"/>
            </w:tcBorders>
            <w:shd w:fill="EEF2FF" w:val="clear"/>
            <w:tcMar>
              <w:top w:type="dxa" w:w="100"/>
              <w:left w:type="dxa" w:w="150"/>
              <w:bottom w:type="dxa" w:w="100"/>
              <w:right w:type="dxa" w:w="150"/>
            </w:tcMar>
            <w:vAlign w:val="center"/>
          </w:tcPr>
          <w:p>
            <w:r>
              <w:rPr>
                <w:rFonts w:ascii="Arial" w:cs="Arial" w:eastAsia="Arial" w:hAnsi="Arial"/>
                <w:b/>
                <w:bCs/>
                <w:color w:val="0F1E40"/>
                <w:sz w:val="20"/>
                <w:szCs w:val="20"/>
              </w:rPr>
              <w:t xml:space="preserve">Downstream Triggers</w:t>
            </w:r>
          </w:p>
        </w:tc>
        <w:tc>
          <w:tcPr>
            <w:tcW w:type="dxa" w:w="6760"/>
            <w:tcBorders>
              <w:top w:val="single" w:color="BFCBEE" w:sz="1"/>
              <w:left w:val="single" w:color="BFCBEE" w:sz="1"/>
              <w:bottom w:val="single" w:color="BFCBEE" w:sz="1"/>
              <w:right w:val="single" w:color="BFCBEE"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Kafka → notification-service, admin-service, dispute-service</w:t>
            </w:r>
          </w:p>
        </w:tc>
      </w:tr>
      <w:tr>
        <w:tc>
          <w:tcPr>
            <w:tcW w:type="dxa" w:w="2600"/>
            <w:tcBorders>
              <w:top w:val="single" w:color="BFCBEE" w:sz="1"/>
              <w:left w:val="single" w:color="BFCBEE" w:sz="1"/>
              <w:bottom w:val="single" w:color="BFCBEE" w:sz="1"/>
              <w:right w:val="single" w:color="BFCBEE" w:sz="1"/>
            </w:tcBorders>
            <w:shd w:fill="EEF2FF" w:val="clear"/>
            <w:tcMar>
              <w:top w:type="dxa" w:w="100"/>
              <w:left w:type="dxa" w:w="150"/>
              <w:bottom w:type="dxa" w:w="100"/>
              <w:right w:type="dxa" w:w="150"/>
            </w:tcMar>
            <w:vAlign w:val="center"/>
          </w:tcPr>
          <w:p>
            <w:r>
              <w:rPr>
                <w:rFonts w:ascii="Arial" w:cs="Arial" w:eastAsia="Arial" w:hAnsi="Arial"/>
                <w:b/>
                <w:bCs/>
                <w:color w:val="0F1E40"/>
                <w:sz w:val="20"/>
                <w:szCs w:val="20"/>
              </w:rPr>
              <w:t xml:space="preserve">Deployment Target</w:t>
            </w:r>
          </w:p>
        </w:tc>
        <w:tc>
          <w:tcPr>
            <w:tcW w:type="dxa" w:w="6760"/>
            <w:tcBorders>
              <w:top w:val="single" w:color="BFCBEE" w:sz="1"/>
              <w:left w:val="single" w:color="BFCBEE" w:sz="1"/>
              <w:bottom w:val="single" w:color="BFCBEE" w:sz="1"/>
              <w:right w:val="single" w:color="BFCBEE"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k3s · GCP asia-south1 (primary) + AWS ap-south-1 (HA)</w:t>
            </w:r>
          </w:p>
        </w:tc>
      </w:tr>
    </w:tbl>
    <w:p>
      <w:pPr>
        <w:spacing w:before="160" w:after="0"/>
      </w:pPr>
      <w:r>
        <w:t xml:space="preserve"/>
      </w:r>
    </w:p>
    <w:p>
      <w:pPr>
        <w:pStyle w:val="Heading1"/>
        <w:spacing w:before="360" w:after="100"/>
      </w:pPr>
      <w:r>
        <w:rPr>
          <w:rFonts w:ascii="Arial" w:cs="Arial" w:eastAsia="Arial" w:hAnsi="Arial"/>
          <w:b/>
          <w:bCs/>
          <w:color w:val="0F1E40"/>
          <w:sz w:val="36"/>
          <w:szCs w:val="36"/>
        </w:rPr>
        <w:t xml:space="preserve">3. Core Responsibilities</w:t>
      </w:r>
    </w:p>
    <w:p>
      <w:pPr>
        <w:pBdr>
          <w:bottom w:val="single" w:color="2563EB" w:sz="6" w:space="1"/>
        </w:pBdr>
        <w:spacing w:before="80" w:after="100"/>
      </w:pPr>
    </w:p>
    <w:p>
      <w:pPr>
        <w:spacing w:before="80" w:after="0"/>
      </w:pPr>
      <w:r>
        <w:t xml:space="preserve"/>
      </w:r>
    </w:p>
    <w:p>
      <w:pPr>
        <w:pStyle w:val="Heading2"/>
        <w:spacing w:before="260" w:after="80"/>
      </w:pPr>
      <w:r>
        <w:rPr>
          <w:rFonts w:ascii="Arial" w:cs="Arial" w:eastAsia="Arial" w:hAnsi="Arial"/>
          <w:b/>
          <w:bCs/>
          <w:color w:val="1A3A6B"/>
          <w:sz w:val="28"/>
          <w:szCs w:val="28"/>
        </w:rPr>
        <w:t xml:space="preserve">3.1  Kafka Event Consumption &amp; Idea Context Hydration</w:t>
      </w:r>
    </w:p>
    <w:p>
      <w:pPr>
        <w:spacing w:before="80" w:after="80"/>
      </w:pPr>
      <w:r>
        <w:rPr>
          <w:rFonts w:ascii="Arial" w:cs="Arial" w:eastAsia="Arial" w:hAnsi="Arial"/>
          <w:b w:val="false"/>
          <w:bCs w:val="false"/>
          <w:i w:val="false"/>
          <w:iCs w:val="false"/>
          <w:color w:val="1A1A1A"/>
          <w:sz w:val="22"/>
          <w:szCs w:val="22"/>
        </w:rPr>
        <w:t xml:space="preserve">The service maintains a persistent Kafka consumer subscribed to the idea.fingerprinted topic (consumer group: idea-similarity-detector-idea.fingerprinted-consumer). On event receipt, it extracts the idea_id, tenant_id, candidate_id, and the Qdrant vector_id reference for the newly generated embedding. It then queries Qdrant to retrieve the embedding vector before executing the similarity search, ensuring the search uses the canonical stored representation rather than a recomputed value.</w:t>
      </w:r>
    </w:p>
    <w:p>
      <w:pPr>
        <w:spacing w:before="80" w:after="0"/>
      </w:pPr>
      <w:r>
        <w:t xml:space="preserve"/>
      </w:r>
    </w:p>
    <w:p>
      <w:pPr>
        <w:pStyle w:val="Heading2"/>
        <w:spacing w:before="260" w:after="80"/>
      </w:pPr>
      <w:r>
        <w:rPr>
          <w:rFonts w:ascii="Arial" w:cs="Arial" w:eastAsia="Arial" w:hAnsi="Arial"/>
          <w:b/>
          <w:bCs/>
          <w:color w:val="1A3A6B"/>
          <w:sz w:val="28"/>
          <w:szCs w:val="28"/>
        </w:rPr>
        <w:t xml:space="preserve">3.2  Approximate Nearest Neighbor (ANN) Vector Search</w:t>
      </w:r>
    </w:p>
    <w:p>
      <w:pPr>
        <w:spacing w:before="80" w:after="80"/>
      </w:pPr>
      <w:r>
        <w:rPr>
          <w:rFonts w:ascii="Arial" w:cs="Arial" w:eastAsia="Arial" w:hAnsi="Arial"/>
          <w:b w:val="false"/>
          <w:bCs w:val="false"/>
          <w:i w:val="false"/>
          <w:iCs w:val="false"/>
          <w:color w:val="1A1A1A"/>
          <w:sz w:val="22"/>
          <w:szCs w:val="22"/>
        </w:rPr>
        <w:t xml:space="preserve">The core computation is a k-nearest-neighbor query against the Qdrant idea-embeddings collection. The query is scoped by tenant_id using Qdrant's payload filter mechanism, and optionally filtered by idea category to reduce false positives from cross-domain comparisons. The service retrieves the top-K=20 most similar idea vectors along with their cosine similarity scores, filtering out the query vector itself (self-exclusion).</w:t>
      </w:r>
    </w:p>
    <w:p>
      <w:pPr>
        <w:spacing w:before="80" w:after="0"/>
      </w:pPr>
      <w:r>
        <w:t xml:space="preserve"/>
      </w:r>
    </w:p>
    <w:p>
      <w:pPr>
        <w:pStyle w:val="Heading2"/>
        <w:spacing w:before="260" w:after="80"/>
      </w:pPr>
      <w:r>
        <w:rPr>
          <w:rFonts w:ascii="Arial" w:cs="Arial" w:eastAsia="Arial" w:hAnsi="Arial"/>
          <w:b/>
          <w:bCs/>
          <w:color w:val="1A3A6B"/>
          <w:sz w:val="28"/>
          <w:szCs w:val="28"/>
        </w:rPr>
        <w:t xml:space="preserve">3.3  Copy Probability Scoring</w:t>
      </w:r>
    </w:p>
    <w:p>
      <w:pPr>
        <w:spacing w:before="80" w:after="80"/>
      </w:pPr>
      <w:r>
        <w:rPr>
          <w:rFonts w:ascii="Arial" w:cs="Arial" w:eastAsia="Arial" w:hAnsi="Arial"/>
          <w:b w:val="false"/>
          <w:bCs w:val="false"/>
          <w:i w:val="false"/>
          <w:iCs w:val="false"/>
          <w:color w:val="1A1A1A"/>
          <w:sz w:val="22"/>
          <w:szCs w:val="22"/>
        </w:rPr>
        <w:t xml:space="preserve">A weighted copy probability score (0.00–1.00) is computed from the ANN results using a configurable scoring formula. The primary input is the maximum cosine similarity score from the top-K results. Secondary inputs include the count of results above a medium-similarity sub-threshold and the semantic category match rate. The resulting score is classified into three tiers: Clear (&lt; 0.60), Review (0.60–0.79), and Flag (&gt;= 0.80). Tier boundaries are configurable per tenant via the admin-service.</w:t>
      </w:r>
    </w:p>
    <w:p>
      <w:pPr>
        <w:spacing w:before="80" w:after="0"/>
      </w:pPr>
      <w:r>
        <w:t xml:space="preserve"/>
      </w:r>
    </w:p>
    <w:p>
      <w:pPr>
        <w:pStyle w:val="Heading2"/>
        <w:spacing w:before="260" w:after="80"/>
      </w:pPr>
      <w:r>
        <w:rPr>
          <w:rFonts w:ascii="Arial" w:cs="Arial" w:eastAsia="Arial" w:hAnsi="Arial"/>
          <w:b/>
          <w:bCs/>
          <w:color w:val="1A3A6B"/>
          <w:sz w:val="28"/>
          <w:szCs w:val="28"/>
        </w:rPr>
        <w:t xml:space="preserve">3.4  Threshold Breach Detection &amp; Kafka Alert Emission</w:t>
      </w:r>
    </w:p>
    <w:p>
      <w:pPr>
        <w:spacing w:before="80" w:after="80"/>
      </w:pPr>
      <w:r>
        <w:rPr>
          <w:rFonts w:ascii="Arial" w:cs="Arial" w:eastAsia="Arial" w:hAnsi="Arial"/>
          <w:b w:val="false"/>
          <w:bCs w:val="false"/>
          <w:i w:val="false"/>
          <w:iCs w:val="false"/>
          <w:color w:val="1A1A1A"/>
          <w:sz w:val="22"/>
          <w:szCs w:val="22"/>
        </w:rPr>
        <w:t xml:space="preserve">When the copy probability score meets or exceeds the configured flag threshold, the service publishes an idea.similarity.flagged event to Kafka. This event carries the full similarity report including the top-matching idea references, their owners, and the computed scores. Downstream consumers — including the notification-service (candidate alert), admin-service (governance queue), and Dispute Service (dispute workflow initiation) — react to this event independently.</w:t>
      </w:r>
    </w:p>
    <w:p>
      <w:pPr>
        <w:spacing w:before="80" w:after="0"/>
      </w:pPr>
      <w:r>
        <w:t xml:space="preserve"/>
      </w:r>
    </w:p>
    <w:p>
      <w:pPr>
        <w:pStyle w:val="Heading2"/>
        <w:spacing w:before="260" w:after="80"/>
      </w:pPr>
      <w:r>
        <w:rPr>
          <w:rFonts w:ascii="Arial" w:cs="Arial" w:eastAsia="Arial" w:hAnsi="Arial"/>
          <w:b/>
          <w:bCs/>
          <w:color w:val="1A3A6B"/>
          <w:sz w:val="28"/>
          <w:szCs w:val="28"/>
        </w:rPr>
        <w:t xml:space="preserve">3.5  Similarity Report Persistence</w:t>
      </w:r>
    </w:p>
    <w:p>
      <w:pPr>
        <w:spacing w:before="80" w:after="80"/>
      </w:pPr>
      <w:r>
        <w:rPr>
          <w:rFonts w:ascii="Arial" w:cs="Arial" w:eastAsia="Arial" w:hAnsi="Arial"/>
          <w:b w:val="false"/>
          <w:bCs w:val="false"/>
          <w:i w:val="false"/>
          <w:iCs w:val="false"/>
          <w:color w:val="1A1A1A"/>
          <w:sz w:val="22"/>
          <w:szCs w:val="22"/>
        </w:rPr>
        <w:t xml:space="preserve">All similarity scan results — including cleared ideas — are persisted to the innovation.idea_similarity_reports PostgreSQL table. This creates a full audit trail of every similarity check, enabling retrospective review if disputes arise post-submission. The table is indexed by (tenant_id, idea_id) and subject to PostgreSQL Row-Level Security, ensuring tenant-scoped query results at the database layer.</w:t>
      </w:r>
    </w:p>
    <w:p>
      <w:pPr>
        <w:spacing w:before="80" w:after="0"/>
      </w:pPr>
      <w:r>
        <w:t xml:space="preserve"/>
      </w:r>
    </w:p>
    <w:p>
      <w:pPr>
        <w:pStyle w:val="Heading2"/>
        <w:spacing w:before="260" w:after="80"/>
      </w:pPr>
      <w:r>
        <w:rPr>
          <w:rFonts w:ascii="Arial" w:cs="Arial" w:eastAsia="Arial" w:hAnsi="Arial"/>
          <w:b/>
          <w:bCs/>
          <w:color w:val="1A3A6B"/>
          <w:sz w:val="28"/>
          <w:szCs w:val="28"/>
        </w:rPr>
        <w:t xml:space="preserve">3.6  Dead-Letter Queue (DLQ) &amp; Retry Handling</w:t>
      </w:r>
    </w:p>
    <w:p>
      <w:pPr>
        <w:spacing w:before="80" w:after="80"/>
      </w:pPr>
      <w:r>
        <w:rPr>
          <w:rFonts w:ascii="Arial" w:cs="Arial" w:eastAsia="Arial" w:hAnsi="Arial"/>
          <w:b w:val="false"/>
          <w:bCs w:val="false"/>
          <w:i w:val="false"/>
          <w:iCs w:val="false"/>
          <w:color w:val="1A1A1A"/>
          <w:sz w:val="22"/>
          <w:szCs w:val="22"/>
        </w:rPr>
        <w:t xml:space="preserve">The Kafka consumer implements a three-retry policy with exponential backoff (1s, 4s, 16s). Events that fail all retries — due to Qdrant unavailability, embedding retrieval failure, or downstream persistence errors — are forwarded to the idea.fingerprinted.dlq topic. A Prometheus alert fires for any DLQ message count above zero within a 5-minute window, ensuring no idea submission silently bypasses similarity checking.</w:t>
      </w:r>
    </w:p>
    <w:p>
      <w:pPr>
        <w:spacing w:before="80" w:after="0"/>
      </w:pPr>
      <w:r>
        <w:t xml:space="preserve"/>
      </w:r>
    </w:p>
    <w:p>
      <w:pPr>
        <w:pStyle w:val="Heading2"/>
        <w:spacing w:before="260" w:after="80"/>
      </w:pPr>
      <w:r>
        <w:rPr>
          <w:rFonts w:ascii="Arial" w:cs="Arial" w:eastAsia="Arial" w:hAnsi="Arial"/>
          <w:b/>
          <w:bCs/>
          <w:color w:val="1A3A6B"/>
          <w:sz w:val="28"/>
          <w:szCs w:val="28"/>
        </w:rPr>
        <w:t xml:space="preserve">3.7  Idempotency &amp; Recheck Triggering</w:t>
      </w:r>
    </w:p>
    <w:p>
      <w:pPr>
        <w:spacing w:before="80" w:after="80"/>
      </w:pPr>
      <w:r>
        <w:rPr>
          <w:rFonts w:ascii="Arial" w:cs="Arial" w:eastAsia="Arial" w:hAnsi="Arial"/>
          <w:b w:val="false"/>
          <w:bCs w:val="false"/>
          <w:i w:val="false"/>
          <w:iCs w:val="false"/>
          <w:color w:val="1A1A1A"/>
          <w:sz w:val="22"/>
          <w:szCs w:val="22"/>
        </w:rPr>
        <w:t xml:space="preserve">The service supports idempotent re-execution of similarity checks for a given idea_id, triggered by an admin POST API call. This is required in two scenarios: when an idea's embedding is updated after initial submission (e.g., candidate amends the idea text), and when new ideas are added to the corpus that might retroactively conflict with previously cleared ideas. Recheck results overwrite the existing similarity report for the idea, with the previous version archived to the audit log table.</w:t>
      </w:r>
    </w:p>
    <w:p>
      <w:pPr>
        <w:spacing w:before="160" w:after="0"/>
      </w:pPr>
      <w:r>
        <w:t xml:space="preserve"/>
      </w:r>
    </w:p>
    <w:p>
      <w:pPr>
        <w:pStyle w:val="Heading1"/>
        <w:spacing w:before="360" w:after="100"/>
      </w:pPr>
      <w:r>
        <w:rPr>
          <w:rFonts w:ascii="Arial" w:cs="Arial" w:eastAsia="Arial" w:hAnsi="Arial"/>
          <w:b/>
          <w:bCs/>
          <w:color w:val="0F1E40"/>
          <w:sz w:val="36"/>
          <w:szCs w:val="36"/>
        </w:rPr>
        <w:t xml:space="preserve">4. Key Features</w:t>
      </w:r>
    </w:p>
    <w:p>
      <w:pPr>
        <w:pBdr>
          <w:bottom w:val="single" w:color="2563EB" w:sz="6" w:space="1"/>
        </w:pBdr>
        <w:spacing w:before="80" w:after="100"/>
      </w:pP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BFCBEE" w:sz="1"/>
              <w:left w:val="single" w:color="BFCBEE" w:sz="1"/>
              <w:bottom w:val="single" w:color="BFCBEE" w:sz="1"/>
              <w:right w:val="single" w:color="BFCBEE" w:sz="1"/>
            </w:tcBorders>
            <w:shd w:fill="1A3A6B" w:val="clear"/>
            <w:tcMar>
              <w:top w:type="dxa" w:w="120"/>
              <w:left w:type="dxa" w:w="100"/>
              <w:bottom w:type="dxa" w:w="120"/>
              <w:right w:type="dxa" w:w="100"/>
            </w:tcMar>
            <w:vAlign w:val="center"/>
          </w:tcPr>
          <w:p>
            <w:pPr>
              <w:jc w:val="center"/>
            </w:pPr>
            <w:r>
              <w:rPr>
                <w:rFonts w:ascii="Arial" w:cs="Arial" w:eastAsia="Arial" w:hAnsi="Arial"/>
                <w:b/>
                <w:bCs/>
                <w:color w:val="FFFFFF"/>
                <w:sz w:val="24"/>
                <w:szCs w:val="24"/>
              </w:rPr>
              <w:t xml:space="preserve">F1</w:t>
            </w:r>
          </w:p>
        </w:tc>
        <w:tc>
          <w:tcPr>
            <w:tcW w:type="dxa" w:w="8660"/>
            <w:tcBorders>
              <w:top w:val="single" w:color="BFCBEE" w:sz="1"/>
              <w:left w:val="single" w:color="BFCBEE" w:sz="1"/>
              <w:bottom w:val="single" w:color="BFCBEE" w:sz="1"/>
              <w:right w:val="single" w:color="BFCBEE" w:sz="1"/>
            </w:tcBorders>
            <w:shd w:fill="F5F7FA" w:val="clear"/>
            <w:tcMar>
              <w:top w:type="dxa" w:w="120"/>
              <w:left w:type="dxa" w:w="180"/>
              <w:bottom w:type="dxa" w:w="120"/>
              <w:right w:type="dxa" w:w="120"/>
            </w:tcMar>
          </w:tcPr>
          <w:p>
            <w:r>
              <w:rPr>
                <w:rFonts w:ascii="Arial" w:cs="Arial" w:eastAsia="Arial" w:hAnsi="Arial"/>
                <w:b/>
                <w:bCs/>
                <w:color w:val="0F1E40"/>
                <w:sz w:val="22"/>
                <w:szCs w:val="22"/>
              </w:rPr>
              <w:t xml:space="preserve">Qdrant-Powered Vector Similarity Search with Tenant Scoping</w:t>
            </w:r>
          </w:p>
          <w:p>
            <w:pPr>
              <w:spacing w:before="60"/>
            </w:pPr>
            <w:r>
              <w:rPr>
                <w:rFonts w:ascii="Arial" w:cs="Arial" w:eastAsia="Arial" w:hAnsi="Arial"/>
                <w:color w:val="4A4A4A"/>
                <w:sz w:val="20"/>
                <w:szCs w:val="20"/>
              </w:rPr>
              <w:t xml:space="preserve">All ANN queries are executed against the Qdrant idea-embeddings collection with a mandatory payload filter on tenant_id. This ensures that cross-tenant idea comparisons are architecturally prevented at the vector DB query level — not just at the application layer. Each tenant's idea corpus is effectively a private similarity namespace, critical for multi-tenant IP protection integrity.</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BFCBEE" w:sz="1"/>
              <w:left w:val="single" w:color="BFCBEE" w:sz="1"/>
              <w:bottom w:val="single" w:color="BFCBEE" w:sz="1"/>
              <w:right w:val="single" w:color="BFCBEE" w:sz="1"/>
            </w:tcBorders>
            <w:shd w:fill="1A3A6B" w:val="clear"/>
            <w:tcMar>
              <w:top w:type="dxa" w:w="120"/>
              <w:left w:type="dxa" w:w="100"/>
              <w:bottom w:type="dxa" w:w="120"/>
              <w:right w:type="dxa" w:w="100"/>
            </w:tcMar>
            <w:vAlign w:val="center"/>
          </w:tcPr>
          <w:p>
            <w:pPr>
              <w:jc w:val="center"/>
            </w:pPr>
            <w:r>
              <w:rPr>
                <w:rFonts w:ascii="Arial" w:cs="Arial" w:eastAsia="Arial" w:hAnsi="Arial"/>
                <w:b/>
                <w:bCs/>
                <w:color w:val="FFFFFF"/>
                <w:sz w:val="24"/>
                <w:szCs w:val="24"/>
              </w:rPr>
              <w:t xml:space="preserve">F2</w:t>
            </w:r>
          </w:p>
        </w:tc>
        <w:tc>
          <w:tcPr>
            <w:tcW w:type="dxa" w:w="8660"/>
            <w:tcBorders>
              <w:top w:val="single" w:color="BFCBEE" w:sz="1"/>
              <w:left w:val="single" w:color="BFCBEE" w:sz="1"/>
              <w:bottom w:val="single" w:color="BFCBEE" w:sz="1"/>
              <w:right w:val="single" w:color="BFCBEE" w:sz="1"/>
            </w:tcBorders>
            <w:shd w:fill="F5F7FA" w:val="clear"/>
            <w:tcMar>
              <w:top w:type="dxa" w:w="120"/>
              <w:left w:type="dxa" w:w="180"/>
              <w:bottom w:type="dxa" w:w="120"/>
              <w:right w:type="dxa" w:w="120"/>
            </w:tcMar>
          </w:tcPr>
          <w:p>
            <w:r>
              <w:rPr>
                <w:rFonts w:ascii="Arial" w:cs="Arial" w:eastAsia="Arial" w:hAnsi="Arial"/>
                <w:b/>
                <w:bCs/>
                <w:color w:val="0F1E40"/>
                <w:sz w:val="22"/>
                <w:szCs w:val="22"/>
              </w:rPr>
              <w:t xml:space="preserve">Three-Tier Copy Probability Classification</w:t>
            </w:r>
          </w:p>
          <w:p>
            <w:pPr>
              <w:spacing w:before="60"/>
            </w:pPr>
            <w:r>
              <w:rPr>
                <w:rFonts w:ascii="Arial" w:cs="Arial" w:eastAsia="Arial" w:hAnsi="Arial"/>
                <w:color w:val="4A4A4A"/>
                <w:sz w:val="20"/>
                <w:szCs w:val="20"/>
              </w:rPr>
              <w:t xml:space="preserve">The service classifies each idea into Clear (&lt;0.60), Review (0.60–0.79), or Flag (&gt;=0.80) tiers based on the computed copy probability score. Tier thresholds are configurable per tenant via the admin-service, enabling enterprise clients to set stricter originality requirements. The three-tier model avoids binary pass/fail outcomes, allowing human review for borderline cases without blocking clearly original submissions.</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BFCBEE" w:sz="1"/>
              <w:left w:val="single" w:color="BFCBEE" w:sz="1"/>
              <w:bottom w:val="single" w:color="BFCBEE" w:sz="1"/>
              <w:right w:val="single" w:color="BFCBEE" w:sz="1"/>
            </w:tcBorders>
            <w:shd w:fill="1A3A6B" w:val="clear"/>
            <w:tcMar>
              <w:top w:type="dxa" w:w="120"/>
              <w:left w:type="dxa" w:w="100"/>
              <w:bottom w:type="dxa" w:w="120"/>
              <w:right w:type="dxa" w:w="100"/>
            </w:tcMar>
            <w:vAlign w:val="center"/>
          </w:tcPr>
          <w:p>
            <w:pPr>
              <w:jc w:val="center"/>
            </w:pPr>
            <w:r>
              <w:rPr>
                <w:rFonts w:ascii="Arial" w:cs="Arial" w:eastAsia="Arial" w:hAnsi="Arial"/>
                <w:b/>
                <w:bCs/>
                <w:color w:val="FFFFFF"/>
                <w:sz w:val="24"/>
                <w:szCs w:val="24"/>
              </w:rPr>
              <w:t xml:space="preserve">F3</w:t>
            </w:r>
          </w:p>
        </w:tc>
        <w:tc>
          <w:tcPr>
            <w:tcW w:type="dxa" w:w="8660"/>
            <w:tcBorders>
              <w:top w:val="single" w:color="BFCBEE" w:sz="1"/>
              <w:left w:val="single" w:color="BFCBEE" w:sz="1"/>
              <w:bottom w:val="single" w:color="BFCBEE" w:sz="1"/>
              <w:right w:val="single" w:color="BFCBEE" w:sz="1"/>
            </w:tcBorders>
            <w:shd w:fill="F5F7FA" w:val="clear"/>
            <w:tcMar>
              <w:top w:type="dxa" w:w="120"/>
              <w:left w:type="dxa" w:w="180"/>
              <w:bottom w:type="dxa" w:w="120"/>
              <w:right w:type="dxa" w:w="120"/>
            </w:tcMar>
          </w:tcPr>
          <w:p>
            <w:r>
              <w:rPr>
                <w:rFonts w:ascii="Arial" w:cs="Arial" w:eastAsia="Arial" w:hAnsi="Arial"/>
                <w:b/>
                <w:bCs/>
                <w:color w:val="0F1E40"/>
                <w:sz w:val="22"/>
                <w:szCs w:val="22"/>
              </w:rPr>
              <w:t xml:space="preserve">Semantic Category-Aware Similarity Filtering</w:t>
            </w:r>
          </w:p>
          <w:p>
            <w:pPr>
              <w:spacing w:before="60"/>
            </w:pPr>
            <w:r>
              <w:rPr>
                <w:rFonts w:ascii="Arial" w:cs="Arial" w:eastAsia="Arial" w:hAnsi="Arial"/>
                <w:color w:val="4A4A4A"/>
                <w:sz w:val="20"/>
                <w:szCs w:val="20"/>
              </w:rPr>
              <w:t xml:space="preserve">Ideas are tagged with semantic categories (e.g., materials science, software architecture, product design) by the upstream Idea DNA Fingerprint Engine. The similarity detector applies category-aware filtering during ANN search, reducing false positive rates from cross-domain comparisons. A software architecture idea will not be incorrectly flagged for similarity against a materials engineering idea that shares surface-level vocabulary.</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BFCBEE" w:sz="1"/>
              <w:left w:val="single" w:color="BFCBEE" w:sz="1"/>
              <w:bottom w:val="single" w:color="BFCBEE" w:sz="1"/>
              <w:right w:val="single" w:color="BFCBEE" w:sz="1"/>
            </w:tcBorders>
            <w:shd w:fill="1A3A6B" w:val="clear"/>
            <w:tcMar>
              <w:top w:type="dxa" w:w="120"/>
              <w:left w:type="dxa" w:w="100"/>
              <w:bottom w:type="dxa" w:w="120"/>
              <w:right w:type="dxa" w:w="100"/>
            </w:tcMar>
            <w:vAlign w:val="center"/>
          </w:tcPr>
          <w:p>
            <w:pPr>
              <w:jc w:val="center"/>
            </w:pPr>
            <w:r>
              <w:rPr>
                <w:rFonts w:ascii="Arial" w:cs="Arial" w:eastAsia="Arial" w:hAnsi="Arial"/>
                <w:b/>
                <w:bCs/>
                <w:color w:val="FFFFFF"/>
                <w:sz w:val="24"/>
                <w:szCs w:val="24"/>
              </w:rPr>
              <w:t xml:space="preserve">F4</w:t>
            </w:r>
          </w:p>
        </w:tc>
        <w:tc>
          <w:tcPr>
            <w:tcW w:type="dxa" w:w="8660"/>
            <w:tcBorders>
              <w:top w:val="single" w:color="BFCBEE" w:sz="1"/>
              <w:left w:val="single" w:color="BFCBEE" w:sz="1"/>
              <w:bottom w:val="single" w:color="BFCBEE" w:sz="1"/>
              <w:right w:val="single" w:color="BFCBEE" w:sz="1"/>
            </w:tcBorders>
            <w:shd w:fill="F5F7FA" w:val="clear"/>
            <w:tcMar>
              <w:top w:type="dxa" w:w="120"/>
              <w:left w:type="dxa" w:w="180"/>
              <w:bottom w:type="dxa" w:w="120"/>
              <w:right w:type="dxa" w:w="120"/>
            </w:tcMar>
          </w:tcPr>
          <w:p>
            <w:r>
              <w:rPr>
                <w:rFonts w:ascii="Arial" w:cs="Arial" w:eastAsia="Arial" w:hAnsi="Arial"/>
                <w:b/>
                <w:bCs/>
                <w:color w:val="0F1E40"/>
                <w:sz w:val="22"/>
                <w:szCs w:val="22"/>
              </w:rPr>
              <w:t xml:space="preserve">Full Audit Trail with Retrospective Recheck</w:t>
            </w:r>
          </w:p>
          <w:p>
            <w:pPr>
              <w:spacing w:before="60"/>
            </w:pPr>
            <w:r>
              <w:rPr>
                <w:rFonts w:ascii="Arial" w:cs="Arial" w:eastAsia="Arial" w:hAnsi="Arial"/>
                <w:color w:val="4A4A4A"/>
                <w:sz w:val="20"/>
                <w:szCs w:val="20"/>
              </w:rPr>
              <w:t xml:space="preserve">Every similarity check — pass or flag — is persisted to PostgreSQL with a complete report including the top-K match references, their similarity scores, the computed copy probability, the classification tier, and the check timestamp. This audit trail supports dispute resolution workflows: if a candidate or recruiter challenges a similarity decision, the exact data that drove the classification is permanently available and queryable.</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BFCBEE" w:sz="1"/>
              <w:left w:val="single" w:color="BFCBEE" w:sz="1"/>
              <w:bottom w:val="single" w:color="BFCBEE" w:sz="1"/>
              <w:right w:val="single" w:color="BFCBEE" w:sz="1"/>
            </w:tcBorders>
            <w:shd w:fill="1A3A6B" w:val="clear"/>
            <w:tcMar>
              <w:top w:type="dxa" w:w="120"/>
              <w:left w:type="dxa" w:w="100"/>
              <w:bottom w:type="dxa" w:w="120"/>
              <w:right w:type="dxa" w:w="100"/>
            </w:tcMar>
            <w:vAlign w:val="center"/>
          </w:tcPr>
          <w:p>
            <w:pPr>
              <w:jc w:val="center"/>
            </w:pPr>
            <w:r>
              <w:rPr>
                <w:rFonts w:ascii="Arial" w:cs="Arial" w:eastAsia="Arial" w:hAnsi="Arial"/>
                <w:b/>
                <w:bCs/>
                <w:color w:val="FFFFFF"/>
                <w:sz w:val="24"/>
                <w:szCs w:val="24"/>
              </w:rPr>
              <w:t xml:space="preserve">F5</w:t>
            </w:r>
          </w:p>
        </w:tc>
        <w:tc>
          <w:tcPr>
            <w:tcW w:type="dxa" w:w="8660"/>
            <w:tcBorders>
              <w:top w:val="single" w:color="BFCBEE" w:sz="1"/>
              <w:left w:val="single" w:color="BFCBEE" w:sz="1"/>
              <w:bottom w:val="single" w:color="BFCBEE" w:sz="1"/>
              <w:right w:val="single" w:color="BFCBEE" w:sz="1"/>
            </w:tcBorders>
            <w:shd w:fill="F5F7FA" w:val="clear"/>
            <w:tcMar>
              <w:top w:type="dxa" w:w="120"/>
              <w:left w:type="dxa" w:w="180"/>
              <w:bottom w:type="dxa" w:w="120"/>
              <w:right w:type="dxa" w:w="120"/>
            </w:tcMar>
          </w:tcPr>
          <w:p>
            <w:r>
              <w:rPr>
                <w:rFonts w:ascii="Arial" w:cs="Arial" w:eastAsia="Arial" w:hAnsi="Arial"/>
                <w:b/>
                <w:bCs/>
                <w:color w:val="0F1E40"/>
                <w:sz w:val="22"/>
                <w:szCs w:val="22"/>
              </w:rPr>
              <w:t xml:space="preserve">Configurable Alert Thresholds via Admin Service</w:t>
            </w:r>
          </w:p>
          <w:p>
            <w:pPr>
              <w:spacing w:before="60"/>
            </w:pPr>
            <w:r>
              <w:rPr>
                <w:rFonts w:ascii="Arial" w:cs="Arial" w:eastAsia="Arial" w:hAnsi="Arial"/>
                <w:color w:val="4A4A4A"/>
                <w:sz w:val="20"/>
                <w:szCs w:val="20"/>
              </w:rPr>
              <w:t xml:space="preserve">Similarity thresholds are not hardcoded. The service reads per-tenant threshold configuration from the admin-service REST API at startup and caches values in Redis with a configurable TTL. This allows platform operators to tune sensitivity without redeployment. Enterprise tenants can opt for stricter thresholds (lower flag boundary) to enforce higher originality standards across their idea submission workflows.</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BFCBEE" w:sz="1"/>
              <w:left w:val="single" w:color="BFCBEE" w:sz="1"/>
              <w:bottom w:val="single" w:color="BFCBEE" w:sz="1"/>
              <w:right w:val="single" w:color="BFCBEE" w:sz="1"/>
            </w:tcBorders>
            <w:shd w:fill="1A3A6B" w:val="clear"/>
            <w:tcMar>
              <w:top w:type="dxa" w:w="120"/>
              <w:left w:type="dxa" w:w="100"/>
              <w:bottom w:type="dxa" w:w="120"/>
              <w:right w:type="dxa" w:w="100"/>
            </w:tcMar>
            <w:vAlign w:val="center"/>
          </w:tcPr>
          <w:p>
            <w:pPr>
              <w:jc w:val="center"/>
            </w:pPr>
            <w:r>
              <w:rPr>
                <w:rFonts w:ascii="Arial" w:cs="Arial" w:eastAsia="Arial" w:hAnsi="Arial"/>
                <w:b/>
                <w:bCs/>
                <w:color w:val="FFFFFF"/>
                <w:sz w:val="24"/>
                <w:szCs w:val="24"/>
              </w:rPr>
              <w:t xml:space="preserve">F6</w:t>
            </w:r>
          </w:p>
        </w:tc>
        <w:tc>
          <w:tcPr>
            <w:tcW w:type="dxa" w:w="8660"/>
            <w:tcBorders>
              <w:top w:val="single" w:color="BFCBEE" w:sz="1"/>
              <w:left w:val="single" w:color="BFCBEE" w:sz="1"/>
              <w:bottom w:val="single" w:color="BFCBEE" w:sz="1"/>
              <w:right w:val="single" w:color="BFCBEE" w:sz="1"/>
            </w:tcBorders>
            <w:shd w:fill="F5F7FA" w:val="clear"/>
            <w:tcMar>
              <w:top w:type="dxa" w:w="120"/>
              <w:left w:type="dxa" w:w="180"/>
              <w:bottom w:type="dxa" w:w="120"/>
              <w:right w:type="dxa" w:w="120"/>
            </w:tcMar>
          </w:tcPr>
          <w:p>
            <w:r>
              <w:rPr>
                <w:rFonts w:ascii="Arial" w:cs="Arial" w:eastAsia="Arial" w:hAnsi="Arial"/>
                <w:b/>
                <w:bCs/>
                <w:color w:val="0F1E40"/>
                <w:sz w:val="22"/>
                <w:szCs w:val="22"/>
              </w:rPr>
              <w:t xml:space="preserve">DLQ Monitoring &amp; Zero-Silent-Failure Guarantee</w:t>
            </w:r>
          </w:p>
          <w:p>
            <w:pPr>
              <w:spacing w:before="60"/>
            </w:pPr>
            <w:r>
              <w:rPr>
                <w:rFonts w:ascii="Arial" w:cs="Arial" w:eastAsia="Arial" w:hAnsi="Arial"/>
                <w:color w:val="4A4A4A"/>
                <w:sz w:val="20"/>
                <w:szCs w:val="20"/>
              </w:rPr>
              <w:t xml:space="preserve">No idea submission can silently bypass similarity checking. The three-retry-plus-DLQ pattern, combined with a Prometheus alert on DLQ event count &gt; 0, ensures that any Qdrant unavailability or embedding retrieval failure is immediately surfaced to the on-call team. The Grafana dashboard includes a dedicated similarity detector health panel showing consumer lag, DLQ counts, and per-tier classification distribution.</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BFCBEE" w:sz="1"/>
              <w:left w:val="single" w:color="BFCBEE" w:sz="1"/>
              <w:bottom w:val="single" w:color="BFCBEE" w:sz="1"/>
              <w:right w:val="single" w:color="BFCBEE" w:sz="1"/>
            </w:tcBorders>
            <w:shd w:fill="1A3A6B" w:val="clear"/>
            <w:tcMar>
              <w:top w:type="dxa" w:w="120"/>
              <w:left w:type="dxa" w:w="100"/>
              <w:bottom w:type="dxa" w:w="120"/>
              <w:right w:type="dxa" w:w="100"/>
            </w:tcMar>
            <w:vAlign w:val="center"/>
          </w:tcPr>
          <w:p>
            <w:pPr>
              <w:jc w:val="center"/>
            </w:pPr>
            <w:r>
              <w:rPr>
                <w:rFonts w:ascii="Arial" w:cs="Arial" w:eastAsia="Arial" w:hAnsi="Arial"/>
                <w:b/>
                <w:bCs/>
                <w:color w:val="FFFFFF"/>
                <w:sz w:val="24"/>
                <w:szCs w:val="24"/>
              </w:rPr>
              <w:t xml:space="preserve">F7</w:t>
            </w:r>
          </w:p>
        </w:tc>
        <w:tc>
          <w:tcPr>
            <w:tcW w:type="dxa" w:w="8660"/>
            <w:tcBorders>
              <w:top w:val="single" w:color="BFCBEE" w:sz="1"/>
              <w:left w:val="single" w:color="BFCBEE" w:sz="1"/>
              <w:bottom w:val="single" w:color="BFCBEE" w:sz="1"/>
              <w:right w:val="single" w:color="BFCBEE" w:sz="1"/>
            </w:tcBorders>
            <w:shd w:fill="F5F7FA" w:val="clear"/>
            <w:tcMar>
              <w:top w:type="dxa" w:w="120"/>
              <w:left w:type="dxa" w:w="180"/>
              <w:bottom w:type="dxa" w:w="120"/>
              <w:right w:type="dxa" w:w="120"/>
            </w:tcMar>
          </w:tcPr>
          <w:p>
            <w:r>
              <w:rPr>
                <w:rFonts w:ascii="Arial" w:cs="Arial" w:eastAsia="Arial" w:hAnsi="Arial"/>
                <w:b/>
                <w:bCs/>
                <w:color w:val="0F1E40"/>
                <w:sz w:val="22"/>
                <w:szCs w:val="22"/>
              </w:rPr>
              <w:t xml:space="preserve">OpenTelemetry Distributed Tracing</w:t>
            </w:r>
          </w:p>
          <w:p>
            <w:pPr>
              <w:spacing w:before="60"/>
            </w:pPr>
            <w:r>
              <w:rPr>
                <w:rFonts w:ascii="Arial" w:cs="Arial" w:eastAsia="Arial" w:hAnsi="Arial"/>
                <w:color w:val="4A4A4A"/>
                <w:sz w:val="20"/>
                <w:szCs w:val="20"/>
              </w:rPr>
              <w:t xml:space="preserve">Trace context is propagated from Kafka message headers through all internal processing spans — embedding retrieval, Qdrant ANN query, score computation, PostgreSQL write, and Kafka publish. Each similarity check produces a complete trace visible in the Ecoskiller Grafana tracing dashboard, enabling latency profiling and bottleneck identification across the ANN pipeline without requiring manual log correlation.</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BFCBEE" w:sz="1"/>
              <w:left w:val="single" w:color="BFCBEE" w:sz="1"/>
              <w:bottom w:val="single" w:color="BFCBEE" w:sz="1"/>
              <w:right w:val="single" w:color="BFCBEE" w:sz="1"/>
            </w:tcBorders>
            <w:shd w:fill="1A3A6B" w:val="clear"/>
            <w:tcMar>
              <w:top w:type="dxa" w:w="120"/>
              <w:left w:type="dxa" w:w="100"/>
              <w:bottom w:type="dxa" w:w="120"/>
              <w:right w:type="dxa" w:w="100"/>
            </w:tcMar>
            <w:vAlign w:val="center"/>
          </w:tcPr>
          <w:p>
            <w:pPr>
              <w:jc w:val="center"/>
            </w:pPr>
            <w:r>
              <w:rPr>
                <w:rFonts w:ascii="Arial" w:cs="Arial" w:eastAsia="Arial" w:hAnsi="Arial"/>
                <w:b/>
                <w:bCs/>
                <w:color w:val="FFFFFF"/>
                <w:sz w:val="24"/>
                <w:szCs w:val="24"/>
              </w:rPr>
              <w:t xml:space="preserve">F8</w:t>
            </w:r>
          </w:p>
        </w:tc>
        <w:tc>
          <w:tcPr>
            <w:tcW w:type="dxa" w:w="8660"/>
            <w:tcBorders>
              <w:top w:val="single" w:color="BFCBEE" w:sz="1"/>
              <w:left w:val="single" w:color="BFCBEE" w:sz="1"/>
              <w:bottom w:val="single" w:color="BFCBEE" w:sz="1"/>
              <w:right w:val="single" w:color="BFCBEE" w:sz="1"/>
            </w:tcBorders>
            <w:shd w:fill="F5F7FA" w:val="clear"/>
            <w:tcMar>
              <w:top w:type="dxa" w:w="120"/>
              <w:left w:type="dxa" w:w="180"/>
              <w:bottom w:type="dxa" w:w="120"/>
              <w:right w:type="dxa" w:w="120"/>
            </w:tcMar>
          </w:tcPr>
          <w:p>
            <w:r>
              <w:rPr>
                <w:rFonts w:ascii="Arial" w:cs="Arial" w:eastAsia="Arial" w:hAnsi="Arial"/>
                <w:b/>
                <w:bCs/>
                <w:color w:val="0F1E40"/>
                <w:sz w:val="22"/>
                <w:szCs w:val="22"/>
              </w:rPr>
              <w:t xml:space="preserve">Horizontal Pod Autoscaling on Kafka Consumer Lag</w:t>
            </w:r>
          </w:p>
          <w:p>
            <w:pPr>
              <w:spacing w:before="60"/>
            </w:pPr>
            <w:r>
              <w:rPr>
                <w:rFonts w:ascii="Arial" w:cs="Arial" w:eastAsia="Arial" w:hAnsi="Arial"/>
                <w:color w:val="4A4A4A"/>
                <w:sz w:val="20"/>
                <w:szCs w:val="20"/>
              </w:rPr>
              <w:t xml:space="preserve">The service is configured with Kubernetes HPA targeting Kafka consumer lag on the idea.fingerprinted topic. During high-throughput idea submission windows, the HPA scales pods horizontally (min: 2, max: 6 in production) to prevent similarity check backlog accumulation. Each pod runs an independent Kafka consumer within the same consumer group, providing parallel partition processing without coordination overhead.</w:t>
            </w:r>
          </w:p>
        </w:tc>
      </w:tr>
    </w:tbl>
    <w:p>
      <w:pPr>
        <w:spacing w:before="160" w:after="0"/>
      </w:pPr>
      <w:r>
        <w:t xml:space="preserve"/>
      </w:r>
    </w:p>
    <w:p>
      <w:pPr>
        <w:pStyle w:val="Heading1"/>
        <w:spacing w:before="360" w:after="100"/>
      </w:pPr>
      <w:r>
        <w:rPr>
          <w:rFonts w:ascii="Arial" w:cs="Arial" w:eastAsia="Arial" w:hAnsi="Arial"/>
          <w:b/>
          <w:bCs/>
          <w:color w:val="0F1E40"/>
          <w:sz w:val="36"/>
          <w:szCs w:val="36"/>
        </w:rPr>
        <w:t xml:space="preserve">5. Inputs</w:t>
      </w:r>
    </w:p>
    <w:p>
      <w:pPr>
        <w:pBdr>
          <w:bottom w:val="single" w:color="2563EB" w:sz="6" w:space="1"/>
        </w:pBdr>
        <w:spacing w:before="80" w:after="100"/>
      </w:pPr>
    </w:p>
    <w:p>
      <w:pPr>
        <w:spacing w:before="80" w:after="0"/>
      </w:pPr>
      <w:r>
        <w:t xml:space="preserve"/>
      </w:r>
    </w:p>
    <w:p>
      <w:pPr>
        <w:pStyle w:val="Heading2"/>
        <w:spacing w:before="260" w:after="80"/>
      </w:pPr>
      <w:r>
        <w:rPr>
          <w:rFonts w:ascii="Arial" w:cs="Arial" w:eastAsia="Arial" w:hAnsi="Arial"/>
          <w:b/>
          <w:bCs/>
          <w:color w:val="1A3A6B"/>
          <w:sz w:val="28"/>
          <w:szCs w:val="28"/>
        </w:rPr>
        <w:t xml:space="preserve">5.1  Kafka Events Consumed</w:t>
      </w:r>
    </w:p>
    <w:p>
      <w:pPr>
        <w:spacing w:before="80" w:after="80"/>
      </w:pPr>
      <w:r>
        <w:rPr>
          <w:rFonts w:ascii="Arial" w:cs="Arial" w:eastAsia="Arial" w:hAnsi="Arial"/>
          <w:b w:val="false"/>
          <w:bCs w:val="false"/>
          <w:i w:val="false"/>
          <w:iCs w:val="false"/>
          <w:color w:val="1A1A1A"/>
          <w:sz w:val="22"/>
          <w:szCs w:val="22"/>
        </w:rPr>
        <w:t xml:space="preserve">The idea-similarity-detector subscribes to the following Apache Kafka topics: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2700"/>
        <w:gridCol w:w="1100"/>
        <w:gridCol w:w="1360"/>
      </w:tblGrid>
      <w:tr>
        <w:tc>
          <w:tcPr>
            <w:tcW w:type="dxa" w:w="2300"/>
            <w:tcBorders>
              <w:top w:val="single" w:color="BFCBEE" w:sz="1"/>
              <w:left w:val="single" w:color="BFCBEE" w:sz="1"/>
              <w:bottom w:val="single" w:color="BFCBEE" w:sz="1"/>
              <w:right w:val="single" w:color="BFCBEE" w:sz="1"/>
            </w:tcBorders>
            <w:shd w:fill="1A3A6B" w:val="clear"/>
            <w:tcMar>
              <w:top w:type="dxa" w:w="90"/>
              <w:left w:type="dxa" w:w="120"/>
              <w:bottom w:type="dxa" w:w="90"/>
              <w:right w:type="dxa" w:w="120"/>
            </w:tcMar>
          </w:tcPr>
          <w:p>
            <w:r>
              <w:rPr>
                <w:rFonts w:ascii="Arial" w:cs="Arial" w:eastAsia="Arial" w:hAnsi="Arial"/>
                <w:b/>
                <w:bCs/>
                <w:color w:val="FFFFFF"/>
                <w:sz w:val="19"/>
                <w:szCs w:val="19"/>
              </w:rPr>
              <w:t xml:space="preserve">Kafka Topic</w:t>
            </w:r>
          </w:p>
        </w:tc>
        <w:tc>
          <w:tcPr>
            <w:tcW w:type="dxa" w:w="1900"/>
            <w:tcBorders>
              <w:top w:val="single" w:color="BFCBEE" w:sz="1"/>
              <w:left w:val="single" w:color="BFCBEE" w:sz="1"/>
              <w:bottom w:val="single" w:color="BFCBEE" w:sz="1"/>
              <w:right w:val="single" w:color="BFCBEE" w:sz="1"/>
            </w:tcBorders>
            <w:shd w:fill="1A3A6B" w:val="clear"/>
            <w:tcMar>
              <w:top w:type="dxa" w:w="90"/>
              <w:left w:type="dxa" w:w="120"/>
              <w:bottom w:type="dxa" w:w="90"/>
              <w:right w:type="dxa" w:w="120"/>
            </w:tcMar>
          </w:tcPr>
          <w:p>
            <w:r>
              <w:rPr>
                <w:rFonts w:ascii="Arial" w:cs="Arial" w:eastAsia="Arial" w:hAnsi="Arial"/>
                <w:b/>
                <w:bCs/>
                <w:color w:val="FFFFFF"/>
                <w:sz w:val="19"/>
                <w:szCs w:val="19"/>
              </w:rPr>
              <w:t xml:space="preserve">Producer</w:t>
            </w:r>
          </w:p>
        </w:tc>
        <w:tc>
          <w:tcPr>
            <w:tcW w:type="dxa" w:w="2700"/>
            <w:tcBorders>
              <w:top w:val="single" w:color="BFCBEE" w:sz="1"/>
              <w:left w:val="single" w:color="BFCBEE" w:sz="1"/>
              <w:bottom w:val="single" w:color="BFCBEE" w:sz="1"/>
              <w:right w:val="single" w:color="BFCBEE" w:sz="1"/>
            </w:tcBorders>
            <w:shd w:fill="1A3A6B" w:val="clear"/>
            <w:tcMar>
              <w:top w:type="dxa" w:w="90"/>
              <w:left w:type="dxa" w:w="120"/>
              <w:bottom w:type="dxa" w:w="90"/>
              <w:right w:type="dxa" w:w="120"/>
            </w:tcMar>
          </w:tcPr>
          <w:p>
            <w:r>
              <w:rPr>
                <w:rFonts w:ascii="Arial" w:cs="Arial" w:eastAsia="Arial" w:hAnsi="Arial"/>
                <w:b/>
                <w:bCs/>
                <w:color w:val="FFFFFF"/>
                <w:sz w:val="19"/>
                <w:szCs w:val="19"/>
              </w:rPr>
              <w:t xml:space="preserve">Consumer(s)</w:t>
            </w:r>
          </w:p>
        </w:tc>
        <w:tc>
          <w:tcPr>
            <w:tcW w:type="dxa" w:w="1100"/>
            <w:tcBorders>
              <w:top w:val="single" w:color="BFCBEE" w:sz="1"/>
              <w:left w:val="single" w:color="BFCBEE" w:sz="1"/>
              <w:bottom w:val="single" w:color="BFCBEE" w:sz="1"/>
              <w:right w:val="single" w:color="BFCBEE" w:sz="1"/>
            </w:tcBorders>
            <w:shd w:fill="1A3A6B" w:val="clear"/>
            <w:tcMar>
              <w:top w:type="dxa" w:w="90"/>
              <w:left w:type="dxa" w:w="120"/>
              <w:bottom w:type="dxa" w:w="90"/>
              <w:right w:type="dxa" w:w="120"/>
            </w:tcMar>
          </w:tcPr>
          <w:p>
            <w:r>
              <w:rPr>
                <w:rFonts w:ascii="Arial" w:cs="Arial" w:eastAsia="Arial" w:hAnsi="Arial"/>
                <w:b/>
                <w:bCs/>
                <w:color w:val="FFFFFF"/>
                <w:sz w:val="19"/>
                <w:szCs w:val="19"/>
              </w:rPr>
              <w:t xml:space="preserve">Partitions</w:t>
            </w:r>
          </w:p>
        </w:tc>
        <w:tc>
          <w:tcPr>
            <w:tcW w:type="dxa" w:w="1360"/>
            <w:tcBorders>
              <w:top w:val="single" w:color="BFCBEE" w:sz="1"/>
              <w:left w:val="single" w:color="BFCBEE" w:sz="1"/>
              <w:bottom w:val="single" w:color="BFCBEE" w:sz="1"/>
              <w:right w:val="single" w:color="BFCBEE" w:sz="1"/>
            </w:tcBorders>
            <w:shd w:fill="1A3A6B" w:val="clear"/>
            <w:tcMar>
              <w:top w:type="dxa" w:w="90"/>
              <w:left w:type="dxa" w:w="120"/>
              <w:bottom w:type="dxa" w:w="90"/>
              <w:right w:type="dxa" w:w="120"/>
            </w:tcMar>
          </w:tcPr>
          <w:p>
            <w:r>
              <w:rPr>
                <w:rFonts w:ascii="Arial" w:cs="Arial" w:eastAsia="Arial" w:hAnsi="Arial"/>
                <w:b/>
                <w:bCs/>
                <w:color w:val="FFFFFF"/>
                <w:sz w:val="19"/>
                <w:szCs w:val="19"/>
              </w:rPr>
              <w:t xml:space="preserve">Retention</w:t>
            </w:r>
          </w:p>
        </w:tc>
      </w:tr>
      <w:tr>
        <w:tc>
          <w:tcPr>
            <w:tcW w:type="dxa" w:w="2300"/>
            <w:tcBorders>
              <w:top w:val="single" w:color="BFCBEE" w:sz="1"/>
              <w:left w:val="single" w:color="BFCBEE" w:sz="1"/>
              <w:bottom w:val="single" w:color="BFCBEE" w:sz="1"/>
              <w:right w:val="single" w:color="BFCBEE" w:sz="1"/>
            </w:tcBorders>
            <w:shd w:fill="FFFFFF" w:val="clear"/>
            <w:tcMar>
              <w:top w:type="dxa" w:w="80"/>
              <w:left w:type="dxa" w:w="120"/>
              <w:bottom w:type="dxa" w:w="80"/>
              <w:right w:type="dxa" w:w="120"/>
            </w:tcMar>
          </w:tcPr>
          <w:p>
            <w:r>
              <w:rPr>
                <w:rFonts w:ascii="Arial" w:cs="Arial" w:eastAsia="Arial" w:hAnsi="Arial"/>
                <w:b/>
                <w:bCs/>
                <w:color w:val="0F1E40"/>
                <w:sz w:val="19"/>
                <w:szCs w:val="19"/>
              </w:rPr>
              <w:t xml:space="preserve">idea.fingerprinted</w:t>
            </w:r>
          </w:p>
        </w:tc>
        <w:tc>
          <w:tcPr>
            <w:tcW w:type="dxa" w:w="1900"/>
            <w:tcBorders>
              <w:top w:val="single" w:color="BFCBEE" w:sz="1"/>
              <w:left w:val="single" w:color="BFCBEE" w:sz="1"/>
              <w:bottom w:val="single" w:color="BFCBEE" w:sz="1"/>
              <w:right w:val="single" w:color="BFCBEE"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idea-dna-fingerprint-engine</w:t>
            </w:r>
          </w:p>
        </w:tc>
        <w:tc>
          <w:tcPr>
            <w:tcW w:type="dxa" w:w="2700"/>
            <w:tcBorders>
              <w:top w:val="single" w:color="BFCBEE" w:sz="1"/>
              <w:left w:val="single" w:color="BFCBEE" w:sz="1"/>
              <w:bottom w:val="single" w:color="BFCBEE" w:sz="1"/>
              <w:right w:val="single" w:color="BFCBEE"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idea-similarity-detector</w:t>
            </w:r>
          </w:p>
        </w:tc>
        <w:tc>
          <w:tcPr>
            <w:tcW w:type="dxa" w:w="1100"/>
            <w:tcBorders>
              <w:top w:val="single" w:color="BFCBEE" w:sz="1"/>
              <w:left w:val="single" w:color="BFCBEE" w:sz="1"/>
              <w:bottom w:val="single" w:color="BFCBEE" w:sz="1"/>
              <w:right w:val="single" w:color="BFCBEE"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3</w:t>
            </w:r>
          </w:p>
        </w:tc>
        <w:tc>
          <w:tcPr>
            <w:tcW w:type="dxa" w:w="1360"/>
            <w:tcBorders>
              <w:top w:val="single" w:color="BFCBEE" w:sz="1"/>
              <w:left w:val="single" w:color="BFCBEE" w:sz="1"/>
              <w:bottom w:val="single" w:color="BFCBEE" w:sz="1"/>
              <w:right w:val="single" w:color="BFCBEE"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30 days</w:t>
            </w:r>
          </w:p>
        </w:tc>
      </w:tr>
      <w:tr>
        <w:tc>
          <w:tcPr>
            <w:tcW w:type="dxa" w:w="2300"/>
            <w:tcBorders>
              <w:top w:val="single" w:color="BFCBEE" w:sz="1"/>
              <w:left w:val="single" w:color="BFCBEE" w:sz="1"/>
              <w:bottom w:val="single" w:color="BFCBEE" w:sz="1"/>
              <w:right w:val="single" w:color="BFCBEE" w:sz="1"/>
            </w:tcBorders>
            <w:shd w:fill="F5F7FA" w:val="clear"/>
            <w:tcMar>
              <w:top w:type="dxa" w:w="80"/>
              <w:left w:type="dxa" w:w="120"/>
              <w:bottom w:type="dxa" w:w="80"/>
              <w:right w:type="dxa" w:w="120"/>
            </w:tcMar>
          </w:tcPr>
          <w:p>
            <w:r>
              <w:rPr>
                <w:rFonts w:ascii="Arial" w:cs="Arial" w:eastAsia="Arial" w:hAnsi="Arial"/>
                <w:b/>
                <w:bCs/>
                <w:color w:val="0F1E40"/>
                <w:sz w:val="19"/>
                <w:szCs w:val="19"/>
              </w:rPr>
              <w:t xml:space="preserve">assessment.idea.submitted</w:t>
            </w:r>
          </w:p>
        </w:tc>
        <w:tc>
          <w:tcPr>
            <w:tcW w:type="dxa" w:w="1900"/>
            <w:tcBorders>
              <w:top w:val="single" w:color="BFCBEE" w:sz="1"/>
              <w:left w:val="single" w:color="BFCBEE" w:sz="1"/>
              <w:bottom w:val="single" w:color="BFCBEE" w:sz="1"/>
              <w:right w:val="single" w:color="BFCBEE" w:sz="1"/>
            </w:tcBorders>
            <w:shd w:fill="F5F7FA" w:val="clear"/>
            <w:tcMar>
              <w:top w:type="dxa" w:w="80"/>
              <w:left w:type="dxa" w:w="120"/>
              <w:bottom w:type="dxa" w:w="80"/>
              <w:right w:type="dxa" w:w="120"/>
            </w:tcMar>
          </w:tcPr>
          <w:p>
            <w:r>
              <w:rPr>
                <w:rFonts w:ascii="Arial" w:cs="Arial" w:eastAsia="Arial" w:hAnsi="Arial"/>
                <w:b w:val="false"/>
                <w:bCs w:val="false"/>
                <w:color w:val="4A4A4A"/>
                <w:sz w:val="19"/>
                <w:szCs w:val="19"/>
              </w:rPr>
              <w:t xml:space="preserve">idea-registry-service</w:t>
            </w:r>
          </w:p>
        </w:tc>
        <w:tc>
          <w:tcPr>
            <w:tcW w:type="dxa" w:w="2700"/>
            <w:tcBorders>
              <w:top w:val="single" w:color="BFCBEE" w:sz="1"/>
              <w:left w:val="single" w:color="BFCBEE" w:sz="1"/>
              <w:bottom w:val="single" w:color="BFCBEE" w:sz="1"/>
              <w:right w:val="single" w:color="BFCBEE" w:sz="1"/>
            </w:tcBorders>
            <w:shd w:fill="F5F7FA" w:val="clear"/>
            <w:tcMar>
              <w:top w:type="dxa" w:w="80"/>
              <w:left w:type="dxa" w:w="120"/>
              <w:bottom w:type="dxa" w:w="80"/>
              <w:right w:type="dxa" w:w="120"/>
            </w:tcMar>
          </w:tcPr>
          <w:p>
            <w:r>
              <w:rPr>
                <w:rFonts w:ascii="Arial" w:cs="Arial" w:eastAsia="Arial" w:hAnsi="Arial"/>
                <w:b w:val="false"/>
                <w:bCs w:val="false"/>
                <w:color w:val="4A4A4A"/>
                <w:sz w:val="19"/>
                <w:szCs w:val="19"/>
              </w:rPr>
              <w:t xml:space="preserve">idea-similarity-detector (recheck trigger)</w:t>
            </w:r>
          </w:p>
        </w:tc>
        <w:tc>
          <w:tcPr>
            <w:tcW w:type="dxa" w:w="1100"/>
            <w:tcBorders>
              <w:top w:val="single" w:color="BFCBEE" w:sz="1"/>
              <w:left w:val="single" w:color="BFCBEE" w:sz="1"/>
              <w:bottom w:val="single" w:color="BFCBEE" w:sz="1"/>
              <w:right w:val="single" w:color="BFCBEE" w:sz="1"/>
            </w:tcBorders>
            <w:shd w:fill="F5F7FA" w:val="clear"/>
            <w:tcMar>
              <w:top w:type="dxa" w:w="80"/>
              <w:left w:type="dxa" w:w="120"/>
              <w:bottom w:type="dxa" w:w="80"/>
              <w:right w:type="dxa" w:w="120"/>
            </w:tcMar>
          </w:tcPr>
          <w:p>
            <w:r>
              <w:rPr>
                <w:rFonts w:ascii="Arial" w:cs="Arial" w:eastAsia="Arial" w:hAnsi="Arial"/>
                <w:b w:val="false"/>
                <w:bCs w:val="false"/>
                <w:color w:val="4A4A4A"/>
                <w:sz w:val="19"/>
                <w:szCs w:val="19"/>
              </w:rPr>
              <w:t xml:space="preserve">3</w:t>
            </w:r>
          </w:p>
        </w:tc>
        <w:tc>
          <w:tcPr>
            <w:tcW w:type="dxa" w:w="1360"/>
            <w:tcBorders>
              <w:top w:val="single" w:color="BFCBEE" w:sz="1"/>
              <w:left w:val="single" w:color="BFCBEE" w:sz="1"/>
              <w:bottom w:val="single" w:color="BFCBEE" w:sz="1"/>
              <w:right w:val="single" w:color="BFCBEE" w:sz="1"/>
            </w:tcBorders>
            <w:shd w:fill="F5F7FA" w:val="clear"/>
            <w:tcMar>
              <w:top w:type="dxa" w:w="80"/>
              <w:left w:type="dxa" w:w="120"/>
              <w:bottom w:type="dxa" w:w="80"/>
              <w:right w:type="dxa" w:w="120"/>
            </w:tcMar>
          </w:tcPr>
          <w:p>
            <w:r>
              <w:rPr>
                <w:rFonts w:ascii="Arial" w:cs="Arial" w:eastAsia="Arial" w:hAnsi="Arial"/>
                <w:b w:val="false"/>
                <w:bCs w:val="false"/>
                <w:color w:val="4A4A4A"/>
                <w:sz w:val="19"/>
                <w:szCs w:val="19"/>
              </w:rPr>
              <w:t xml:space="preserve">30 days</w:t>
            </w:r>
          </w:p>
        </w:tc>
      </w:tr>
    </w:tbl>
    <w:p>
      <w:pPr>
        <w:spacing w:before="100" w:after="0"/>
      </w:pPr>
      <w:r>
        <w:t xml:space="preserve"/>
      </w:r>
    </w:p>
    <w:p>
      <w:pPr>
        <w:pStyle w:val="Heading2"/>
        <w:spacing w:before="260" w:after="80"/>
      </w:pPr>
      <w:r>
        <w:rPr>
          <w:rFonts w:ascii="Arial" w:cs="Arial" w:eastAsia="Arial" w:hAnsi="Arial"/>
          <w:b/>
          <w:bCs/>
          <w:color w:val="1A3A6B"/>
          <w:sz w:val="28"/>
          <w:szCs w:val="28"/>
        </w:rPr>
        <w:t xml:space="preserve">5.2  Kafka Event Payload: idea.fingerprinted</w:t>
      </w:r>
    </w:p>
    <w:p>
      <w:pPr>
        <w:spacing w:before="80" w:after="80"/>
      </w:pPr>
      <w:r>
        <w:rPr>
          <w:rFonts w:ascii="Arial" w:cs="Arial" w:eastAsia="Arial" w:hAnsi="Arial"/>
          <w:b w:val="false"/>
          <w:bCs w:val="false"/>
          <w:i w:val="false"/>
          <w:iCs w:val="false"/>
          <w:color w:val="1A1A1A"/>
          <w:sz w:val="22"/>
          <w:szCs w:val="22"/>
        </w:rPr>
        <w:t xml:space="preserve">The primary trigger event carries the following fields, serialized as Avro and validated against the Apicurio Schema Registry:</w:t>
      </w:r>
    </w:p>
    <w:p>
      <w:pPr>
        <w:spacing w:before="80" w:after="0"/>
      </w:pPr>
      <w:r>
        <w:t xml:space="preserve"/>
      </w:r>
    </w:p>
    <w:p>
      <w:pPr>
        <w:pStyle w:val="ListParagraph"/>
        <w:numPr>
          <w:ilvl w:val="0"/>
          <w:numId w:val="2"/>
        </w:numPr>
        <w:spacing w:before="60" w:after="60"/>
      </w:pPr>
      <w:r>
        <w:rPr>
          <w:rFonts w:ascii="Arial" w:cs="Arial" w:eastAsia="Arial" w:hAnsi="Arial"/>
          <w:b w:val="false"/>
          <w:bCs w:val="false"/>
          <w:color w:val="1A1A1A"/>
          <w:sz w:val="22"/>
          <w:szCs w:val="22"/>
        </w:rPr>
        <w:t xml:space="preserve">tenant_id — Multi-tenant scope identifier</w:t>
      </w:r>
    </w:p>
    <w:p>
      <w:pPr>
        <w:pStyle w:val="ListParagraph"/>
        <w:numPr>
          <w:ilvl w:val="0"/>
          <w:numId w:val="2"/>
        </w:numPr>
        <w:spacing w:before="60" w:after="60"/>
      </w:pPr>
      <w:r>
        <w:rPr>
          <w:rFonts w:ascii="Arial" w:cs="Arial" w:eastAsia="Arial" w:hAnsi="Arial"/>
          <w:b w:val="false"/>
          <w:bCs w:val="false"/>
          <w:color w:val="1A1A1A"/>
          <w:sz w:val="22"/>
          <w:szCs w:val="22"/>
        </w:rPr>
        <w:t xml:space="preserve">idea_id — Unique UUID of the submitted idea (PostgreSQL + Qdrant reference)</w:t>
      </w:r>
    </w:p>
    <w:p>
      <w:pPr>
        <w:pStyle w:val="ListParagraph"/>
        <w:numPr>
          <w:ilvl w:val="0"/>
          <w:numId w:val="2"/>
        </w:numPr>
        <w:spacing w:before="60" w:after="60"/>
      </w:pPr>
      <w:r>
        <w:rPr>
          <w:rFonts w:ascii="Arial" w:cs="Arial" w:eastAsia="Arial" w:hAnsi="Arial"/>
          <w:b w:val="false"/>
          <w:bCs w:val="false"/>
          <w:color w:val="1A1A1A"/>
          <w:sz w:val="22"/>
          <w:szCs w:val="22"/>
        </w:rPr>
        <w:t xml:space="preserve">candidate_id — Ecoskiller candidate UUID of the idea submitter</w:t>
      </w:r>
    </w:p>
    <w:p>
      <w:pPr>
        <w:pStyle w:val="ListParagraph"/>
        <w:numPr>
          <w:ilvl w:val="0"/>
          <w:numId w:val="2"/>
        </w:numPr>
        <w:spacing w:before="60" w:after="60"/>
      </w:pPr>
      <w:r>
        <w:rPr>
          <w:rFonts w:ascii="Arial" w:cs="Arial" w:eastAsia="Arial" w:hAnsi="Arial"/>
          <w:b w:val="false"/>
          <w:bCs w:val="false"/>
          <w:color w:val="1A1A1A"/>
          <w:sz w:val="22"/>
          <w:szCs w:val="22"/>
        </w:rPr>
        <w:t xml:space="preserve">vector_id — Qdrant point ID referencing the stored idea embedding</w:t>
      </w:r>
    </w:p>
    <w:p>
      <w:pPr>
        <w:pStyle w:val="ListParagraph"/>
        <w:numPr>
          <w:ilvl w:val="0"/>
          <w:numId w:val="2"/>
        </w:numPr>
        <w:spacing w:before="60" w:after="60"/>
      </w:pPr>
      <w:r>
        <w:rPr>
          <w:rFonts w:ascii="Arial" w:cs="Arial" w:eastAsia="Arial" w:hAnsi="Arial"/>
          <w:b w:val="false"/>
          <w:bCs w:val="false"/>
          <w:color w:val="1A1A1A"/>
          <w:sz w:val="22"/>
          <w:szCs w:val="22"/>
        </w:rPr>
        <w:t xml:space="preserve">idea_category — Semantic category tag (used for category-aware ANN filtering)</w:t>
      </w:r>
    </w:p>
    <w:p>
      <w:pPr>
        <w:pStyle w:val="ListParagraph"/>
        <w:numPr>
          <w:ilvl w:val="0"/>
          <w:numId w:val="2"/>
        </w:numPr>
        <w:spacing w:before="60" w:after="60"/>
      </w:pPr>
      <w:r>
        <w:rPr>
          <w:rFonts w:ascii="Arial" w:cs="Arial" w:eastAsia="Arial" w:hAnsi="Arial"/>
          <w:b w:val="false"/>
          <w:bCs w:val="false"/>
          <w:color w:val="1A1A1A"/>
          <w:sz w:val="22"/>
          <w:szCs w:val="22"/>
        </w:rPr>
        <w:t xml:space="preserve">submission_timestamp — ISO-8601 timestamp of original idea submission</w:t>
      </w:r>
    </w:p>
    <w:p>
      <w:pPr>
        <w:pStyle w:val="ListParagraph"/>
        <w:numPr>
          <w:ilvl w:val="0"/>
          <w:numId w:val="2"/>
        </w:numPr>
        <w:spacing w:before="60" w:after="60"/>
      </w:pPr>
      <w:r>
        <w:rPr>
          <w:rFonts w:ascii="Arial" w:cs="Arial" w:eastAsia="Arial" w:hAnsi="Arial"/>
          <w:b w:val="false"/>
          <w:bCs w:val="false"/>
          <w:color w:val="1A1A1A"/>
          <w:sz w:val="22"/>
          <w:szCs w:val="22"/>
        </w:rPr>
        <w:t xml:space="preserve">schema_version — Avro schema version from Apicurio Registry</w:t>
      </w:r>
    </w:p>
    <w:p>
      <w:pPr>
        <w:spacing w:before="100" w:after="0"/>
      </w:pPr>
      <w:r>
        <w:t xml:space="preserve"/>
      </w:r>
    </w:p>
    <w:p>
      <w:pPr>
        <w:pStyle w:val="Heading2"/>
        <w:spacing w:before="260" w:after="80"/>
      </w:pPr>
      <w:r>
        <w:rPr>
          <w:rFonts w:ascii="Arial" w:cs="Arial" w:eastAsia="Arial" w:hAnsi="Arial"/>
          <w:b/>
          <w:bCs/>
          <w:color w:val="1A3A6B"/>
          <w:sz w:val="28"/>
          <w:szCs w:val="28"/>
        </w:rPr>
        <w:t xml:space="preserve">5.3  Qdrant Vector Query Input</w:t>
      </w:r>
    </w:p>
    <w:p>
      <w:pPr>
        <w:spacing w:before="80" w:after="80"/>
      </w:pPr>
      <w:r>
        <w:rPr>
          <w:rFonts w:ascii="Arial" w:cs="Arial" w:eastAsia="Arial" w:hAnsi="Arial"/>
          <w:b w:val="false"/>
          <w:bCs w:val="false"/>
          <w:i w:val="false"/>
          <w:iCs w:val="false"/>
          <w:color w:val="1A1A1A"/>
          <w:sz w:val="22"/>
          <w:szCs w:val="22"/>
        </w:rPr>
        <w:t xml:space="preserve">For each processed event, the service issues the following query to the Qdrant Vector Database Service:</w:t>
      </w:r>
    </w:p>
    <w:p>
      <w:pPr>
        <w:spacing w:before="80" w:after="0"/>
      </w:pPr>
      <w:r>
        <w:t xml:space="preserve"/>
      </w:r>
    </w:p>
    <w:p>
      <w:pPr>
        <w:pStyle w:val="ListParagraph"/>
        <w:numPr>
          <w:ilvl w:val="0"/>
          <w:numId w:val="2"/>
        </w:numPr>
        <w:spacing w:before="60" w:after="60"/>
      </w:pPr>
      <w:r>
        <w:rPr>
          <w:rFonts w:ascii="Arial" w:cs="Arial" w:eastAsia="Arial" w:hAnsi="Arial"/>
          <w:b w:val="false"/>
          <w:bCs w:val="false"/>
          <w:color w:val="1A1A1A"/>
          <w:sz w:val="22"/>
          <w:szCs w:val="22"/>
        </w:rPr>
        <w:t xml:space="preserve">Collection: idea-embeddings</w:t>
      </w:r>
    </w:p>
    <w:p>
      <w:pPr>
        <w:pStyle w:val="ListParagraph"/>
        <w:numPr>
          <w:ilvl w:val="0"/>
          <w:numId w:val="2"/>
        </w:numPr>
        <w:spacing w:before="60" w:after="60"/>
      </w:pPr>
      <w:r>
        <w:rPr>
          <w:rFonts w:ascii="Arial" w:cs="Arial" w:eastAsia="Arial" w:hAnsi="Arial"/>
          <w:b w:val="false"/>
          <w:bCs w:val="false"/>
          <w:color w:val="1A1A1A"/>
          <w:sz w:val="22"/>
          <w:szCs w:val="22"/>
        </w:rPr>
        <w:t xml:space="preserve">Query vector: retrieved by vector_id from the idea-embeddings collection (avoids recomputation)</w:t>
      </w:r>
    </w:p>
    <w:p>
      <w:pPr>
        <w:pStyle w:val="ListParagraph"/>
        <w:numPr>
          <w:ilvl w:val="0"/>
          <w:numId w:val="2"/>
        </w:numPr>
        <w:spacing w:before="60" w:after="60"/>
      </w:pPr>
      <w:r>
        <w:rPr>
          <w:rFonts w:ascii="Arial" w:cs="Arial" w:eastAsia="Arial" w:hAnsi="Arial"/>
          <w:b w:val="false"/>
          <w:bCs w:val="false"/>
          <w:color w:val="1A1A1A"/>
          <w:sz w:val="22"/>
          <w:szCs w:val="22"/>
        </w:rPr>
        <w:t xml:space="preserve">Top-K: 20 nearest neighbors</w:t>
      </w:r>
    </w:p>
    <w:p>
      <w:pPr>
        <w:pStyle w:val="ListParagraph"/>
        <w:numPr>
          <w:ilvl w:val="0"/>
          <w:numId w:val="2"/>
        </w:numPr>
        <w:spacing w:before="60" w:after="60"/>
      </w:pPr>
      <w:r>
        <w:rPr>
          <w:rFonts w:ascii="Arial" w:cs="Arial" w:eastAsia="Arial" w:hAnsi="Arial"/>
          <w:b w:val="false"/>
          <w:bCs w:val="false"/>
          <w:color w:val="1A1A1A"/>
          <w:sz w:val="22"/>
          <w:szCs w:val="22"/>
        </w:rPr>
        <w:t xml:space="preserve">Payload filter: {tenant_id: &lt;value&gt;, idea_category: &lt;value&gt;} — mandatory tenant scope + optional category filter</w:t>
      </w:r>
    </w:p>
    <w:p>
      <w:pPr>
        <w:pStyle w:val="ListParagraph"/>
        <w:numPr>
          <w:ilvl w:val="0"/>
          <w:numId w:val="2"/>
        </w:numPr>
        <w:spacing w:before="60" w:after="60"/>
      </w:pPr>
      <w:r>
        <w:rPr>
          <w:rFonts w:ascii="Arial" w:cs="Arial" w:eastAsia="Arial" w:hAnsi="Arial"/>
          <w:b w:val="false"/>
          <w:bCs w:val="false"/>
          <w:color w:val="1A1A1A"/>
          <w:sz w:val="22"/>
          <w:szCs w:val="22"/>
        </w:rPr>
        <w:t xml:space="preserve">Score threshold: minimum cosine similarity 0.40 (configurable) — results below this threshold are discarded before scoring</w:t>
      </w:r>
    </w:p>
    <w:p>
      <w:pPr>
        <w:pStyle w:val="ListParagraph"/>
        <w:numPr>
          <w:ilvl w:val="0"/>
          <w:numId w:val="2"/>
        </w:numPr>
        <w:spacing w:before="60" w:after="60"/>
      </w:pPr>
      <w:r>
        <w:rPr>
          <w:rFonts w:ascii="Arial" w:cs="Arial" w:eastAsia="Arial" w:hAnsi="Arial"/>
          <w:b w:val="false"/>
          <w:bCs w:val="false"/>
          <w:color w:val="1A1A1A"/>
          <w:sz w:val="22"/>
          <w:szCs w:val="22"/>
        </w:rPr>
        <w:t xml:space="preserve">With payload: true — returns stored metadata (idea_id, candidate_id, submission_timestamp) for each match</w:t>
      </w:r>
    </w:p>
    <w:p>
      <w:pPr>
        <w:spacing w:before="100" w:after="0"/>
      </w:pPr>
      <w:r>
        <w:t xml:space="preserve"/>
      </w:r>
    </w:p>
    <w:p>
      <w:pPr>
        <w:pStyle w:val="Heading2"/>
        <w:spacing w:before="260" w:after="80"/>
      </w:pPr>
      <w:r>
        <w:rPr>
          <w:rFonts w:ascii="Arial" w:cs="Arial" w:eastAsia="Arial" w:hAnsi="Arial"/>
          <w:b/>
          <w:bCs/>
          <w:color w:val="1A3A6B"/>
          <w:sz w:val="28"/>
          <w:szCs w:val="28"/>
        </w:rPr>
        <w:t xml:space="preserve">5.4  Configuration Inputs</w:t>
      </w:r>
    </w:p>
    <w:p>
      <w:pPr>
        <w:spacing w:before="80" w:after="80"/>
      </w:pPr>
      <w:r>
        <w:rPr>
          <w:rFonts w:ascii="Arial" w:cs="Arial" w:eastAsia="Arial" w:hAnsi="Arial"/>
          <w:b w:val="false"/>
          <w:bCs w:val="false"/>
          <w:i w:val="false"/>
          <w:iCs w:val="false"/>
          <w:color w:val="1A1A1A"/>
          <w:sz w:val="22"/>
          <w:szCs w:val="22"/>
        </w:rPr>
        <w:t xml:space="preserve">At startup and on TTL expiry, the service reads configuration from:</w:t>
      </w:r>
    </w:p>
    <w:p>
      <w:pPr>
        <w:spacing w:before="80" w:after="0"/>
      </w:pPr>
      <w:r>
        <w:t xml:space="preserve"/>
      </w:r>
    </w:p>
    <w:p>
      <w:pPr>
        <w:pStyle w:val="ListParagraph"/>
        <w:numPr>
          <w:ilvl w:val="0"/>
          <w:numId w:val="2"/>
        </w:numPr>
        <w:spacing w:before="60" w:after="60"/>
      </w:pPr>
      <w:r>
        <w:rPr>
          <w:rFonts w:ascii="Arial" w:cs="Arial" w:eastAsia="Arial" w:hAnsi="Arial"/>
          <w:b w:val="false"/>
          <w:bCs w:val="false"/>
          <w:color w:val="1A1A1A"/>
          <w:sz w:val="22"/>
          <w:szCs w:val="22"/>
        </w:rPr>
        <w:t xml:space="preserve">Redis cache key tenant:{tenant_id}:similarity:thresholds — Per-tenant threshold config (TTL: 5 minutes). Cache miss triggers REST call to admin-service.</w:t>
      </w:r>
    </w:p>
    <w:p>
      <w:pPr>
        <w:pStyle w:val="ListParagraph"/>
        <w:numPr>
          <w:ilvl w:val="0"/>
          <w:numId w:val="2"/>
        </w:numPr>
        <w:spacing w:before="60" w:after="60"/>
      </w:pPr>
      <w:r>
        <w:rPr>
          <w:rFonts w:ascii="Arial" w:cs="Arial" w:eastAsia="Arial" w:hAnsi="Arial"/>
          <w:b w:val="false"/>
          <w:bCs w:val="false"/>
          <w:color w:val="1A1A1A"/>
          <w:sz w:val="22"/>
          <w:szCs w:val="22"/>
        </w:rPr>
        <w:t xml:space="preserve">Kubernetes ConfigMap: QDRANT_URL, KAFKA_BROKERS, SCHEMA_REGISTRY_URL, POSTGRES_DSN, REDIS_URL</w:t>
      </w:r>
    </w:p>
    <w:p>
      <w:pPr>
        <w:pStyle w:val="ListParagraph"/>
        <w:numPr>
          <w:ilvl w:val="0"/>
          <w:numId w:val="2"/>
        </w:numPr>
        <w:spacing w:before="60" w:after="60"/>
      </w:pPr>
      <w:r>
        <w:rPr>
          <w:rFonts w:ascii="Arial" w:cs="Arial" w:eastAsia="Arial" w:hAnsi="Arial"/>
          <w:b w:val="false"/>
          <w:bCs w:val="false"/>
          <w:color w:val="1A1A1A"/>
          <w:sz w:val="22"/>
          <w:szCs w:val="22"/>
        </w:rPr>
        <w:t xml:space="preserve">Kubernetes Secret: PostgreSQL service account credentials, Redis auth token, Qdrant API key</w:t>
      </w:r>
    </w:p>
    <w:p>
      <w:pPr>
        <w:spacing w:before="100" w:after="0"/>
      </w:pPr>
      <w:r>
        <w:t xml:space="preserve"/>
      </w:r>
    </w:p>
    <w:p>
      <w:pPr>
        <w:pStyle w:val="Heading2"/>
        <w:spacing w:before="260" w:after="80"/>
      </w:pPr>
      <w:r>
        <w:rPr>
          <w:rFonts w:ascii="Arial" w:cs="Arial" w:eastAsia="Arial" w:hAnsi="Arial"/>
          <w:b/>
          <w:bCs/>
          <w:color w:val="1A3A6B"/>
          <w:sz w:val="28"/>
          <w:szCs w:val="28"/>
        </w:rPr>
        <w:t xml:space="preserve">5.5  Admin REST API Inputs</w:t>
      </w:r>
    </w:p>
    <w:p>
      <w:pPr>
        <w:spacing w:before="80" w:after="80"/>
      </w:pPr>
      <w:r>
        <w:rPr>
          <w:rFonts w:ascii="Arial" w:cs="Arial" w:eastAsia="Arial" w:hAnsi="Arial"/>
          <w:b w:val="false"/>
          <w:bCs w:val="false"/>
          <w:i w:val="false"/>
          <w:iCs w:val="false"/>
          <w:color w:val="1A1A1A"/>
          <w:sz w:val="22"/>
          <w:szCs w:val="22"/>
        </w:rPr>
        <w:t xml:space="preserve">The service exposes a secured admin REST API for manual operations:</w:t>
      </w:r>
    </w:p>
    <w:p>
      <w:pPr>
        <w:spacing w:before="80" w:after="0"/>
      </w:pPr>
      <w:r>
        <w:t xml:space="preserve"/>
      </w:r>
    </w:p>
    <w:p>
      <w:pPr>
        <w:pStyle w:val="ListParagraph"/>
        <w:numPr>
          <w:ilvl w:val="0"/>
          <w:numId w:val="2"/>
        </w:numPr>
        <w:spacing w:before="60" w:after="60"/>
      </w:pPr>
      <w:r>
        <w:rPr>
          <w:rFonts w:ascii="Arial" w:cs="Arial" w:eastAsia="Arial" w:hAnsi="Arial"/>
          <w:b w:val="false"/>
          <w:bCs w:val="false"/>
          <w:color w:val="1A1A1A"/>
          <w:sz w:val="22"/>
          <w:szCs w:val="22"/>
        </w:rPr>
        <w:t xml:space="preserve">POST /api/v1/similarity/recheck/{idea_id} — Trigger idempotent similarity recheck. Requires admin JWT role.</w:t>
      </w:r>
    </w:p>
    <w:p>
      <w:pPr>
        <w:pStyle w:val="ListParagraph"/>
        <w:numPr>
          <w:ilvl w:val="0"/>
          <w:numId w:val="2"/>
        </w:numPr>
        <w:spacing w:before="60" w:after="60"/>
      </w:pPr>
      <w:r>
        <w:rPr>
          <w:rFonts w:ascii="Arial" w:cs="Arial" w:eastAsia="Arial" w:hAnsi="Arial"/>
          <w:b w:val="false"/>
          <w:bCs w:val="false"/>
          <w:color w:val="1A1A1A"/>
          <w:sz w:val="22"/>
          <w:szCs w:val="22"/>
        </w:rPr>
        <w:t xml:space="preserve">GET /api/v1/similarity/report/{idea_id} — Retrieve stored similarity report for an idea.</w:t>
      </w:r>
    </w:p>
    <w:p>
      <w:pPr>
        <w:pStyle w:val="ListParagraph"/>
        <w:numPr>
          <w:ilvl w:val="0"/>
          <w:numId w:val="2"/>
        </w:numPr>
        <w:spacing w:before="60" w:after="60"/>
      </w:pPr>
      <w:r>
        <w:rPr>
          <w:rFonts w:ascii="Arial" w:cs="Arial" w:eastAsia="Arial" w:hAnsi="Arial"/>
          <w:b w:val="false"/>
          <w:bCs w:val="false"/>
          <w:color w:val="1A1A1A"/>
          <w:sz w:val="22"/>
          <w:szCs w:val="22"/>
        </w:rPr>
        <w:t xml:space="preserve">GET /api/v1/health — Liveness endpoint returning Kafka consumer and Qdrant connection status.</w:t>
      </w:r>
    </w:p>
    <w:p>
      <w:pPr>
        <w:pStyle w:val="ListParagraph"/>
        <w:numPr>
          <w:ilvl w:val="0"/>
          <w:numId w:val="2"/>
        </w:numPr>
        <w:spacing w:before="60" w:after="60"/>
      </w:pPr>
      <w:r>
        <w:rPr>
          <w:rFonts w:ascii="Arial" w:cs="Arial" w:eastAsia="Arial" w:hAnsi="Arial"/>
          <w:b w:val="false"/>
          <w:bCs w:val="false"/>
          <w:color w:val="1A1A1A"/>
          <w:sz w:val="22"/>
          <w:szCs w:val="22"/>
        </w:rPr>
        <w:t xml:space="preserve">GET /metrics — Prometheus metrics endpoint (cluster-internal access only).</w:t>
      </w:r>
    </w:p>
    <w:p>
      <w:pPr>
        <w:spacing w:before="160" w:after="0"/>
      </w:pPr>
      <w:r>
        <w:t xml:space="preserve"/>
      </w:r>
    </w:p>
    <w:p>
      <w:pPr>
        <w:pStyle w:val="Heading1"/>
        <w:spacing w:before="360" w:after="100"/>
      </w:pPr>
      <w:r>
        <w:rPr>
          <w:rFonts w:ascii="Arial" w:cs="Arial" w:eastAsia="Arial" w:hAnsi="Arial"/>
          <w:b/>
          <w:bCs/>
          <w:color w:val="0F1E40"/>
          <w:sz w:val="36"/>
          <w:szCs w:val="36"/>
        </w:rPr>
        <w:t xml:space="preserve">6. Outputs</w:t>
      </w:r>
    </w:p>
    <w:p>
      <w:pPr>
        <w:pBdr>
          <w:bottom w:val="single" w:color="2563EB" w:sz="6" w:space="1"/>
        </w:pBdr>
        <w:spacing w:before="80" w:after="100"/>
      </w:pPr>
    </w:p>
    <w:p>
      <w:pPr>
        <w:spacing w:before="80" w:after="0"/>
      </w:pPr>
      <w:r>
        <w:t xml:space="preserve"/>
      </w:r>
    </w:p>
    <w:p>
      <w:pPr>
        <w:pStyle w:val="Heading2"/>
        <w:spacing w:before="260" w:after="80"/>
      </w:pPr>
      <w:r>
        <w:rPr>
          <w:rFonts w:ascii="Arial" w:cs="Arial" w:eastAsia="Arial" w:hAnsi="Arial"/>
          <w:b/>
          <w:bCs/>
          <w:color w:val="1A3A6B"/>
          <w:sz w:val="28"/>
          <w:szCs w:val="28"/>
        </w:rPr>
        <w:t xml:space="preserve">6.1  Kafka Events Published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2700"/>
        <w:gridCol w:w="1100"/>
        <w:gridCol w:w="1360"/>
      </w:tblGrid>
      <w:tr>
        <w:tc>
          <w:tcPr>
            <w:tcW w:type="dxa" w:w="2300"/>
            <w:tcBorders>
              <w:top w:val="single" w:color="BFCBEE" w:sz="1"/>
              <w:left w:val="single" w:color="BFCBEE" w:sz="1"/>
              <w:bottom w:val="single" w:color="BFCBEE" w:sz="1"/>
              <w:right w:val="single" w:color="BFCBEE" w:sz="1"/>
            </w:tcBorders>
            <w:shd w:fill="1A3A6B" w:val="clear"/>
            <w:tcMar>
              <w:top w:type="dxa" w:w="90"/>
              <w:left w:type="dxa" w:w="120"/>
              <w:bottom w:type="dxa" w:w="90"/>
              <w:right w:type="dxa" w:w="120"/>
            </w:tcMar>
          </w:tcPr>
          <w:p>
            <w:r>
              <w:rPr>
                <w:rFonts w:ascii="Arial" w:cs="Arial" w:eastAsia="Arial" w:hAnsi="Arial"/>
                <w:b/>
                <w:bCs/>
                <w:color w:val="FFFFFF"/>
                <w:sz w:val="19"/>
                <w:szCs w:val="19"/>
              </w:rPr>
              <w:t xml:space="preserve">Kafka Topic</w:t>
            </w:r>
          </w:p>
        </w:tc>
        <w:tc>
          <w:tcPr>
            <w:tcW w:type="dxa" w:w="1900"/>
            <w:tcBorders>
              <w:top w:val="single" w:color="BFCBEE" w:sz="1"/>
              <w:left w:val="single" w:color="BFCBEE" w:sz="1"/>
              <w:bottom w:val="single" w:color="BFCBEE" w:sz="1"/>
              <w:right w:val="single" w:color="BFCBEE" w:sz="1"/>
            </w:tcBorders>
            <w:shd w:fill="1A3A6B" w:val="clear"/>
            <w:tcMar>
              <w:top w:type="dxa" w:w="90"/>
              <w:left w:type="dxa" w:w="120"/>
              <w:bottom w:type="dxa" w:w="90"/>
              <w:right w:type="dxa" w:w="120"/>
            </w:tcMar>
          </w:tcPr>
          <w:p>
            <w:r>
              <w:rPr>
                <w:rFonts w:ascii="Arial" w:cs="Arial" w:eastAsia="Arial" w:hAnsi="Arial"/>
                <w:b/>
                <w:bCs/>
                <w:color w:val="FFFFFF"/>
                <w:sz w:val="19"/>
                <w:szCs w:val="19"/>
              </w:rPr>
              <w:t xml:space="preserve">Producer</w:t>
            </w:r>
          </w:p>
        </w:tc>
        <w:tc>
          <w:tcPr>
            <w:tcW w:type="dxa" w:w="2700"/>
            <w:tcBorders>
              <w:top w:val="single" w:color="BFCBEE" w:sz="1"/>
              <w:left w:val="single" w:color="BFCBEE" w:sz="1"/>
              <w:bottom w:val="single" w:color="BFCBEE" w:sz="1"/>
              <w:right w:val="single" w:color="BFCBEE" w:sz="1"/>
            </w:tcBorders>
            <w:shd w:fill="1A3A6B" w:val="clear"/>
            <w:tcMar>
              <w:top w:type="dxa" w:w="90"/>
              <w:left w:type="dxa" w:w="120"/>
              <w:bottom w:type="dxa" w:w="90"/>
              <w:right w:type="dxa" w:w="120"/>
            </w:tcMar>
          </w:tcPr>
          <w:p>
            <w:r>
              <w:rPr>
                <w:rFonts w:ascii="Arial" w:cs="Arial" w:eastAsia="Arial" w:hAnsi="Arial"/>
                <w:b/>
                <w:bCs/>
                <w:color w:val="FFFFFF"/>
                <w:sz w:val="19"/>
                <w:szCs w:val="19"/>
              </w:rPr>
              <w:t xml:space="preserve">Consumer(s)</w:t>
            </w:r>
          </w:p>
        </w:tc>
        <w:tc>
          <w:tcPr>
            <w:tcW w:type="dxa" w:w="1100"/>
            <w:tcBorders>
              <w:top w:val="single" w:color="BFCBEE" w:sz="1"/>
              <w:left w:val="single" w:color="BFCBEE" w:sz="1"/>
              <w:bottom w:val="single" w:color="BFCBEE" w:sz="1"/>
              <w:right w:val="single" w:color="BFCBEE" w:sz="1"/>
            </w:tcBorders>
            <w:shd w:fill="1A3A6B" w:val="clear"/>
            <w:tcMar>
              <w:top w:type="dxa" w:w="90"/>
              <w:left w:type="dxa" w:w="120"/>
              <w:bottom w:type="dxa" w:w="90"/>
              <w:right w:type="dxa" w:w="120"/>
            </w:tcMar>
          </w:tcPr>
          <w:p>
            <w:r>
              <w:rPr>
                <w:rFonts w:ascii="Arial" w:cs="Arial" w:eastAsia="Arial" w:hAnsi="Arial"/>
                <w:b/>
                <w:bCs/>
                <w:color w:val="FFFFFF"/>
                <w:sz w:val="19"/>
                <w:szCs w:val="19"/>
              </w:rPr>
              <w:t xml:space="preserve">Partitions</w:t>
            </w:r>
          </w:p>
        </w:tc>
        <w:tc>
          <w:tcPr>
            <w:tcW w:type="dxa" w:w="1360"/>
            <w:tcBorders>
              <w:top w:val="single" w:color="BFCBEE" w:sz="1"/>
              <w:left w:val="single" w:color="BFCBEE" w:sz="1"/>
              <w:bottom w:val="single" w:color="BFCBEE" w:sz="1"/>
              <w:right w:val="single" w:color="BFCBEE" w:sz="1"/>
            </w:tcBorders>
            <w:shd w:fill="1A3A6B" w:val="clear"/>
            <w:tcMar>
              <w:top w:type="dxa" w:w="90"/>
              <w:left w:type="dxa" w:w="120"/>
              <w:bottom w:type="dxa" w:w="90"/>
              <w:right w:type="dxa" w:w="120"/>
            </w:tcMar>
          </w:tcPr>
          <w:p>
            <w:r>
              <w:rPr>
                <w:rFonts w:ascii="Arial" w:cs="Arial" w:eastAsia="Arial" w:hAnsi="Arial"/>
                <w:b/>
                <w:bCs/>
                <w:color w:val="FFFFFF"/>
                <w:sz w:val="19"/>
                <w:szCs w:val="19"/>
              </w:rPr>
              <w:t xml:space="preserve">Retention</w:t>
            </w:r>
          </w:p>
        </w:tc>
      </w:tr>
      <w:tr>
        <w:tc>
          <w:tcPr>
            <w:tcW w:type="dxa" w:w="2300"/>
            <w:tcBorders>
              <w:top w:val="single" w:color="BFCBEE" w:sz="1"/>
              <w:left w:val="single" w:color="BFCBEE" w:sz="1"/>
              <w:bottom w:val="single" w:color="BFCBEE" w:sz="1"/>
              <w:right w:val="single" w:color="BFCBEE" w:sz="1"/>
            </w:tcBorders>
            <w:shd w:fill="FFFFFF" w:val="clear"/>
            <w:tcMar>
              <w:top w:type="dxa" w:w="80"/>
              <w:left w:type="dxa" w:w="120"/>
              <w:bottom w:type="dxa" w:w="80"/>
              <w:right w:type="dxa" w:w="120"/>
            </w:tcMar>
          </w:tcPr>
          <w:p>
            <w:r>
              <w:rPr>
                <w:rFonts w:ascii="Arial" w:cs="Arial" w:eastAsia="Arial" w:hAnsi="Arial"/>
                <w:b/>
                <w:bCs/>
                <w:color w:val="0F1E40"/>
                <w:sz w:val="19"/>
                <w:szCs w:val="19"/>
              </w:rPr>
              <w:t xml:space="preserve">idea.similarity.flagged</w:t>
            </w:r>
          </w:p>
        </w:tc>
        <w:tc>
          <w:tcPr>
            <w:tcW w:type="dxa" w:w="1900"/>
            <w:tcBorders>
              <w:top w:val="single" w:color="BFCBEE" w:sz="1"/>
              <w:left w:val="single" w:color="BFCBEE" w:sz="1"/>
              <w:bottom w:val="single" w:color="BFCBEE" w:sz="1"/>
              <w:right w:val="single" w:color="BFCBEE"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idea-similarity-detector</w:t>
            </w:r>
          </w:p>
        </w:tc>
        <w:tc>
          <w:tcPr>
            <w:tcW w:type="dxa" w:w="2700"/>
            <w:tcBorders>
              <w:top w:val="single" w:color="BFCBEE" w:sz="1"/>
              <w:left w:val="single" w:color="BFCBEE" w:sz="1"/>
              <w:bottom w:val="single" w:color="BFCBEE" w:sz="1"/>
              <w:right w:val="single" w:color="BFCBEE"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notification-service, admin-service, dispute-service</w:t>
            </w:r>
          </w:p>
        </w:tc>
        <w:tc>
          <w:tcPr>
            <w:tcW w:type="dxa" w:w="1100"/>
            <w:tcBorders>
              <w:top w:val="single" w:color="BFCBEE" w:sz="1"/>
              <w:left w:val="single" w:color="BFCBEE" w:sz="1"/>
              <w:bottom w:val="single" w:color="BFCBEE" w:sz="1"/>
              <w:right w:val="single" w:color="BFCBEE"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3</w:t>
            </w:r>
          </w:p>
        </w:tc>
        <w:tc>
          <w:tcPr>
            <w:tcW w:type="dxa" w:w="1360"/>
            <w:tcBorders>
              <w:top w:val="single" w:color="BFCBEE" w:sz="1"/>
              <w:left w:val="single" w:color="BFCBEE" w:sz="1"/>
              <w:bottom w:val="single" w:color="BFCBEE" w:sz="1"/>
              <w:right w:val="single" w:color="BFCBEE"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30 days</w:t>
            </w:r>
          </w:p>
        </w:tc>
      </w:tr>
      <w:tr>
        <w:tc>
          <w:tcPr>
            <w:tcW w:type="dxa" w:w="2300"/>
            <w:tcBorders>
              <w:top w:val="single" w:color="BFCBEE" w:sz="1"/>
              <w:left w:val="single" w:color="BFCBEE" w:sz="1"/>
              <w:bottom w:val="single" w:color="BFCBEE" w:sz="1"/>
              <w:right w:val="single" w:color="BFCBEE" w:sz="1"/>
            </w:tcBorders>
            <w:shd w:fill="F5F7FA" w:val="clear"/>
            <w:tcMar>
              <w:top w:type="dxa" w:w="80"/>
              <w:left w:type="dxa" w:w="120"/>
              <w:bottom w:type="dxa" w:w="80"/>
              <w:right w:type="dxa" w:w="120"/>
            </w:tcMar>
          </w:tcPr>
          <w:p>
            <w:r>
              <w:rPr>
                <w:rFonts w:ascii="Arial" w:cs="Arial" w:eastAsia="Arial" w:hAnsi="Arial"/>
                <w:b/>
                <w:bCs/>
                <w:color w:val="0F1E40"/>
                <w:sz w:val="19"/>
                <w:szCs w:val="19"/>
              </w:rPr>
              <w:t xml:space="preserve">idea.similarity.cleared</w:t>
            </w:r>
          </w:p>
        </w:tc>
        <w:tc>
          <w:tcPr>
            <w:tcW w:type="dxa" w:w="1900"/>
            <w:tcBorders>
              <w:top w:val="single" w:color="BFCBEE" w:sz="1"/>
              <w:left w:val="single" w:color="BFCBEE" w:sz="1"/>
              <w:bottom w:val="single" w:color="BFCBEE" w:sz="1"/>
              <w:right w:val="single" w:color="BFCBEE" w:sz="1"/>
            </w:tcBorders>
            <w:shd w:fill="F5F7FA" w:val="clear"/>
            <w:tcMar>
              <w:top w:type="dxa" w:w="80"/>
              <w:left w:type="dxa" w:w="120"/>
              <w:bottom w:type="dxa" w:w="80"/>
              <w:right w:type="dxa" w:w="120"/>
            </w:tcMar>
          </w:tcPr>
          <w:p>
            <w:r>
              <w:rPr>
                <w:rFonts w:ascii="Arial" w:cs="Arial" w:eastAsia="Arial" w:hAnsi="Arial"/>
                <w:b w:val="false"/>
                <w:bCs w:val="false"/>
                <w:color w:val="4A4A4A"/>
                <w:sz w:val="19"/>
                <w:szCs w:val="19"/>
              </w:rPr>
              <w:t xml:space="preserve">idea-similarity-detector</w:t>
            </w:r>
          </w:p>
        </w:tc>
        <w:tc>
          <w:tcPr>
            <w:tcW w:type="dxa" w:w="2700"/>
            <w:tcBorders>
              <w:top w:val="single" w:color="BFCBEE" w:sz="1"/>
              <w:left w:val="single" w:color="BFCBEE" w:sz="1"/>
              <w:bottom w:val="single" w:color="BFCBEE" w:sz="1"/>
              <w:right w:val="single" w:color="BFCBEE" w:sz="1"/>
            </w:tcBorders>
            <w:shd w:fill="F5F7FA" w:val="clear"/>
            <w:tcMar>
              <w:top w:type="dxa" w:w="80"/>
              <w:left w:type="dxa" w:w="120"/>
              <w:bottom w:type="dxa" w:w="80"/>
              <w:right w:type="dxa" w:w="120"/>
            </w:tcMar>
          </w:tcPr>
          <w:p>
            <w:r>
              <w:rPr>
                <w:rFonts w:ascii="Arial" w:cs="Arial" w:eastAsia="Arial" w:hAnsi="Arial"/>
                <w:b w:val="false"/>
                <w:bCs w:val="false"/>
                <w:color w:val="4A4A4A"/>
                <w:sz w:val="19"/>
                <w:szCs w:val="19"/>
              </w:rPr>
              <w:t xml:space="preserve">idea-registry-service, notification-service, analytics-service</w:t>
            </w:r>
          </w:p>
        </w:tc>
        <w:tc>
          <w:tcPr>
            <w:tcW w:type="dxa" w:w="1100"/>
            <w:tcBorders>
              <w:top w:val="single" w:color="BFCBEE" w:sz="1"/>
              <w:left w:val="single" w:color="BFCBEE" w:sz="1"/>
              <w:bottom w:val="single" w:color="BFCBEE" w:sz="1"/>
              <w:right w:val="single" w:color="BFCBEE" w:sz="1"/>
            </w:tcBorders>
            <w:shd w:fill="F5F7FA" w:val="clear"/>
            <w:tcMar>
              <w:top w:type="dxa" w:w="80"/>
              <w:left w:type="dxa" w:w="120"/>
              <w:bottom w:type="dxa" w:w="80"/>
              <w:right w:type="dxa" w:w="120"/>
            </w:tcMar>
          </w:tcPr>
          <w:p>
            <w:r>
              <w:rPr>
                <w:rFonts w:ascii="Arial" w:cs="Arial" w:eastAsia="Arial" w:hAnsi="Arial"/>
                <w:b w:val="false"/>
                <w:bCs w:val="false"/>
                <w:color w:val="4A4A4A"/>
                <w:sz w:val="19"/>
                <w:szCs w:val="19"/>
              </w:rPr>
              <w:t xml:space="preserve">3</w:t>
            </w:r>
          </w:p>
        </w:tc>
        <w:tc>
          <w:tcPr>
            <w:tcW w:type="dxa" w:w="1360"/>
            <w:tcBorders>
              <w:top w:val="single" w:color="BFCBEE" w:sz="1"/>
              <w:left w:val="single" w:color="BFCBEE" w:sz="1"/>
              <w:bottom w:val="single" w:color="BFCBEE" w:sz="1"/>
              <w:right w:val="single" w:color="BFCBEE" w:sz="1"/>
            </w:tcBorders>
            <w:shd w:fill="F5F7FA" w:val="clear"/>
            <w:tcMar>
              <w:top w:type="dxa" w:w="80"/>
              <w:left w:type="dxa" w:w="120"/>
              <w:bottom w:type="dxa" w:w="80"/>
              <w:right w:type="dxa" w:w="120"/>
            </w:tcMar>
          </w:tcPr>
          <w:p>
            <w:r>
              <w:rPr>
                <w:rFonts w:ascii="Arial" w:cs="Arial" w:eastAsia="Arial" w:hAnsi="Arial"/>
                <w:b w:val="false"/>
                <w:bCs w:val="false"/>
                <w:color w:val="4A4A4A"/>
                <w:sz w:val="19"/>
                <w:szCs w:val="19"/>
              </w:rPr>
              <w:t xml:space="preserve">30 days</w:t>
            </w:r>
          </w:p>
        </w:tc>
      </w:tr>
      <w:tr>
        <w:tc>
          <w:tcPr>
            <w:tcW w:type="dxa" w:w="2300"/>
            <w:tcBorders>
              <w:top w:val="single" w:color="BFCBEE" w:sz="1"/>
              <w:left w:val="single" w:color="BFCBEE" w:sz="1"/>
              <w:bottom w:val="single" w:color="BFCBEE" w:sz="1"/>
              <w:right w:val="single" w:color="BFCBEE" w:sz="1"/>
            </w:tcBorders>
            <w:shd w:fill="FFFFFF" w:val="clear"/>
            <w:tcMar>
              <w:top w:type="dxa" w:w="80"/>
              <w:left w:type="dxa" w:w="120"/>
              <w:bottom w:type="dxa" w:w="80"/>
              <w:right w:type="dxa" w:w="120"/>
            </w:tcMar>
          </w:tcPr>
          <w:p>
            <w:r>
              <w:rPr>
                <w:rFonts w:ascii="Arial" w:cs="Arial" w:eastAsia="Arial" w:hAnsi="Arial"/>
                <w:b/>
                <w:bCs/>
                <w:color w:val="0F1E40"/>
                <w:sz w:val="19"/>
                <w:szCs w:val="19"/>
              </w:rPr>
              <w:t xml:space="preserve">idea.similarity.review</w:t>
            </w:r>
          </w:p>
        </w:tc>
        <w:tc>
          <w:tcPr>
            <w:tcW w:type="dxa" w:w="1900"/>
            <w:tcBorders>
              <w:top w:val="single" w:color="BFCBEE" w:sz="1"/>
              <w:left w:val="single" w:color="BFCBEE" w:sz="1"/>
              <w:bottom w:val="single" w:color="BFCBEE" w:sz="1"/>
              <w:right w:val="single" w:color="BFCBEE"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idea-similarity-detector</w:t>
            </w:r>
          </w:p>
        </w:tc>
        <w:tc>
          <w:tcPr>
            <w:tcW w:type="dxa" w:w="2700"/>
            <w:tcBorders>
              <w:top w:val="single" w:color="BFCBEE" w:sz="1"/>
              <w:left w:val="single" w:color="BFCBEE" w:sz="1"/>
              <w:bottom w:val="single" w:color="BFCBEE" w:sz="1"/>
              <w:right w:val="single" w:color="BFCBEE"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admin-service, notification-service</w:t>
            </w:r>
          </w:p>
        </w:tc>
        <w:tc>
          <w:tcPr>
            <w:tcW w:type="dxa" w:w="1100"/>
            <w:tcBorders>
              <w:top w:val="single" w:color="BFCBEE" w:sz="1"/>
              <w:left w:val="single" w:color="BFCBEE" w:sz="1"/>
              <w:bottom w:val="single" w:color="BFCBEE" w:sz="1"/>
              <w:right w:val="single" w:color="BFCBEE"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3</w:t>
            </w:r>
          </w:p>
        </w:tc>
        <w:tc>
          <w:tcPr>
            <w:tcW w:type="dxa" w:w="1360"/>
            <w:tcBorders>
              <w:top w:val="single" w:color="BFCBEE" w:sz="1"/>
              <w:left w:val="single" w:color="BFCBEE" w:sz="1"/>
              <w:bottom w:val="single" w:color="BFCBEE" w:sz="1"/>
              <w:right w:val="single" w:color="BFCBEE"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30 days</w:t>
            </w:r>
          </w:p>
        </w:tc>
      </w:tr>
    </w:tbl>
    <w:p>
      <w:pPr>
        <w:spacing w:before="100" w:after="0"/>
      </w:pPr>
      <w:r>
        <w:t xml:space="preserve"/>
      </w:r>
    </w:p>
    <w:p>
      <w:pPr>
        <w:pStyle w:val="Heading2"/>
        <w:spacing w:before="260" w:after="80"/>
      </w:pPr>
      <w:r>
        <w:rPr>
          <w:rFonts w:ascii="Arial" w:cs="Arial" w:eastAsia="Arial" w:hAnsi="Arial"/>
          <w:b/>
          <w:bCs/>
          <w:color w:val="1A3A6B"/>
          <w:sz w:val="28"/>
          <w:szCs w:val="28"/>
        </w:rPr>
        <w:t xml:space="preserve">6.2  Event Payload: idea.similarity.flagged</w:t>
      </w:r>
    </w:p>
    <w:p>
      <w:pPr>
        <w:spacing w:before="80" w:after="80"/>
      </w:pPr>
      <w:r>
        <w:rPr>
          <w:rFonts w:ascii="Arial" w:cs="Arial" w:eastAsia="Arial" w:hAnsi="Arial"/>
          <w:b w:val="false"/>
          <w:bCs w:val="false"/>
          <w:i w:val="false"/>
          <w:iCs w:val="false"/>
          <w:color w:val="1A1A1A"/>
          <w:sz w:val="22"/>
          <w:szCs w:val="22"/>
        </w:rPr>
        <w:t xml:space="preserve">Published when copy_probability &gt;= 0.80. Payload fields:</w:t>
      </w:r>
    </w:p>
    <w:p>
      <w:pPr>
        <w:spacing w:before="80" w:after="0"/>
      </w:pPr>
      <w:r>
        <w:t xml:space="preserve"/>
      </w:r>
    </w:p>
    <w:p>
      <w:pPr>
        <w:pStyle w:val="ListParagraph"/>
        <w:numPr>
          <w:ilvl w:val="0"/>
          <w:numId w:val="2"/>
        </w:numPr>
        <w:spacing w:before="60" w:after="60"/>
      </w:pPr>
      <w:r>
        <w:rPr>
          <w:rFonts w:ascii="Arial" w:cs="Arial" w:eastAsia="Arial" w:hAnsi="Arial"/>
          <w:b w:val="false"/>
          <w:bCs w:val="false"/>
          <w:color w:val="1A1A1A"/>
          <w:sz w:val="22"/>
          <w:szCs w:val="22"/>
        </w:rPr>
        <w:t xml:space="preserve">tenant_id · idea_id · candidate_id — Scoping identifiers</w:t>
      </w:r>
    </w:p>
    <w:p>
      <w:pPr>
        <w:pStyle w:val="ListParagraph"/>
        <w:numPr>
          <w:ilvl w:val="0"/>
          <w:numId w:val="2"/>
        </w:numPr>
        <w:spacing w:before="60" w:after="60"/>
      </w:pPr>
      <w:r>
        <w:rPr>
          <w:rFonts w:ascii="Arial" w:cs="Arial" w:eastAsia="Arial" w:hAnsi="Arial"/>
          <w:b w:val="false"/>
          <w:bCs w:val="false"/>
          <w:color w:val="1A1A1A"/>
          <w:sz w:val="22"/>
          <w:szCs w:val="22"/>
        </w:rPr>
        <w:t xml:space="preserve">copy_probability — Final computed score (0.00–1.00 float)</w:t>
      </w:r>
    </w:p>
    <w:p>
      <w:pPr>
        <w:pStyle w:val="ListParagraph"/>
        <w:numPr>
          <w:ilvl w:val="0"/>
          <w:numId w:val="2"/>
        </w:numPr>
        <w:spacing w:before="60" w:after="60"/>
      </w:pPr>
      <w:r>
        <w:rPr>
          <w:rFonts w:ascii="Arial" w:cs="Arial" w:eastAsia="Arial" w:hAnsi="Arial"/>
          <w:b w:val="false"/>
          <w:bCs w:val="false"/>
          <w:color w:val="1A1A1A"/>
          <w:sz w:val="22"/>
          <w:szCs w:val="22"/>
        </w:rPr>
        <w:t xml:space="preserve">classification — Enum: CLEAR | REVIEW | FLAG</w:t>
      </w:r>
    </w:p>
    <w:p>
      <w:pPr>
        <w:pStyle w:val="ListParagraph"/>
        <w:numPr>
          <w:ilvl w:val="0"/>
          <w:numId w:val="2"/>
        </w:numPr>
        <w:spacing w:before="60" w:after="60"/>
      </w:pPr>
      <w:r>
        <w:rPr>
          <w:rFonts w:ascii="Arial" w:cs="Arial" w:eastAsia="Arial" w:hAnsi="Arial"/>
          <w:b w:val="false"/>
          <w:bCs w:val="false"/>
          <w:color w:val="1A1A1A"/>
          <w:sz w:val="22"/>
          <w:szCs w:val="22"/>
        </w:rPr>
        <w:t xml:space="preserve">top_matches — Array (max 5) of [{matched_idea_id, matched_candidate_id, cosine_similarity, submission_timestamp}]</w:t>
      </w:r>
    </w:p>
    <w:p>
      <w:pPr>
        <w:pStyle w:val="ListParagraph"/>
        <w:numPr>
          <w:ilvl w:val="0"/>
          <w:numId w:val="2"/>
        </w:numPr>
        <w:spacing w:before="60" w:after="60"/>
      </w:pPr>
      <w:r>
        <w:rPr>
          <w:rFonts w:ascii="Arial" w:cs="Arial" w:eastAsia="Arial" w:hAnsi="Arial"/>
          <w:b w:val="false"/>
          <w:bCs w:val="false"/>
          <w:color w:val="1A1A1A"/>
          <w:sz w:val="22"/>
          <w:szCs w:val="22"/>
        </w:rPr>
        <w:t xml:space="preserve">category_match_rate — Fraction of top-K results sharing the same idea category</w:t>
      </w:r>
    </w:p>
    <w:p>
      <w:pPr>
        <w:pStyle w:val="ListParagraph"/>
        <w:numPr>
          <w:ilvl w:val="0"/>
          <w:numId w:val="2"/>
        </w:numPr>
        <w:spacing w:before="60" w:after="60"/>
      </w:pPr>
      <w:r>
        <w:rPr>
          <w:rFonts w:ascii="Arial" w:cs="Arial" w:eastAsia="Arial" w:hAnsi="Arial"/>
          <w:b w:val="false"/>
          <w:bCs w:val="false"/>
          <w:color w:val="1A1A1A"/>
          <w:sz w:val="22"/>
          <w:szCs w:val="22"/>
        </w:rPr>
        <w:t xml:space="preserve">k_results_count — Number of results returned above the minimum threshold before scoring</w:t>
      </w:r>
    </w:p>
    <w:p>
      <w:pPr>
        <w:pStyle w:val="ListParagraph"/>
        <w:numPr>
          <w:ilvl w:val="0"/>
          <w:numId w:val="2"/>
        </w:numPr>
        <w:spacing w:before="60" w:after="60"/>
      </w:pPr>
      <w:r>
        <w:rPr>
          <w:rFonts w:ascii="Arial" w:cs="Arial" w:eastAsia="Arial" w:hAnsi="Arial"/>
          <w:b w:val="false"/>
          <w:bCs w:val="false"/>
          <w:color w:val="1A1A1A"/>
          <w:sz w:val="22"/>
          <w:szCs w:val="22"/>
        </w:rPr>
        <w:t xml:space="preserve">checked_at — ISO-8601 timestamp of similarity check completion</w:t>
      </w:r>
    </w:p>
    <w:p>
      <w:pPr>
        <w:pStyle w:val="ListParagraph"/>
        <w:numPr>
          <w:ilvl w:val="0"/>
          <w:numId w:val="2"/>
        </w:numPr>
        <w:spacing w:before="60" w:after="60"/>
      </w:pPr>
      <w:r>
        <w:rPr>
          <w:rFonts w:ascii="Arial" w:cs="Arial" w:eastAsia="Arial" w:hAnsi="Arial"/>
          <w:b w:val="false"/>
          <w:bCs w:val="false"/>
          <w:color w:val="1A1A1A"/>
          <w:sz w:val="22"/>
          <w:szCs w:val="22"/>
        </w:rPr>
        <w:t xml:space="preserve">schema_version — Avro schema version from Apicurio Registry</w:t>
      </w:r>
    </w:p>
    <w:p>
      <w:pPr>
        <w:spacing w:before="100" w:after="0"/>
      </w:pPr>
      <w:r>
        <w:t xml:space="preserve"/>
      </w:r>
    </w:p>
    <w:p>
      <w:pPr>
        <w:pStyle w:val="Heading2"/>
        <w:spacing w:before="260" w:after="80"/>
      </w:pPr>
      <w:r>
        <w:rPr>
          <w:rFonts w:ascii="Arial" w:cs="Arial" w:eastAsia="Arial" w:hAnsi="Arial"/>
          <w:b/>
          <w:bCs/>
          <w:color w:val="1A3A6B"/>
          <w:sz w:val="28"/>
          <w:szCs w:val="28"/>
        </w:rPr>
        <w:t xml:space="preserve">6.3  PostgreSQL Persistence</w:t>
      </w:r>
    </w:p>
    <w:p>
      <w:pPr>
        <w:spacing w:before="80" w:after="80"/>
      </w:pPr>
      <w:r>
        <w:rPr>
          <w:rFonts w:ascii="Arial" w:cs="Arial" w:eastAsia="Arial" w:hAnsi="Arial"/>
          <w:b w:val="false"/>
          <w:bCs w:val="false"/>
          <w:i w:val="false"/>
          <w:iCs w:val="false"/>
          <w:color w:val="1A1A1A"/>
          <w:sz w:val="22"/>
          <w:szCs w:val="22"/>
        </w:rPr>
        <w:t xml:space="preserve">All similarity results are written to the following tables in the innovation PostgreSQL schema:</w:t>
      </w:r>
    </w:p>
    <w:p>
      <w:pPr>
        <w:spacing w:before="80" w:after="0"/>
      </w:pPr>
      <w:r>
        <w:t xml:space="preserve"/>
      </w:r>
    </w:p>
    <w:p>
      <w:pPr>
        <w:pStyle w:val="ListParagraph"/>
        <w:numPr>
          <w:ilvl w:val="0"/>
          <w:numId w:val="2"/>
        </w:numPr>
        <w:spacing w:before="60" w:after="60"/>
      </w:pPr>
      <w:r>
        <w:rPr>
          <w:rFonts w:ascii="Arial" w:cs="Arial" w:eastAsia="Arial" w:hAnsi="Arial"/>
          <w:b w:val="false"/>
          <w:bCs w:val="false"/>
          <w:color w:val="1A1A1A"/>
          <w:sz w:val="22"/>
          <w:szCs w:val="22"/>
        </w:rPr>
        <w:t xml:space="preserve">innovation.idea_similarity_reports — Primary results table. Columns: report_id (UUID), tenant_id, idea_id, candidate_id, copy_probability (float), classification (enum), top_matches (JSONB), k_results_count (int), category_match_rate (float), checked_at (timestamptz), recheck_count (int).</w:t>
      </w:r>
    </w:p>
    <w:p>
      <w:pPr>
        <w:pStyle w:val="ListParagraph"/>
        <w:numPr>
          <w:ilvl w:val="0"/>
          <w:numId w:val="2"/>
        </w:numPr>
        <w:spacing w:before="60" w:after="60"/>
      </w:pPr>
      <w:r>
        <w:rPr>
          <w:rFonts w:ascii="Arial" w:cs="Arial" w:eastAsia="Arial" w:hAnsi="Arial"/>
          <w:b w:val="false"/>
          <w:bCs w:val="false"/>
          <w:color w:val="1A1A1A"/>
          <w:sz w:val="22"/>
          <w:szCs w:val="22"/>
        </w:rPr>
        <w:t xml:space="preserve">innovation.idea_similarity_audit — Append-only audit table. Stores the full previous report on each recheck, enabling dispute resolution with historical record.</w:t>
      </w:r>
    </w:p>
    <w:p>
      <w:pPr>
        <w:spacing w:before="100" w:after="0"/>
      </w:pPr>
      <w:r>
        <w:t xml:space="preserve"/>
      </w:r>
    </w:p>
    <w:p>
      <w:pPr>
        <w:pStyle w:val="Heading2"/>
        <w:spacing w:before="260" w:after="80"/>
      </w:pPr>
      <w:r>
        <w:rPr>
          <w:rFonts w:ascii="Arial" w:cs="Arial" w:eastAsia="Arial" w:hAnsi="Arial"/>
          <w:b/>
          <w:bCs/>
          <w:color w:val="1A3A6B"/>
          <w:sz w:val="28"/>
          <w:szCs w:val="28"/>
        </w:rPr>
        <w:t xml:space="preserve">6.4  Prometheus Metrics Emitted</w:t>
      </w:r>
    </w:p>
    <w:p>
      <w:pPr>
        <w:spacing w:before="80" w:after="80"/>
      </w:pPr>
      <w:r>
        <w:rPr>
          <w:rFonts w:ascii="Arial" w:cs="Arial" w:eastAsia="Arial" w:hAnsi="Arial"/>
          <w:b w:val="false"/>
          <w:bCs w:val="false"/>
          <w:i w:val="false"/>
          <w:iCs w:val="false"/>
          <w:color w:val="1A1A1A"/>
          <w:sz w:val="22"/>
          <w:szCs w:val="22"/>
        </w:rPr>
        <w:t xml:space="preserve">The service exposes the following metrics on /metrics (Prometheus scrape endpoint):</w:t>
      </w:r>
    </w:p>
    <w:p>
      <w:pPr>
        <w:spacing w:before="80" w:after="0"/>
      </w:pPr>
      <w:r>
        <w:t xml:space="preserve"/>
      </w:r>
    </w:p>
    <w:p>
      <w:pPr>
        <w:pStyle w:val="ListParagraph"/>
        <w:numPr>
          <w:ilvl w:val="0"/>
          <w:numId w:val="2"/>
        </w:numPr>
        <w:spacing w:before="60" w:after="60"/>
      </w:pPr>
      <w:r>
        <w:rPr>
          <w:rFonts w:ascii="Arial" w:cs="Arial" w:eastAsia="Arial" w:hAnsi="Arial"/>
          <w:b w:val="false"/>
          <w:bCs w:val="false"/>
          <w:color w:val="1A1A1A"/>
          <w:sz w:val="22"/>
          <w:szCs w:val="22"/>
        </w:rPr>
        <w:t xml:space="preserve">idea_similarity_check_duration_seconds — Histogram of end-to-end check latency (Kafka receipt to PostgreSQL write)</w:t>
      </w:r>
    </w:p>
    <w:p>
      <w:pPr>
        <w:pStyle w:val="ListParagraph"/>
        <w:numPr>
          <w:ilvl w:val="0"/>
          <w:numId w:val="2"/>
        </w:numPr>
        <w:spacing w:before="60" w:after="60"/>
      </w:pPr>
      <w:r>
        <w:rPr>
          <w:rFonts w:ascii="Arial" w:cs="Arial" w:eastAsia="Arial" w:hAnsi="Arial"/>
          <w:b w:val="false"/>
          <w:bCs w:val="false"/>
          <w:color w:val="1A1A1A"/>
          <w:sz w:val="22"/>
          <w:szCs w:val="22"/>
        </w:rPr>
        <w:t xml:space="preserve">qdrant_ann_query_duration_seconds — Histogram of ANN query latency only</w:t>
      </w:r>
    </w:p>
    <w:p>
      <w:pPr>
        <w:pStyle w:val="ListParagraph"/>
        <w:numPr>
          <w:ilvl w:val="0"/>
          <w:numId w:val="2"/>
        </w:numPr>
        <w:spacing w:before="60" w:after="60"/>
      </w:pPr>
      <w:r>
        <w:rPr>
          <w:rFonts w:ascii="Arial" w:cs="Arial" w:eastAsia="Arial" w:hAnsi="Arial"/>
          <w:b w:val="false"/>
          <w:bCs w:val="false"/>
          <w:color w:val="1A1A1A"/>
          <w:sz w:val="22"/>
          <w:szCs w:val="22"/>
        </w:rPr>
        <w:t xml:space="preserve">idea_similarity_classification_total{classification} — Counter per classification tier (CLEAR, REVIEW, FLAG)</w:t>
      </w:r>
    </w:p>
    <w:p>
      <w:pPr>
        <w:pStyle w:val="ListParagraph"/>
        <w:numPr>
          <w:ilvl w:val="0"/>
          <w:numId w:val="2"/>
        </w:numPr>
        <w:spacing w:before="60" w:after="60"/>
      </w:pPr>
      <w:r>
        <w:rPr>
          <w:rFonts w:ascii="Arial" w:cs="Arial" w:eastAsia="Arial" w:hAnsi="Arial"/>
          <w:b w:val="false"/>
          <w:bCs w:val="false"/>
          <w:color w:val="1A1A1A"/>
          <w:sz w:val="22"/>
          <w:szCs w:val="22"/>
        </w:rPr>
        <w:t xml:space="preserve">idea_similarity_dlq_total — Counter of events forwarded to DLQ</w:t>
      </w:r>
    </w:p>
    <w:p>
      <w:pPr>
        <w:pStyle w:val="ListParagraph"/>
        <w:numPr>
          <w:ilvl w:val="0"/>
          <w:numId w:val="2"/>
        </w:numPr>
        <w:spacing w:before="60" w:after="60"/>
      </w:pPr>
      <w:r>
        <w:rPr>
          <w:rFonts w:ascii="Arial" w:cs="Arial" w:eastAsia="Arial" w:hAnsi="Arial"/>
          <w:b w:val="false"/>
          <w:bCs w:val="false"/>
          <w:color w:val="1A1A1A"/>
          <w:sz w:val="22"/>
          <w:szCs w:val="22"/>
        </w:rPr>
        <w:t xml:space="preserve">kafka_consumer_lag{topic} — Gauge of consumer lag on idea.fingerprinted topic</w:t>
      </w:r>
    </w:p>
    <w:p>
      <w:pPr>
        <w:spacing w:before="160" w:after="0"/>
      </w:pPr>
      <w:r>
        <w:t xml:space="preserve"/>
      </w:r>
    </w:p>
    <w:p>
      <w:pPr>
        <w:pStyle w:val="Heading1"/>
        <w:spacing w:before="360" w:after="100"/>
      </w:pPr>
      <w:r>
        <w:rPr>
          <w:rFonts w:ascii="Arial" w:cs="Arial" w:eastAsia="Arial" w:hAnsi="Arial"/>
          <w:b/>
          <w:bCs/>
          <w:color w:val="0F1E40"/>
          <w:sz w:val="36"/>
          <w:szCs w:val="36"/>
        </w:rPr>
        <w:t xml:space="preserve">7. Dependencies</w:t>
      </w:r>
    </w:p>
    <w:p>
      <w:pPr>
        <w:pBdr>
          <w:bottom w:val="single" w:color="2563EB" w:sz="6" w:space="1"/>
        </w:pBdr>
        <w:spacing w:before="80" w:after="100"/>
      </w:pPr>
    </w:p>
    <w:p>
      <w:pPr>
        <w:spacing w:before="80" w:after="0"/>
      </w:pPr>
      <w:r>
        <w:t xml:space="preserve"/>
      </w:r>
    </w:p>
    <w:p>
      <w:pPr>
        <w:pStyle w:val="Heading2"/>
        <w:spacing w:before="260" w:after="80"/>
      </w:pPr>
      <w:r>
        <w:rPr>
          <w:rFonts w:ascii="Arial" w:cs="Arial" w:eastAsia="Arial" w:hAnsi="Arial"/>
          <w:b/>
          <w:bCs/>
          <w:color w:val="1A3A6B"/>
          <w:sz w:val="28"/>
          <w:szCs w:val="28"/>
        </w:rPr>
        <w:t xml:space="preserve">7.1  Upstream Service Dependencies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CBEE" w:sz="1"/>
              <w:left w:val="single" w:color="BFCBEE" w:sz="1"/>
              <w:bottom w:val="single" w:color="BFCBEE" w:sz="1"/>
              <w:right w:val="single" w:color="BFCBEE" w:sz="1"/>
            </w:tcBorders>
            <w:shd w:fill="1A3A6B" w:val="clear"/>
            <w:tcMar>
              <w:top w:type="dxa" w:w="100"/>
              <w:left w:type="dxa" w:w="150"/>
              <w:bottom w:type="dxa" w:w="100"/>
              <w:right w:type="dxa" w:w="150"/>
            </w:tcMar>
            <w:vAlign w:val="center"/>
          </w:tcPr>
          <w:p>
            <w:r>
              <w:rPr>
                <w:rFonts w:ascii="Arial" w:cs="Arial" w:eastAsia="Arial" w:hAnsi="Arial"/>
                <w:b/>
                <w:bCs/>
                <w:color w:val="FFFFFF"/>
                <w:sz w:val="22"/>
                <w:szCs w:val="22"/>
              </w:rPr>
              <w:t xml:space="preserve">Service</w:t>
            </w:r>
          </w:p>
        </w:tc>
        <w:tc>
          <w:tcPr>
            <w:tcW w:type="dxa" w:w="6760"/>
            <w:tcBorders>
              <w:top w:val="single" w:color="BFCBEE" w:sz="1"/>
              <w:left w:val="single" w:color="BFCBEE" w:sz="1"/>
              <w:bottom w:val="single" w:color="BFCBEE" w:sz="1"/>
              <w:right w:val="single" w:color="BFCBEE" w:sz="1"/>
            </w:tcBorders>
            <w:shd w:fill="EEF2FF" w:val="clear"/>
            <w:tcMar>
              <w:top w:type="dxa" w:w="100"/>
              <w:left w:type="dxa" w:w="150"/>
              <w:bottom w:type="dxa" w:w="100"/>
              <w:right w:type="dxa" w:w="150"/>
            </w:tcMar>
          </w:tcPr>
          <w:p>
            <w:r>
              <w:rPr>
                <w:rFonts w:ascii="Arial" w:cs="Arial" w:eastAsia="Arial" w:hAnsi="Arial"/>
                <w:b/>
                <w:bCs/>
                <w:color w:val="0F1E40"/>
                <w:sz w:val="22"/>
                <w:szCs w:val="22"/>
              </w:rPr>
              <w:t xml:space="preserve">Dependency Type &amp; Purpose</w:t>
            </w:r>
          </w:p>
        </w:tc>
      </w:tr>
      <w:tr>
        <w:tc>
          <w:tcPr>
            <w:tcW w:type="dxa" w:w="2600"/>
            <w:tcBorders>
              <w:top w:val="single" w:color="BFCBEE" w:sz="1"/>
              <w:left w:val="single" w:color="BFCBEE" w:sz="1"/>
              <w:bottom w:val="single" w:color="BFCBEE" w:sz="1"/>
              <w:right w:val="single" w:color="BFCBEE" w:sz="1"/>
            </w:tcBorders>
            <w:shd w:fill="EEF2FF" w:val="clear"/>
            <w:tcMar>
              <w:top w:type="dxa" w:w="100"/>
              <w:left w:type="dxa" w:w="150"/>
              <w:bottom w:type="dxa" w:w="100"/>
              <w:right w:type="dxa" w:w="150"/>
            </w:tcMar>
            <w:vAlign w:val="center"/>
          </w:tcPr>
          <w:p>
            <w:r>
              <w:rPr>
                <w:rFonts w:ascii="Arial" w:cs="Arial" w:eastAsia="Arial" w:hAnsi="Arial"/>
                <w:b/>
                <w:bCs/>
                <w:color w:val="0F1E40"/>
                <w:sz w:val="20"/>
                <w:szCs w:val="20"/>
              </w:rPr>
              <w:t xml:space="preserve">idea-dna-fingerprint-engine</w:t>
            </w:r>
          </w:p>
        </w:tc>
        <w:tc>
          <w:tcPr>
            <w:tcW w:type="dxa" w:w="6760"/>
            <w:tcBorders>
              <w:top w:val="single" w:color="BFCBEE" w:sz="1"/>
              <w:left w:val="single" w:color="BFCBEE" w:sz="1"/>
              <w:bottom w:val="single" w:color="BFCBEE" w:sz="1"/>
              <w:right w:val="single" w:color="BFCBEE"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Kafka producer → idea.fingerprinted events. Generates and stores embeddings in Qdrant that this service queries.</w:t>
            </w:r>
          </w:p>
        </w:tc>
      </w:tr>
      <w:tr>
        <w:tc>
          <w:tcPr>
            <w:tcW w:type="dxa" w:w="2600"/>
            <w:tcBorders>
              <w:top w:val="single" w:color="BFCBEE" w:sz="1"/>
              <w:left w:val="single" w:color="BFCBEE" w:sz="1"/>
              <w:bottom w:val="single" w:color="BFCBEE" w:sz="1"/>
              <w:right w:val="single" w:color="BFCBEE" w:sz="1"/>
            </w:tcBorders>
            <w:shd w:fill="EEF2FF" w:val="clear"/>
            <w:tcMar>
              <w:top w:type="dxa" w:w="100"/>
              <w:left w:type="dxa" w:w="150"/>
              <w:bottom w:type="dxa" w:w="100"/>
              <w:right w:type="dxa" w:w="150"/>
            </w:tcMar>
            <w:vAlign w:val="center"/>
          </w:tcPr>
          <w:p>
            <w:r>
              <w:rPr>
                <w:rFonts w:ascii="Arial" w:cs="Arial" w:eastAsia="Arial" w:hAnsi="Arial"/>
                <w:b/>
                <w:bCs/>
                <w:color w:val="0F1E40"/>
                <w:sz w:val="20"/>
                <w:szCs w:val="20"/>
              </w:rPr>
              <w:t xml:space="preserve">embedding-model-inference-service (XIV)</w:t>
            </w:r>
          </w:p>
        </w:tc>
        <w:tc>
          <w:tcPr>
            <w:tcW w:type="dxa" w:w="6760"/>
            <w:tcBorders>
              <w:top w:val="single" w:color="BFCBEE" w:sz="1"/>
              <w:left w:val="single" w:color="BFCBEE" w:sz="1"/>
              <w:bottom w:val="single" w:color="BFCBEE" w:sz="1"/>
              <w:right w:val="single" w:color="BFCBEE"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REST → embedding retrieval fallback if vector_id lookup fails in Qdrant. Also called for recheck flows on amended idea text.</w:t>
            </w:r>
          </w:p>
        </w:tc>
      </w:tr>
      <w:tr>
        <w:tc>
          <w:tcPr>
            <w:tcW w:type="dxa" w:w="2600"/>
            <w:tcBorders>
              <w:top w:val="single" w:color="BFCBEE" w:sz="1"/>
              <w:left w:val="single" w:color="BFCBEE" w:sz="1"/>
              <w:bottom w:val="single" w:color="BFCBEE" w:sz="1"/>
              <w:right w:val="single" w:color="BFCBEE" w:sz="1"/>
            </w:tcBorders>
            <w:shd w:fill="EEF2FF" w:val="clear"/>
            <w:tcMar>
              <w:top w:type="dxa" w:w="100"/>
              <w:left w:type="dxa" w:w="150"/>
              <w:bottom w:type="dxa" w:w="100"/>
              <w:right w:type="dxa" w:w="150"/>
            </w:tcMar>
            <w:vAlign w:val="center"/>
          </w:tcPr>
          <w:p>
            <w:r>
              <w:rPr>
                <w:rFonts w:ascii="Arial" w:cs="Arial" w:eastAsia="Arial" w:hAnsi="Arial"/>
                <w:b/>
                <w:bCs/>
                <w:color w:val="0F1E40"/>
                <w:sz w:val="20"/>
                <w:szCs w:val="20"/>
              </w:rPr>
              <w:t xml:space="preserve">vector-database-service (XIV)</w:t>
            </w:r>
          </w:p>
        </w:tc>
        <w:tc>
          <w:tcPr>
            <w:tcW w:type="dxa" w:w="6760"/>
            <w:tcBorders>
              <w:top w:val="single" w:color="BFCBEE" w:sz="1"/>
              <w:left w:val="single" w:color="BFCBEE" w:sz="1"/>
              <w:bottom w:val="single" w:color="BFCBEE" w:sz="1"/>
              <w:right w:val="single" w:color="BFCBEE"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REST wrapper → Qdrant ANN queries. Provides tenant-scoped query abstraction and connection pooling over the Qdrant cluster.</w:t>
            </w:r>
          </w:p>
        </w:tc>
      </w:tr>
      <w:tr>
        <w:tc>
          <w:tcPr>
            <w:tcW w:type="dxa" w:w="2600"/>
            <w:tcBorders>
              <w:top w:val="single" w:color="BFCBEE" w:sz="1"/>
              <w:left w:val="single" w:color="BFCBEE" w:sz="1"/>
              <w:bottom w:val="single" w:color="BFCBEE" w:sz="1"/>
              <w:right w:val="single" w:color="BFCBEE" w:sz="1"/>
            </w:tcBorders>
            <w:shd w:fill="EEF2FF" w:val="clear"/>
            <w:tcMar>
              <w:top w:type="dxa" w:w="100"/>
              <w:left w:type="dxa" w:w="150"/>
              <w:bottom w:type="dxa" w:w="100"/>
              <w:right w:type="dxa" w:w="150"/>
            </w:tcMar>
            <w:vAlign w:val="center"/>
          </w:tcPr>
          <w:p>
            <w:r>
              <w:rPr>
                <w:rFonts w:ascii="Arial" w:cs="Arial" w:eastAsia="Arial" w:hAnsi="Arial"/>
                <w:b/>
                <w:bCs/>
                <w:color w:val="0F1E40"/>
                <w:sz w:val="20"/>
                <w:szCs w:val="20"/>
              </w:rPr>
              <w:t xml:space="preserve">admin-service</w:t>
            </w:r>
          </w:p>
        </w:tc>
        <w:tc>
          <w:tcPr>
            <w:tcW w:type="dxa" w:w="6760"/>
            <w:tcBorders>
              <w:top w:val="single" w:color="BFCBEE" w:sz="1"/>
              <w:left w:val="single" w:color="BFCBEE" w:sz="1"/>
              <w:bottom w:val="single" w:color="BFCBEE" w:sz="1"/>
              <w:right w:val="single" w:color="BFCBEE"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REST → Per-tenant threshold configuration fetch on cache miss. Also receives idea.similarity.flagged events for governance queue.</w:t>
            </w:r>
          </w:p>
        </w:tc>
      </w:tr>
      <w:tr>
        <w:tc>
          <w:tcPr>
            <w:tcW w:type="dxa" w:w="2600"/>
            <w:tcBorders>
              <w:top w:val="single" w:color="BFCBEE" w:sz="1"/>
              <w:left w:val="single" w:color="BFCBEE" w:sz="1"/>
              <w:bottom w:val="single" w:color="BFCBEE" w:sz="1"/>
              <w:right w:val="single" w:color="BFCBEE" w:sz="1"/>
            </w:tcBorders>
            <w:shd w:fill="EEF2FF" w:val="clear"/>
            <w:tcMar>
              <w:top w:type="dxa" w:w="100"/>
              <w:left w:type="dxa" w:w="150"/>
              <w:bottom w:type="dxa" w:w="100"/>
              <w:right w:type="dxa" w:w="150"/>
            </w:tcMar>
            <w:vAlign w:val="center"/>
          </w:tcPr>
          <w:p>
            <w:r>
              <w:rPr>
                <w:rFonts w:ascii="Arial" w:cs="Arial" w:eastAsia="Arial" w:hAnsi="Arial"/>
                <w:b/>
                <w:bCs/>
                <w:color w:val="0F1E40"/>
                <w:sz w:val="20"/>
                <w:szCs w:val="20"/>
              </w:rPr>
              <w:t xml:space="preserve">dispute-service</w:t>
            </w:r>
          </w:p>
        </w:tc>
        <w:tc>
          <w:tcPr>
            <w:tcW w:type="dxa" w:w="6760"/>
            <w:tcBorders>
              <w:top w:val="single" w:color="BFCBEE" w:sz="1"/>
              <w:left w:val="single" w:color="BFCBEE" w:sz="1"/>
              <w:bottom w:val="single" w:color="BFCBEE" w:sz="1"/>
              <w:right w:val="single" w:color="BFCBEE"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Kafka consumer → Receives idea.similarity.flagged events to initiate dispute workflow. Dependency is downstream (this service publishes to it).</w:t>
            </w:r>
          </w:p>
        </w:tc>
      </w:tr>
      <w:tr>
        <w:tc>
          <w:tcPr>
            <w:tcW w:type="dxa" w:w="2600"/>
            <w:tcBorders>
              <w:top w:val="single" w:color="BFCBEE" w:sz="1"/>
              <w:left w:val="single" w:color="BFCBEE" w:sz="1"/>
              <w:bottom w:val="single" w:color="BFCBEE" w:sz="1"/>
              <w:right w:val="single" w:color="BFCBEE" w:sz="1"/>
            </w:tcBorders>
            <w:shd w:fill="EEF2FF" w:val="clear"/>
            <w:tcMar>
              <w:top w:type="dxa" w:w="100"/>
              <w:left w:type="dxa" w:w="150"/>
              <w:bottom w:type="dxa" w:w="100"/>
              <w:right w:type="dxa" w:w="150"/>
            </w:tcMar>
            <w:vAlign w:val="center"/>
          </w:tcPr>
          <w:p>
            <w:r>
              <w:rPr>
                <w:rFonts w:ascii="Arial" w:cs="Arial" w:eastAsia="Arial" w:hAnsi="Arial"/>
                <w:b/>
                <w:bCs/>
                <w:color w:val="0F1E40"/>
                <w:sz w:val="20"/>
                <w:szCs w:val="20"/>
              </w:rPr>
              <w:t xml:space="preserve">notification-service</w:t>
            </w:r>
          </w:p>
        </w:tc>
        <w:tc>
          <w:tcPr>
            <w:tcW w:type="dxa" w:w="6760"/>
            <w:tcBorders>
              <w:top w:val="single" w:color="BFCBEE" w:sz="1"/>
              <w:left w:val="single" w:color="BFCBEE" w:sz="1"/>
              <w:bottom w:val="single" w:color="BFCBEE" w:sz="1"/>
              <w:right w:val="single" w:color="BFCBEE"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Kafka consumer → Receives all three similarity classification events for candidate and recruiter alert delivery.</w:t>
            </w:r>
          </w:p>
        </w:tc>
      </w:tr>
      <w:tr>
        <w:tc>
          <w:tcPr>
            <w:tcW w:type="dxa" w:w="2600"/>
            <w:tcBorders>
              <w:top w:val="single" w:color="BFCBEE" w:sz="1"/>
              <w:left w:val="single" w:color="BFCBEE" w:sz="1"/>
              <w:bottom w:val="single" w:color="BFCBEE" w:sz="1"/>
              <w:right w:val="single" w:color="BFCBEE" w:sz="1"/>
            </w:tcBorders>
            <w:shd w:fill="EEF2FF" w:val="clear"/>
            <w:tcMar>
              <w:top w:type="dxa" w:w="100"/>
              <w:left w:type="dxa" w:w="150"/>
              <w:bottom w:type="dxa" w:w="100"/>
              <w:right w:type="dxa" w:w="150"/>
            </w:tcMar>
            <w:vAlign w:val="center"/>
          </w:tcPr>
          <w:p>
            <w:r>
              <w:rPr>
                <w:rFonts w:ascii="Arial" w:cs="Arial" w:eastAsia="Arial" w:hAnsi="Arial"/>
                <w:b/>
                <w:bCs/>
                <w:color w:val="0F1E40"/>
                <w:sz w:val="20"/>
                <w:szCs w:val="20"/>
              </w:rPr>
              <w:t xml:space="preserve">auth-service (Keycloak)</w:t>
            </w:r>
          </w:p>
        </w:tc>
        <w:tc>
          <w:tcPr>
            <w:tcW w:type="dxa" w:w="6760"/>
            <w:tcBorders>
              <w:top w:val="single" w:color="BFCBEE" w:sz="1"/>
              <w:left w:val="single" w:color="BFCBEE" w:sz="1"/>
              <w:bottom w:val="single" w:color="BFCBEE" w:sz="1"/>
              <w:right w:val="single" w:color="BFCBEE"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JWT validation on admin REST API endpoints.</w:t>
            </w:r>
          </w:p>
        </w:tc>
      </w:tr>
    </w:tbl>
    <w:p>
      <w:pPr>
        <w:spacing w:before="100" w:after="0"/>
      </w:pPr>
      <w:r>
        <w:t xml:space="preserve"/>
      </w:r>
    </w:p>
    <w:p>
      <w:pPr>
        <w:pStyle w:val="Heading2"/>
        <w:spacing w:before="260" w:after="80"/>
      </w:pPr>
      <w:r>
        <w:rPr>
          <w:rFonts w:ascii="Arial" w:cs="Arial" w:eastAsia="Arial" w:hAnsi="Arial"/>
          <w:b/>
          <w:bCs/>
          <w:color w:val="1A3A6B"/>
          <w:sz w:val="28"/>
          <w:szCs w:val="28"/>
        </w:rPr>
        <w:t xml:space="preserve">7.2  Infrastructure Dependencies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CBEE" w:sz="1"/>
              <w:left w:val="single" w:color="BFCBEE" w:sz="1"/>
              <w:bottom w:val="single" w:color="BFCBEE" w:sz="1"/>
              <w:right w:val="single" w:color="BFCBEE" w:sz="1"/>
            </w:tcBorders>
            <w:shd w:fill="1A3A6B" w:val="clear"/>
            <w:tcMar>
              <w:top w:type="dxa" w:w="100"/>
              <w:left w:type="dxa" w:w="150"/>
              <w:bottom w:type="dxa" w:w="100"/>
              <w:right w:type="dxa" w:w="150"/>
            </w:tcMar>
            <w:vAlign w:val="center"/>
          </w:tcPr>
          <w:p>
            <w:r>
              <w:rPr>
                <w:rFonts w:ascii="Arial" w:cs="Arial" w:eastAsia="Arial" w:hAnsi="Arial"/>
                <w:b/>
                <w:bCs/>
                <w:color w:val="FFFFFF"/>
                <w:sz w:val="22"/>
                <w:szCs w:val="22"/>
              </w:rPr>
              <w:t xml:space="preserve">Infrastructure</w:t>
            </w:r>
          </w:p>
        </w:tc>
        <w:tc>
          <w:tcPr>
            <w:tcW w:type="dxa" w:w="6760"/>
            <w:tcBorders>
              <w:top w:val="single" w:color="BFCBEE" w:sz="1"/>
              <w:left w:val="single" w:color="BFCBEE" w:sz="1"/>
              <w:bottom w:val="single" w:color="BFCBEE" w:sz="1"/>
              <w:right w:val="single" w:color="BFCBEE" w:sz="1"/>
            </w:tcBorders>
            <w:shd w:fill="EEF2FF" w:val="clear"/>
            <w:tcMar>
              <w:top w:type="dxa" w:w="100"/>
              <w:left w:type="dxa" w:w="150"/>
              <w:bottom w:type="dxa" w:w="100"/>
              <w:right w:type="dxa" w:w="150"/>
            </w:tcMar>
          </w:tcPr>
          <w:p>
            <w:r>
              <w:rPr>
                <w:rFonts w:ascii="Arial" w:cs="Arial" w:eastAsia="Arial" w:hAnsi="Arial"/>
                <w:b/>
                <w:bCs/>
                <w:color w:val="0F1E40"/>
                <w:sz w:val="22"/>
                <w:szCs w:val="22"/>
              </w:rPr>
              <w:t xml:space="preserve">Purpose</w:t>
            </w:r>
          </w:p>
        </w:tc>
      </w:tr>
      <w:tr>
        <w:tc>
          <w:tcPr>
            <w:tcW w:type="dxa" w:w="2600"/>
            <w:tcBorders>
              <w:top w:val="single" w:color="BFCBEE" w:sz="1"/>
              <w:left w:val="single" w:color="BFCBEE" w:sz="1"/>
              <w:bottom w:val="single" w:color="BFCBEE" w:sz="1"/>
              <w:right w:val="single" w:color="BFCBEE" w:sz="1"/>
            </w:tcBorders>
            <w:shd w:fill="EEF2FF" w:val="clear"/>
            <w:tcMar>
              <w:top w:type="dxa" w:w="100"/>
              <w:left w:type="dxa" w:w="150"/>
              <w:bottom w:type="dxa" w:w="100"/>
              <w:right w:type="dxa" w:w="150"/>
            </w:tcMar>
            <w:vAlign w:val="center"/>
          </w:tcPr>
          <w:p>
            <w:r>
              <w:rPr>
                <w:rFonts w:ascii="Arial" w:cs="Arial" w:eastAsia="Arial" w:hAnsi="Arial"/>
                <w:b/>
                <w:bCs/>
                <w:color w:val="0F1E40"/>
                <w:sz w:val="20"/>
                <w:szCs w:val="20"/>
              </w:rPr>
              <w:t xml:space="preserve">Apache Kafka 3.7.0</w:t>
            </w:r>
          </w:p>
        </w:tc>
        <w:tc>
          <w:tcPr>
            <w:tcW w:type="dxa" w:w="6760"/>
            <w:tcBorders>
              <w:top w:val="single" w:color="BFCBEE" w:sz="1"/>
              <w:left w:val="single" w:color="BFCBEE" w:sz="1"/>
              <w:bottom w:val="single" w:color="BFCBEE" w:sz="1"/>
              <w:right w:val="single" w:color="BFCBEE"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Primary async event bus. Consumed: idea.fingerprinted. Published: idea.similarity.flagged / cleared / review.</w:t>
            </w:r>
          </w:p>
        </w:tc>
      </w:tr>
      <w:tr>
        <w:tc>
          <w:tcPr>
            <w:tcW w:type="dxa" w:w="2600"/>
            <w:tcBorders>
              <w:top w:val="single" w:color="BFCBEE" w:sz="1"/>
              <w:left w:val="single" w:color="BFCBEE" w:sz="1"/>
              <w:bottom w:val="single" w:color="BFCBEE" w:sz="1"/>
              <w:right w:val="single" w:color="BFCBEE" w:sz="1"/>
            </w:tcBorders>
            <w:shd w:fill="EEF2FF" w:val="clear"/>
            <w:tcMar>
              <w:top w:type="dxa" w:w="100"/>
              <w:left w:type="dxa" w:w="150"/>
              <w:bottom w:type="dxa" w:w="100"/>
              <w:right w:type="dxa" w:w="150"/>
            </w:tcMar>
            <w:vAlign w:val="center"/>
          </w:tcPr>
          <w:p>
            <w:r>
              <w:rPr>
                <w:rFonts w:ascii="Arial" w:cs="Arial" w:eastAsia="Arial" w:hAnsi="Arial"/>
                <w:b/>
                <w:bCs/>
                <w:color w:val="0F1E40"/>
                <w:sz w:val="20"/>
                <w:szCs w:val="20"/>
              </w:rPr>
              <w:t xml:space="preserve">Qdrant (vector DB)</w:t>
            </w:r>
          </w:p>
        </w:tc>
        <w:tc>
          <w:tcPr>
            <w:tcW w:type="dxa" w:w="6760"/>
            <w:tcBorders>
              <w:top w:val="single" w:color="BFCBEE" w:sz="1"/>
              <w:left w:val="single" w:color="BFCBEE" w:sz="1"/>
              <w:bottom w:val="single" w:color="BFCBEE" w:sz="1"/>
              <w:right w:val="single" w:color="BFCBEE"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ANN similarity search on idea-embeddings collection. Core compute dependency — service cannot function without Qdrant availability.</w:t>
            </w:r>
          </w:p>
        </w:tc>
      </w:tr>
      <w:tr>
        <w:tc>
          <w:tcPr>
            <w:tcW w:type="dxa" w:w="2600"/>
            <w:tcBorders>
              <w:top w:val="single" w:color="BFCBEE" w:sz="1"/>
              <w:left w:val="single" w:color="BFCBEE" w:sz="1"/>
              <w:bottom w:val="single" w:color="BFCBEE" w:sz="1"/>
              <w:right w:val="single" w:color="BFCBEE" w:sz="1"/>
            </w:tcBorders>
            <w:shd w:fill="EEF2FF" w:val="clear"/>
            <w:tcMar>
              <w:top w:type="dxa" w:w="100"/>
              <w:left w:type="dxa" w:w="150"/>
              <w:bottom w:type="dxa" w:w="100"/>
              <w:right w:type="dxa" w:w="150"/>
            </w:tcMar>
            <w:vAlign w:val="center"/>
          </w:tcPr>
          <w:p>
            <w:r>
              <w:rPr>
                <w:rFonts w:ascii="Arial" w:cs="Arial" w:eastAsia="Arial" w:hAnsi="Arial"/>
                <w:b/>
                <w:bCs/>
                <w:color w:val="0F1E40"/>
                <w:sz w:val="20"/>
                <w:szCs w:val="20"/>
              </w:rPr>
              <w:t xml:space="preserve">PostgreSQL 15</w:t>
            </w:r>
          </w:p>
        </w:tc>
        <w:tc>
          <w:tcPr>
            <w:tcW w:type="dxa" w:w="6760"/>
            <w:tcBorders>
              <w:top w:val="single" w:color="BFCBEE" w:sz="1"/>
              <w:left w:val="single" w:color="BFCBEE" w:sz="1"/>
              <w:bottom w:val="single" w:color="BFCBEE" w:sz="1"/>
              <w:right w:val="single" w:color="BFCBEE"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Durable storage for similarity reports and audit log. RLS enforces tenant isolation.</w:t>
            </w:r>
          </w:p>
        </w:tc>
      </w:tr>
      <w:tr>
        <w:tc>
          <w:tcPr>
            <w:tcW w:type="dxa" w:w="2600"/>
            <w:tcBorders>
              <w:top w:val="single" w:color="BFCBEE" w:sz="1"/>
              <w:left w:val="single" w:color="BFCBEE" w:sz="1"/>
              <w:bottom w:val="single" w:color="BFCBEE" w:sz="1"/>
              <w:right w:val="single" w:color="BFCBEE" w:sz="1"/>
            </w:tcBorders>
            <w:shd w:fill="EEF2FF" w:val="clear"/>
            <w:tcMar>
              <w:top w:type="dxa" w:w="100"/>
              <w:left w:type="dxa" w:w="150"/>
              <w:bottom w:type="dxa" w:w="100"/>
              <w:right w:type="dxa" w:w="150"/>
            </w:tcMar>
            <w:vAlign w:val="center"/>
          </w:tcPr>
          <w:p>
            <w:r>
              <w:rPr>
                <w:rFonts w:ascii="Arial" w:cs="Arial" w:eastAsia="Arial" w:hAnsi="Arial"/>
                <w:b/>
                <w:bCs/>
                <w:color w:val="0F1E40"/>
                <w:sz w:val="20"/>
                <w:szCs w:val="20"/>
              </w:rPr>
              <w:t xml:space="preserve">Redis 7</w:t>
            </w:r>
          </w:p>
        </w:tc>
        <w:tc>
          <w:tcPr>
            <w:tcW w:type="dxa" w:w="6760"/>
            <w:tcBorders>
              <w:top w:val="single" w:color="BFCBEE" w:sz="1"/>
              <w:left w:val="single" w:color="BFCBEE" w:sz="1"/>
              <w:bottom w:val="single" w:color="BFCBEE" w:sz="1"/>
              <w:right w:val="single" w:color="BFCBEE"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Per-tenant threshold config cache (TTL: 5 min). Avoids per-event admin-service REST calls under load.</w:t>
            </w:r>
          </w:p>
        </w:tc>
      </w:tr>
      <w:tr>
        <w:tc>
          <w:tcPr>
            <w:tcW w:type="dxa" w:w="2600"/>
            <w:tcBorders>
              <w:top w:val="single" w:color="BFCBEE" w:sz="1"/>
              <w:left w:val="single" w:color="BFCBEE" w:sz="1"/>
              <w:bottom w:val="single" w:color="BFCBEE" w:sz="1"/>
              <w:right w:val="single" w:color="BFCBEE" w:sz="1"/>
            </w:tcBorders>
            <w:shd w:fill="EEF2FF" w:val="clear"/>
            <w:tcMar>
              <w:top w:type="dxa" w:w="100"/>
              <w:left w:type="dxa" w:w="150"/>
              <w:bottom w:type="dxa" w:w="100"/>
              <w:right w:type="dxa" w:w="150"/>
            </w:tcMar>
            <w:vAlign w:val="center"/>
          </w:tcPr>
          <w:p>
            <w:r>
              <w:rPr>
                <w:rFonts w:ascii="Arial" w:cs="Arial" w:eastAsia="Arial" w:hAnsi="Arial"/>
                <w:b/>
                <w:bCs/>
                <w:color w:val="0F1E40"/>
                <w:sz w:val="20"/>
                <w:szCs w:val="20"/>
              </w:rPr>
              <w:t xml:space="preserve">Apicurio Schema Registry</w:t>
            </w:r>
          </w:p>
        </w:tc>
        <w:tc>
          <w:tcPr>
            <w:tcW w:type="dxa" w:w="6760"/>
            <w:tcBorders>
              <w:top w:val="single" w:color="BFCBEE" w:sz="1"/>
              <w:left w:val="single" w:color="BFCBEE" w:sz="1"/>
              <w:bottom w:val="single" w:color="BFCBEE" w:sz="1"/>
              <w:right w:val="single" w:color="BFCBEE"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Avro schema validation for all consumed and produced Kafka events.</w:t>
            </w:r>
          </w:p>
        </w:tc>
      </w:tr>
      <w:tr>
        <w:tc>
          <w:tcPr>
            <w:tcW w:type="dxa" w:w="2600"/>
            <w:tcBorders>
              <w:top w:val="single" w:color="BFCBEE" w:sz="1"/>
              <w:left w:val="single" w:color="BFCBEE" w:sz="1"/>
              <w:bottom w:val="single" w:color="BFCBEE" w:sz="1"/>
              <w:right w:val="single" w:color="BFCBEE" w:sz="1"/>
            </w:tcBorders>
            <w:shd w:fill="EEF2FF" w:val="clear"/>
            <w:tcMar>
              <w:top w:type="dxa" w:w="100"/>
              <w:left w:type="dxa" w:w="150"/>
              <w:bottom w:type="dxa" w:w="100"/>
              <w:right w:type="dxa" w:w="150"/>
            </w:tcMar>
            <w:vAlign w:val="center"/>
          </w:tcPr>
          <w:p>
            <w:r>
              <w:rPr>
                <w:rFonts w:ascii="Arial" w:cs="Arial" w:eastAsia="Arial" w:hAnsi="Arial"/>
                <w:b/>
                <w:bCs/>
                <w:color w:val="0F1E40"/>
                <w:sz w:val="20"/>
                <w:szCs w:val="20"/>
              </w:rPr>
              <w:t xml:space="preserve">Prometheus + Grafana</w:t>
            </w:r>
          </w:p>
        </w:tc>
        <w:tc>
          <w:tcPr>
            <w:tcW w:type="dxa" w:w="6760"/>
            <w:tcBorders>
              <w:top w:val="single" w:color="BFCBEE" w:sz="1"/>
              <w:left w:val="single" w:color="BFCBEE" w:sz="1"/>
              <w:bottom w:val="single" w:color="BFCBEE" w:sz="1"/>
              <w:right w:val="single" w:color="BFCBEE"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Metrics scraping and dashboard visualization (check latency, classification distribution, DLQ count, consumer lag).</w:t>
            </w:r>
          </w:p>
        </w:tc>
      </w:tr>
      <w:tr>
        <w:tc>
          <w:tcPr>
            <w:tcW w:type="dxa" w:w="2600"/>
            <w:tcBorders>
              <w:top w:val="single" w:color="BFCBEE" w:sz="1"/>
              <w:left w:val="single" w:color="BFCBEE" w:sz="1"/>
              <w:bottom w:val="single" w:color="BFCBEE" w:sz="1"/>
              <w:right w:val="single" w:color="BFCBEE" w:sz="1"/>
            </w:tcBorders>
            <w:shd w:fill="EEF2FF" w:val="clear"/>
            <w:tcMar>
              <w:top w:type="dxa" w:w="100"/>
              <w:left w:type="dxa" w:w="150"/>
              <w:bottom w:type="dxa" w:w="100"/>
              <w:right w:type="dxa" w:w="150"/>
            </w:tcMar>
            <w:vAlign w:val="center"/>
          </w:tcPr>
          <w:p>
            <w:r>
              <w:rPr>
                <w:rFonts w:ascii="Arial" w:cs="Arial" w:eastAsia="Arial" w:hAnsi="Arial"/>
                <w:b/>
                <w:bCs/>
                <w:color w:val="0F1E40"/>
                <w:sz w:val="20"/>
                <w:szCs w:val="20"/>
              </w:rPr>
              <w:t xml:space="preserve">OpenTelemetry Collector</w:t>
            </w:r>
          </w:p>
        </w:tc>
        <w:tc>
          <w:tcPr>
            <w:tcW w:type="dxa" w:w="6760"/>
            <w:tcBorders>
              <w:top w:val="single" w:color="BFCBEE" w:sz="1"/>
              <w:left w:val="single" w:color="BFCBEE" w:sz="1"/>
              <w:bottom w:val="single" w:color="BFCBEE" w:sz="1"/>
              <w:right w:val="single" w:color="BFCBEE"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Distributed trace propagation across Kafka headers and internal processing spans.</w:t>
            </w:r>
          </w:p>
        </w:tc>
      </w:tr>
      <w:tr>
        <w:tc>
          <w:tcPr>
            <w:tcW w:type="dxa" w:w="2600"/>
            <w:tcBorders>
              <w:top w:val="single" w:color="BFCBEE" w:sz="1"/>
              <w:left w:val="single" w:color="BFCBEE" w:sz="1"/>
              <w:bottom w:val="single" w:color="BFCBEE" w:sz="1"/>
              <w:right w:val="single" w:color="BFCBEE" w:sz="1"/>
            </w:tcBorders>
            <w:shd w:fill="EEF2FF" w:val="clear"/>
            <w:tcMar>
              <w:top w:type="dxa" w:w="100"/>
              <w:left w:type="dxa" w:w="150"/>
              <w:bottom w:type="dxa" w:w="100"/>
              <w:right w:type="dxa" w:w="150"/>
            </w:tcMar>
            <w:vAlign w:val="center"/>
          </w:tcPr>
          <w:p>
            <w:r>
              <w:rPr>
                <w:rFonts w:ascii="Arial" w:cs="Arial" w:eastAsia="Arial" w:hAnsi="Arial"/>
                <w:b/>
                <w:bCs/>
                <w:color w:val="0F1E40"/>
                <w:sz w:val="20"/>
                <w:szCs w:val="20"/>
              </w:rPr>
              <w:t xml:space="preserve">NGINX Ingress</w:t>
            </w:r>
          </w:p>
        </w:tc>
        <w:tc>
          <w:tcPr>
            <w:tcW w:type="dxa" w:w="6760"/>
            <w:tcBorders>
              <w:top w:val="single" w:color="BFCBEE" w:sz="1"/>
              <w:left w:val="single" w:color="BFCBEE" w:sz="1"/>
              <w:bottom w:val="single" w:color="BFCBEE" w:sz="1"/>
              <w:right w:val="single" w:color="BFCBEE"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Admin REST API external routing and TLS termination.</w:t>
            </w:r>
          </w:p>
        </w:tc>
      </w:tr>
      <w:tr>
        <w:tc>
          <w:tcPr>
            <w:tcW w:type="dxa" w:w="2600"/>
            <w:tcBorders>
              <w:top w:val="single" w:color="BFCBEE" w:sz="1"/>
              <w:left w:val="single" w:color="BFCBEE" w:sz="1"/>
              <w:bottom w:val="single" w:color="BFCBEE" w:sz="1"/>
              <w:right w:val="single" w:color="BFCBEE" w:sz="1"/>
            </w:tcBorders>
            <w:shd w:fill="EEF2FF" w:val="clear"/>
            <w:tcMar>
              <w:top w:type="dxa" w:w="100"/>
              <w:left w:type="dxa" w:w="150"/>
              <w:bottom w:type="dxa" w:w="100"/>
              <w:right w:type="dxa" w:w="150"/>
            </w:tcMar>
            <w:vAlign w:val="center"/>
          </w:tcPr>
          <w:p>
            <w:r>
              <w:rPr>
                <w:rFonts w:ascii="Arial" w:cs="Arial" w:eastAsia="Arial" w:hAnsi="Arial"/>
                <w:b/>
                <w:bCs/>
                <w:color w:val="0F1E40"/>
                <w:sz w:val="20"/>
                <w:szCs w:val="20"/>
              </w:rPr>
              <w:t xml:space="preserve">Keycloak 24.0</w:t>
            </w:r>
          </w:p>
        </w:tc>
        <w:tc>
          <w:tcPr>
            <w:tcW w:type="dxa" w:w="6760"/>
            <w:tcBorders>
              <w:top w:val="single" w:color="BFCBEE" w:sz="1"/>
              <w:left w:val="single" w:color="BFCBEE" w:sz="1"/>
              <w:bottom w:val="single" w:color="BFCBEE" w:sz="1"/>
              <w:right w:val="single" w:color="BFCBEE"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JWT validation for admin API endpoints.</w:t>
            </w:r>
          </w:p>
        </w:tc>
      </w:tr>
      <w:tr>
        <w:tc>
          <w:tcPr>
            <w:tcW w:type="dxa" w:w="2600"/>
            <w:tcBorders>
              <w:top w:val="single" w:color="BFCBEE" w:sz="1"/>
              <w:left w:val="single" w:color="BFCBEE" w:sz="1"/>
              <w:bottom w:val="single" w:color="BFCBEE" w:sz="1"/>
              <w:right w:val="single" w:color="BFCBEE" w:sz="1"/>
            </w:tcBorders>
            <w:shd w:fill="EEF2FF" w:val="clear"/>
            <w:tcMar>
              <w:top w:type="dxa" w:w="100"/>
              <w:left w:type="dxa" w:w="150"/>
              <w:bottom w:type="dxa" w:w="100"/>
              <w:right w:type="dxa" w:w="150"/>
            </w:tcMar>
            <w:vAlign w:val="center"/>
          </w:tcPr>
          <w:p>
            <w:r>
              <w:rPr>
                <w:rFonts w:ascii="Arial" w:cs="Arial" w:eastAsia="Arial" w:hAnsi="Arial"/>
                <w:b/>
                <w:bCs/>
                <w:color w:val="0F1E40"/>
                <w:sz w:val="20"/>
                <w:szCs w:val="20"/>
              </w:rPr>
              <w:t xml:space="preserve">k3s (GCP + AWS)</w:t>
            </w:r>
          </w:p>
        </w:tc>
        <w:tc>
          <w:tcPr>
            <w:tcW w:type="dxa" w:w="6760"/>
            <w:tcBorders>
              <w:top w:val="single" w:color="BFCBEE" w:sz="1"/>
              <w:left w:val="single" w:color="BFCBEE" w:sz="1"/>
              <w:bottom w:val="single" w:color="BFCBEE" w:sz="1"/>
              <w:right w:val="single" w:color="BFCBEE"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Pod scheduling, HPA (Kafka consumer lag metric), ConfigMap/Secret mounting, Helm chart deployment.</w:t>
            </w:r>
          </w:p>
        </w:tc>
      </w:tr>
      <w:tr>
        <w:tc>
          <w:tcPr>
            <w:tcW w:type="dxa" w:w="2600"/>
            <w:tcBorders>
              <w:top w:val="single" w:color="BFCBEE" w:sz="1"/>
              <w:left w:val="single" w:color="BFCBEE" w:sz="1"/>
              <w:bottom w:val="single" w:color="BFCBEE" w:sz="1"/>
              <w:right w:val="single" w:color="BFCBEE" w:sz="1"/>
            </w:tcBorders>
            <w:shd w:fill="EEF2FF" w:val="clear"/>
            <w:tcMar>
              <w:top w:type="dxa" w:w="100"/>
              <w:left w:type="dxa" w:w="150"/>
              <w:bottom w:type="dxa" w:w="100"/>
              <w:right w:type="dxa" w:w="150"/>
            </w:tcMar>
            <w:vAlign w:val="center"/>
          </w:tcPr>
          <w:p>
            <w:r>
              <w:rPr>
                <w:rFonts w:ascii="Arial" w:cs="Arial" w:eastAsia="Arial" w:hAnsi="Arial"/>
                <w:b/>
                <w:bCs/>
                <w:color w:val="0F1E40"/>
                <w:sz w:val="20"/>
                <w:szCs w:val="20"/>
              </w:rPr>
              <w:t xml:space="preserve">Flyway</w:t>
            </w:r>
          </w:p>
        </w:tc>
        <w:tc>
          <w:tcPr>
            <w:tcW w:type="dxa" w:w="6760"/>
            <w:tcBorders>
              <w:top w:val="single" w:color="BFCBEE" w:sz="1"/>
              <w:left w:val="single" w:color="BFCBEE" w:sz="1"/>
              <w:bottom w:val="single" w:color="BFCBEE" w:sz="1"/>
              <w:right w:val="single" w:color="BFCBEE"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PostgreSQL schema migration versioning for idea_similarity_reports and audit tables.</w:t>
            </w:r>
          </w:p>
        </w:tc>
      </w:tr>
      <w:tr>
        <w:tc>
          <w:tcPr>
            <w:tcW w:type="dxa" w:w="2600"/>
            <w:tcBorders>
              <w:top w:val="single" w:color="BFCBEE" w:sz="1"/>
              <w:left w:val="single" w:color="BFCBEE" w:sz="1"/>
              <w:bottom w:val="single" w:color="BFCBEE" w:sz="1"/>
              <w:right w:val="single" w:color="BFCBEE" w:sz="1"/>
            </w:tcBorders>
            <w:shd w:fill="EEF2FF" w:val="clear"/>
            <w:tcMar>
              <w:top w:type="dxa" w:w="100"/>
              <w:left w:type="dxa" w:w="150"/>
              <w:bottom w:type="dxa" w:w="100"/>
              <w:right w:type="dxa" w:w="150"/>
            </w:tcMar>
            <w:vAlign w:val="center"/>
          </w:tcPr>
          <w:p>
            <w:r>
              <w:rPr>
                <w:rFonts w:ascii="Arial" w:cs="Arial" w:eastAsia="Arial" w:hAnsi="Arial"/>
                <w:b/>
                <w:bCs/>
                <w:color w:val="0F1E40"/>
                <w:sz w:val="20"/>
                <w:szCs w:val="20"/>
              </w:rPr>
              <w:t xml:space="preserve">MinIO</w:t>
            </w:r>
          </w:p>
        </w:tc>
        <w:tc>
          <w:tcPr>
            <w:tcW w:type="dxa" w:w="6760"/>
            <w:tcBorders>
              <w:top w:val="single" w:color="BFCBEE" w:sz="1"/>
              <w:left w:val="single" w:color="BFCBEE" w:sz="1"/>
              <w:bottom w:val="single" w:color="BFCBEE" w:sz="1"/>
              <w:right w:val="single" w:color="BFCBEE"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Idea document storage (read-only dependency — original idea documents retrieved for amended recheck flows).</w:t>
            </w:r>
          </w:p>
        </w:tc>
      </w:tr>
    </w:tbl>
    <w:p>
      <w:pPr>
        <w:spacing w:before="160" w:after="0"/>
      </w:pPr>
      <w:r>
        <w:t xml:space="preserve"/>
      </w:r>
    </w:p>
    <w:p>
      <w:pPr>
        <w:pStyle w:val="Heading1"/>
        <w:spacing w:before="360" w:after="100"/>
      </w:pPr>
      <w:r>
        <w:rPr>
          <w:rFonts w:ascii="Arial" w:cs="Arial" w:eastAsia="Arial" w:hAnsi="Arial"/>
          <w:b/>
          <w:bCs/>
          <w:color w:val="0F1E40"/>
          <w:sz w:val="36"/>
          <w:szCs w:val="36"/>
        </w:rPr>
        <w:t xml:space="preserve">8. Tech Stack</w:t>
      </w:r>
    </w:p>
    <w:p>
      <w:pPr>
        <w:pBdr>
          <w:bottom w:val="single" w:color="2563EB" w:sz="6" w:space="1"/>
        </w:pBdr>
        <w:spacing w:before="80" w:after="100"/>
      </w:pPr>
    </w:p>
    <w:p>
      <w:pPr>
        <w:spacing w:before="80" w:after="0"/>
      </w:pPr>
      <w:r>
        <w:t xml:space="preserve"/>
      </w:r>
    </w:p>
    <w:p>
      <w:pPr>
        <w:spacing w:before="80" w:after="80"/>
      </w:pPr>
      <w:r>
        <w:rPr>
          <w:rFonts w:ascii="Arial" w:cs="Arial" w:eastAsia="Arial" w:hAnsi="Arial"/>
          <w:b w:val="false"/>
          <w:bCs w:val="false"/>
          <w:i w:val="false"/>
          <w:iCs w:val="false"/>
          <w:color w:val="1A1A1A"/>
          <w:sz w:val="22"/>
          <w:szCs w:val="22"/>
        </w:rPr>
        <w:t xml:space="preserve">The idea-similarity-detector is built on the standard Ecoskiller Node.js microservice baseline, containerized as a ~1.58 GB Docker image and deployed via Helm to the analytics namespace of the k3s cluster.</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400"/>
        <w:gridCol w:w="5260"/>
      </w:tblGrid>
      <w:tr>
        <w:tc>
          <w:tcPr>
            <w:tcW w:type="dxa" w:w="2700"/>
            <w:tcBorders>
              <w:top w:val="single" w:color="BFCBEE" w:sz="1"/>
              <w:left w:val="single" w:color="BFCBEE" w:sz="1"/>
              <w:bottom w:val="single" w:color="BFCBEE" w:sz="1"/>
              <w:right w:val="single" w:color="BFCBEE" w:sz="1"/>
            </w:tcBorders>
            <w:shd w:fill="1A3A6B" w:val="clear"/>
            <w:tcMar>
              <w:top w:type="dxa" w:w="90"/>
              <w:left w:type="dxa" w:w="130"/>
              <w:bottom w:type="dxa" w:w="90"/>
              <w:right w:type="dxa" w:w="130"/>
            </w:tcMar>
          </w:tcPr>
          <w:p>
            <w:r>
              <w:rPr>
                <w:rFonts w:ascii="Arial" w:cs="Arial" w:eastAsia="Arial" w:hAnsi="Arial"/>
                <w:b/>
                <w:bCs/>
                <w:color w:val="FFFFFF"/>
                <w:sz w:val="20"/>
                <w:szCs w:val="20"/>
              </w:rPr>
              <w:t xml:space="preserve">Technology</w:t>
            </w:r>
          </w:p>
        </w:tc>
        <w:tc>
          <w:tcPr>
            <w:tcW w:type="dxa" w:w="1400"/>
            <w:tcBorders>
              <w:top w:val="single" w:color="BFCBEE" w:sz="1"/>
              <w:left w:val="single" w:color="BFCBEE" w:sz="1"/>
              <w:bottom w:val="single" w:color="BFCBEE" w:sz="1"/>
              <w:right w:val="single" w:color="BFCBEE" w:sz="1"/>
            </w:tcBorders>
            <w:shd w:fill="1A3A6B" w:val="clear"/>
            <w:tcMar>
              <w:top w:type="dxa" w:w="90"/>
              <w:left w:type="dxa" w:w="130"/>
              <w:bottom w:type="dxa" w:w="90"/>
              <w:right w:type="dxa" w:w="130"/>
            </w:tcMar>
          </w:tcPr>
          <w:p>
            <w:r>
              <w:rPr>
                <w:rFonts w:ascii="Arial" w:cs="Arial" w:eastAsia="Arial" w:hAnsi="Arial"/>
                <w:b/>
                <w:bCs/>
                <w:color w:val="FFFFFF"/>
                <w:sz w:val="20"/>
                <w:szCs w:val="20"/>
              </w:rPr>
              <w:t xml:space="preserve">Version</w:t>
            </w:r>
          </w:p>
        </w:tc>
        <w:tc>
          <w:tcPr>
            <w:tcW w:type="dxa" w:w="5260"/>
            <w:tcBorders>
              <w:top w:val="single" w:color="BFCBEE" w:sz="1"/>
              <w:left w:val="single" w:color="BFCBEE" w:sz="1"/>
              <w:bottom w:val="single" w:color="BFCBEE" w:sz="1"/>
              <w:right w:val="single" w:color="BFCBEE" w:sz="1"/>
            </w:tcBorders>
            <w:shd w:fill="1A3A6B" w:val="clear"/>
            <w:tcMar>
              <w:top w:type="dxa" w:w="90"/>
              <w:left w:type="dxa" w:w="130"/>
              <w:bottom w:type="dxa" w:w="90"/>
              <w:right w:type="dxa" w:w="130"/>
            </w:tcMar>
          </w:tcPr>
          <w:p>
            <w:r>
              <w:rPr>
                <w:rFonts w:ascii="Arial" w:cs="Arial" w:eastAsia="Arial" w:hAnsi="Arial"/>
                <w:b/>
                <w:bCs/>
                <w:color w:val="FFFFFF"/>
                <w:sz w:val="20"/>
                <w:szCs w:val="20"/>
              </w:rPr>
              <w:t xml:space="preserve">Role in Service</w:t>
            </w:r>
          </w:p>
        </w:tc>
      </w:tr>
      <w:tr>
        <w:tc>
          <w:tcPr>
            <w:tcW w:type="dxa" w:w="2700"/>
            <w:tcBorders>
              <w:top w:val="single" w:color="BFCBEE" w:sz="1"/>
              <w:left w:val="single" w:color="BFCBEE" w:sz="1"/>
              <w:bottom w:val="single" w:color="BFCBEE" w:sz="1"/>
              <w:right w:val="single" w:color="BFCBEE" w:sz="1"/>
            </w:tcBorders>
            <w:shd w:fill="FFFFFF" w:val="clear"/>
            <w:tcMar>
              <w:top w:type="dxa" w:w="85"/>
              <w:left w:type="dxa" w:w="130"/>
              <w:bottom w:type="dxa" w:w="85"/>
              <w:right w:type="dxa" w:w="130"/>
            </w:tcMar>
          </w:tcPr>
          <w:p>
            <w:r>
              <w:rPr>
                <w:rFonts w:ascii="Arial" w:cs="Arial" w:eastAsia="Arial" w:hAnsi="Arial"/>
                <w:b/>
                <w:bCs/>
                <w:color w:val="0F1E40"/>
                <w:sz w:val="20"/>
                <w:szCs w:val="20"/>
              </w:rPr>
              <w:t xml:space="preserve">Node.js (JavaScript)</w:t>
            </w:r>
          </w:p>
        </w:tc>
        <w:tc>
          <w:tcPr>
            <w:tcW w:type="dxa" w:w="1400"/>
            <w:tcBorders>
              <w:top w:val="single" w:color="BFCBEE" w:sz="1"/>
              <w:left w:val="single" w:color="BFCBEE" w:sz="1"/>
              <w:bottom w:val="single" w:color="BFCBEE" w:sz="1"/>
              <w:right w:val="single" w:color="BFCBEE" w:sz="1"/>
            </w:tcBorders>
            <w:shd w:fill="FFFFFF" w:val="clear"/>
            <w:tcMar>
              <w:top w:type="dxa" w:w="85"/>
              <w:left w:type="dxa" w:w="130"/>
              <w:bottom w:type="dxa" w:w="85"/>
              <w:right w:type="dxa" w:w="130"/>
            </w:tcMar>
          </w:tcPr>
          <w:p>
            <w:r>
              <w:rPr>
                <w:rFonts w:ascii="Arial" w:cs="Arial" w:eastAsia="Arial" w:hAnsi="Arial"/>
                <w:b w:val="false"/>
                <w:bCs w:val="false"/>
                <w:color w:val="4A4A4A"/>
                <w:sz w:val="20"/>
                <w:szCs w:val="20"/>
              </w:rPr>
              <w:t xml:space="preserve">LTS 20.x</w:t>
            </w:r>
          </w:p>
        </w:tc>
        <w:tc>
          <w:tcPr>
            <w:tcW w:type="dxa" w:w="5260"/>
            <w:tcBorders>
              <w:top w:val="single" w:color="BFCBEE" w:sz="1"/>
              <w:left w:val="single" w:color="BFCBEE" w:sz="1"/>
              <w:bottom w:val="single" w:color="BFCBEE" w:sz="1"/>
              <w:right w:val="single" w:color="BFCBEE" w:sz="1"/>
            </w:tcBorders>
            <w:shd w:fill="FFFFFF" w:val="clear"/>
            <w:tcMar>
              <w:top w:type="dxa" w:w="85"/>
              <w:left w:type="dxa" w:w="130"/>
              <w:bottom w:type="dxa" w:w="85"/>
              <w:right w:type="dxa" w:w="130"/>
            </w:tcMar>
          </w:tcPr>
          <w:p>
            <w:r>
              <w:rPr>
                <w:rFonts w:ascii="Arial" w:cs="Arial" w:eastAsia="Arial" w:hAnsi="Arial"/>
                <w:b w:val="false"/>
                <w:bCs w:val="false"/>
                <w:color w:val="4A4A4A"/>
                <w:sz w:val="20"/>
                <w:szCs w:val="20"/>
              </w:rPr>
              <w:t xml:space="preserve">Primary runtime. All ANN query orchestration, score computation, and Kafka consumer logic</w:t>
            </w:r>
          </w:p>
        </w:tc>
      </w:tr>
      <w:tr>
        <w:tc>
          <w:tcPr>
            <w:tcW w:type="dxa" w:w="2700"/>
            <w:tcBorders>
              <w:top w:val="single" w:color="BFCBEE" w:sz="1"/>
              <w:left w:val="single" w:color="BFCBEE" w:sz="1"/>
              <w:bottom w:val="single" w:color="BFCBEE" w:sz="1"/>
              <w:right w:val="single" w:color="BFCBEE" w:sz="1"/>
            </w:tcBorders>
            <w:shd w:fill="F5F7FA" w:val="clear"/>
            <w:tcMar>
              <w:top w:type="dxa" w:w="85"/>
              <w:left w:type="dxa" w:w="130"/>
              <w:bottom w:type="dxa" w:w="85"/>
              <w:right w:type="dxa" w:w="130"/>
            </w:tcMar>
          </w:tcPr>
          <w:p>
            <w:r>
              <w:rPr>
                <w:rFonts w:ascii="Arial" w:cs="Arial" w:eastAsia="Arial" w:hAnsi="Arial"/>
                <w:b/>
                <w:bCs/>
                <w:color w:val="0F1E40"/>
                <w:sz w:val="20"/>
                <w:szCs w:val="20"/>
              </w:rPr>
              <w:t xml:space="preserve">Apache Kafka</w:t>
            </w:r>
          </w:p>
        </w:tc>
        <w:tc>
          <w:tcPr>
            <w:tcW w:type="dxa" w:w="1400"/>
            <w:tcBorders>
              <w:top w:val="single" w:color="BFCBEE" w:sz="1"/>
              <w:left w:val="single" w:color="BFCBEE" w:sz="1"/>
              <w:bottom w:val="single" w:color="BFCBEE" w:sz="1"/>
              <w:right w:val="single" w:color="BFCBEE" w:sz="1"/>
            </w:tcBorders>
            <w:shd w:fill="F5F7FA" w:val="clear"/>
            <w:tcMar>
              <w:top w:type="dxa" w:w="85"/>
              <w:left w:type="dxa" w:w="130"/>
              <w:bottom w:type="dxa" w:w="85"/>
              <w:right w:type="dxa" w:w="130"/>
            </w:tcMar>
          </w:tcPr>
          <w:p>
            <w:r>
              <w:rPr>
                <w:rFonts w:ascii="Arial" w:cs="Arial" w:eastAsia="Arial" w:hAnsi="Arial"/>
                <w:b w:val="false"/>
                <w:bCs w:val="false"/>
                <w:color w:val="4A4A4A"/>
                <w:sz w:val="20"/>
                <w:szCs w:val="20"/>
              </w:rPr>
              <w:t xml:space="preserve">3.7.0</w:t>
            </w:r>
          </w:p>
        </w:tc>
        <w:tc>
          <w:tcPr>
            <w:tcW w:type="dxa" w:w="5260"/>
            <w:tcBorders>
              <w:top w:val="single" w:color="BFCBEE" w:sz="1"/>
              <w:left w:val="single" w:color="BFCBEE" w:sz="1"/>
              <w:bottom w:val="single" w:color="BFCBEE" w:sz="1"/>
              <w:right w:val="single" w:color="BFCBEE" w:sz="1"/>
            </w:tcBorders>
            <w:shd w:fill="F5F7FA" w:val="clear"/>
            <w:tcMar>
              <w:top w:type="dxa" w:w="85"/>
              <w:left w:type="dxa" w:w="130"/>
              <w:bottom w:type="dxa" w:w="85"/>
              <w:right w:type="dxa" w:w="130"/>
            </w:tcMar>
          </w:tcPr>
          <w:p>
            <w:r>
              <w:rPr>
                <w:rFonts w:ascii="Arial" w:cs="Arial" w:eastAsia="Arial" w:hAnsi="Arial"/>
                <w:b w:val="false"/>
                <w:bCs w:val="false"/>
                <w:color w:val="4A4A4A"/>
                <w:sz w:val="20"/>
                <w:szCs w:val="20"/>
              </w:rPr>
              <w:t xml:space="preserve">Event bus — consuming idea.fingerprinted; publishing idea.similarity.flagged / cleared / review</w:t>
            </w:r>
          </w:p>
        </w:tc>
      </w:tr>
      <w:tr>
        <w:tc>
          <w:tcPr>
            <w:tcW w:type="dxa" w:w="2700"/>
            <w:tcBorders>
              <w:top w:val="single" w:color="BFCBEE" w:sz="1"/>
              <w:left w:val="single" w:color="BFCBEE" w:sz="1"/>
              <w:bottom w:val="single" w:color="BFCBEE" w:sz="1"/>
              <w:right w:val="single" w:color="BFCBEE" w:sz="1"/>
            </w:tcBorders>
            <w:shd w:fill="FFFFFF" w:val="clear"/>
            <w:tcMar>
              <w:top w:type="dxa" w:w="85"/>
              <w:left w:type="dxa" w:w="130"/>
              <w:bottom w:type="dxa" w:w="85"/>
              <w:right w:type="dxa" w:w="130"/>
            </w:tcMar>
          </w:tcPr>
          <w:p>
            <w:r>
              <w:rPr>
                <w:rFonts w:ascii="Arial" w:cs="Arial" w:eastAsia="Arial" w:hAnsi="Arial"/>
                <w:b/>
                <w:bCs/>
                <w:color w:val="0F1E40"/>
                <w:sz w:val="20"/>
                <w:szCs w:val="20"/>
              </w:rPr>
              <w:t xml:space="preserve">KafkaJS</w:t>
            </w:r>
          </w:p>
        </w:tc>
        <w:tc>
          <w:tcPr>
            <w:tcW w:type="dxa" w:w="1400"/>
            <w:tcBorders>
              <w:top w:val="single" w:color="BFCBEE" w:sz="1"/>
              <w:left w:val="single" w:color="BFCBEE" w:sz="1"/>
              <w:bottom w:val="single" w:color="BFCBEE" w:sz="1"/>
              <w:right w:val="single" w:color="BFCBEE" w:sz="1"/>
            </w:tcBorders>
            <w:shd w:fill="FFFFFF" w:val="clear"/>
            <w:tcMar>
              <w:top w:type="dxa" w:w="85"/>
              <w:left w:type="dxa" w:w="130"/>
              <w:bottom w:type="dxa" w:w="85"/>
              <w:right w:type="dxa" w:w="130"/>
            </w:tcMar>
          </w:tcPr>
          <w:p>
            <w:r>
              <w:rPr>
                <w:rFonts w:ascii="Arial" w:cs="Arial" w:eastAsia="Arial" w:hAnsi="Arial"/>
                <w:b w:val="false"/>
                <w:bCs w:val="false"/>
                <w:color w:val="4A4A4A"/>
                <w:sz w:val="20"/>
                <w:szCs w:val="20"/>
              </w:rPr>
              <w:t xml:space="preserve">Latest</w:t>
            </w:r>
          </w:p>
        </w:tc>
        <w:tc>
          <w:tcPr>
            <w:tcW w:type="dxa" w:w="5260"/>
            <w:tcBorders>
              <w:top w:val="single" w:color="BFCBEE" w:sz="1"/>
              <w:left w:val="single" w:color="BFCBEE" w:sz="1"/>
              <w:bottom w:val="single" w:color="BFCBEE" w:sz="1"/>
              <w:right w:val="single" w:color="BFCBEE" w:sz="1"/>
            </w:tcBorders>
            <w:shd w:fill="FFFFFF" w:val="clear"/>
            <w:tcMar>
              <w:top w:type="dxa" w:w="85"/>
              <w:left w:type="dxa" w:w="130"/>
              <w:bottom w:type="dxa" w:w="85"/>
              <w:right w:type="dxa" w:w="130"/>
            </w:tcMar>
          </w:tcPr>
          <w:p>
            <w:r>
              <w:rPr>
                <w:rFonts w:ascii="Arial" w:cs="Arial" w:eastAsia="Arial" w:hAnsi="Arial"/>
                <w:b w:val="false"/>
                <w:bCs w:val="false"/>
                <w:color w:val="4A4A4A"/>
                <w:sz w:val="20"/>
                <w:szCs w:val="20"/>
              </w:rPr>
              <w:t xml:space="preserve">Kafka client — consumer group management, offset commits, DLQ routing, header-based trace propagation</w:t>
            </w:r>
          </w:p>
        </w:tc>
      </w:tr>
      <w:tr>
        <w:tc>
          <w:tcPr>
            <w:tcW w:type="dxa" w:w="2700"/>
            <w:tcBorders>
              <w:top w:val="single" w:color="BFCBEE" w:sz="1"/>
              <w:left w:val="single" w:color="BFCBEE" w:sz="1"/>
              <w:bottom w:val="single" w:color="BFCBEE" w:sz="1"/>
              <w:right w:val="single" w:color="BFCBEE" w:sz="1"/>
            </w:tcBorders>
            <w:shd w:fill="F5F7FA" w:val="clear"/>
            <w:tcMar>
              <w:top w:type="dxa" w:w="85"/>
              <w:left w:type="dxa" w:w="130"/>
              <w:bottom w:type="dxa" w:w="85"/>
              <w:right w:type="dxa" w:w="130"/>
            </w:tcMar>
          </w:tcPr>
          <w:p>
            <w:r>
              <w:rPr>
                <w:rFonts w:ascii="Arial" w:cs="Arial" w:eastAsia="Arial" w:hAnsi="Arial"/>
                <w:b/>
                <w:bCs/>
                <w:color w:val="0F1E40"/>
                <w:sz w:val="20"/>
                <w:szCs w:val="20"/>
              </w:rPr>
              <w:t xml:space="preserve">Qdrant</w:t>
            </w:r>
          </w:p>
        </w:tc>
        <w:tc>
          <w:tcPr>
            <w:tcW w:type="dxa" w:w="1400"/>
            <w:tcBorders>
              <w:top w:val="single" w:color="BFCBEE" w:sz="1"/>
              <w:left w:val="single" w:color="BFCBEE" w:sz="1"/>
              <w:bottom w:val="single" w:color="BFCBEE" w:sz="1"/>
              <w:right w:val="single" w:color="BFCBEE" w:sz="1"/>
            </w:tcBorders>
            <w:shd w:fill="F5F7FA" w:val="clear"/>
            <w:tcMar>
              <w:top w:type="dxa" w:w="85"/>
              <w:left w:type="dxa" w:w="130"/>
              <w:bottom w:type="dxa" w:w="85"/>
              <w:right w:type="dxa" w:w="130"/>
            </w:tcMar>
          </w:tcPr>
          <w:p>
            <w:r>
              <w:rPr>
                <w:rFonts w:ascii="Arial" w:cs="Arial" w:eastAsia="Arial" w:hAnsi="Arial"/>
                <w:b w:val="false"/>
                <w:bCs w:val="false"/>
                <w:color w:val="4A4A4A"/>
                <w:sz w:val="20"/>
                <w:szCs w:val="20"/>
              </w:rPr>
              <w:t xml:space="preserve">Latest</w:t>
            </w:r>
          </w:p>
        </w:tc>
        <w:tc>
          <w:tcPr>
            <w:tcW w:type="dxa" w:w="5260"/>
            <w:tcBorders>
              <w:top w:val="single" w:color="BFCBEE" w:sz="1"/>
              <w:left w:val="single" w:color="BFCBEE" w:sz="1"/>
              <w:bottom w:val="single" w:color="BFCBEE" w:sz="1"/>
              <w:right w:val="single" w:color="BFCBEE" w:sz="1"/>
            </w:tcBorders>
            <w:shd w:fill="F5F7FA" w:val="clear"/>
            <w:tcMar>
              <w:top w:type="dxa" w:w="85"/>
              <w:left w:type="dxa" w:w="130"/>
              <w:bottom w:type="dxa" w:w="85"/>
              <w:right w:type="dxa" w:w="130"/>
            </w:tcMar>
          </w:tcPr>
          <w:p>
            <w:r>
              <w:rPr>
                <w:rFonts w:ascii="Arial" w:cs="Arial" w:eastAsia="Arial" w:hAnsi="Arial"/>
                <w:b w:val="false"/>
                <w:bCs w:val="false"/>
                <w:color w:val="4A4A4A"/>
                <w:sz w:val="20"/>
                <w:szCs w:val="20"/>
              </w:rPr>
              <w:t xml:space="preserve">Vector DB for ANN similarity search on idea-embeddings collection (self-hosted on dedicated k3s node)</w:t>
            </w:r>
          </w:p>
        </w:tc>
      </w:tr>
      <w:tr>
        <w:tc>
          <w:tcPr>
            <w:tcW w:type="dxa" w:w="2700"/>
            <w:tcBorders>
              <w:top w:val="single" w:color="BFCBEE" w:sz="1"/>
              <w:left w:val="single" w:color="BFCBEE" w:sz="1"/>
              <w:bottom w:val="single" w:color="BFCBEE" w:sz="1"/>
              <w:right w:val="single" w:color="BFCBEE" w:sz="1"/>
            </w:tcBorders>
            <w:shd w:fill="FFFFFF" w:val="clear"/>
            <w:tcMar>
              <w:top w:type="dxa" w:w="85"/>
              <w:left w:type="dxa" w:w="130"/>
              <w:bottom w:type="dxa" w:w="85"/>
              <w:right w:type="dxa" w:w="130"/>
            </w:tcMar>
          </w:tcPr>
          <w:p>
            <w:r>
              <w:rPr>
                <w:rFonts w:ascii="Arial" w:cs="Arial" w:eastAsia="Arial" w:hAnsi="Arial"/>
                <w:b/>
                <w:bCs/>
                <w:color w:val="0F1E40"/>
                <w:sz w:val="20"/>
                <w:szCs w:val="20"/>
              </w:rPr>
              <w:t xml:space="preserve">@qdrant/js-client-rest</w:t>
            </w:r>
          </w:p>
        </w:tc>
        <w:tc>
          <w:tcPr>
            <w:tcW w:type="dxa" w:w="1400"/>
            <w:tcBorders>
              <w:top w:val="single" w:color="BFCBEE" w:sz="1"/>
              <w:left w:val="single" w:color="BFCBEE" w:sz="1"/>
              <w:bottom w:val="single" w:color="BFCBEE" w:sz="1"/>
              <w:right w:val="single" w:color="BFCBEE" w:sz="1"/>
            </w:tcBorders>
            <w:shd w:fill="FFFFFF" w:val="clear"/>
            <w:tcMar>
              <w:top w:type="dxa" w:w="85"/>
              <w:left w:type="dxa" w:w="130"/>
              <w:bottom w:type="dxa" w:w="85"/>
              <w:right w:type="dxa" w:w="130"/>
            </w:tcMar>
          </w:tcPr>
          <w:p>
            <w:r>
              <w:rPr>
                <w:rFonts w:ascii="Arial" w:cs="Arial" w:eastAsia="Arial" w:hAnsi="Arial"/>
                <w:b w:val="false"/>
                <w:bCs w:val="false"/>
                <w:color w:val="4A4A4A"/>
                <w:sz w:val="20"/>
                <w:szCs w:val="20"/>
              </w:rPr>
              <w:t xml:space="preserve">Latest</w:t>
            </w:r>
          </w:p>
        </w:tc>
        <w:tc>
          <w:tcPr>
            <w:tcW w:type="dxa" w:w="5260"/>
            <w:tcBorders>
              <w:top w:val="single" w:color="BFCBEE" w:sz="1"/>
              <w:left w:val="single" w:color="BFCBEE" w:sz="1"/>
              <w:bottom w:val="single" w:color="BFCBEE" w:sz="1"/>
              <w:right w:val="single" w:color="BFCBEE" w:sz="1"/>
            </w:tcBorders>
            <w:shd w:fill="FFFFFF" w:val="clear"/>
            <w:tcMar>
              <w:top w:type="dxa" w:w="85"/>
              <w:left w:type="dxa" w:w="130"/>
              <w:bottom w:type="dxa" w:w="85"/>
              <w:right w:type="dxa" w:w="130"/>
            </w:tcMar>
          </w:tcPr>
          <w:p>
            <w:r>
              <w:rPr>
                <w:rFonts w:ascii="Arial" w:cs="Arial" w:eastAsia="Arial" w:hAnsi="Arial"/>
                <w:b w:val="false"/>
                <w:bCs w:val="false"/>
                <w:color w:val="4A4A4A"/>
                <w:sz w:val="20"/>
                <w:szCs w:val="20"/>
              </w:rPr>
              <w:t xml:space="preserve">Official Qdrant Node.js REST client — search, get, filter API calls</w:t>
            </w:r>
          </w:p>
        </w:tc>
      </w:tr>
      <w:tr>
        <w:tc>
          <w:tcPr>
            <w:tcW w:type="dxa" w:w="2700"/>
            <w:tcBorders>
              <w:top w:val="single" w:color="BFCBEE" w:sz="1"/>
              <w:left w:val="single" w:color="BFCBEE" w:sz="1"/>
              <w:bottom w:val="single" w:color="BFCBEE" w:sz="1"/>
              <w:right w:val="single" w:color="BFCBEE" w:sz="1"/>
            </w:tcBorders>
            <w:shd w:fill="F5F7FA" w:val="clear"/>
            <w:tcMar>
              <w:top w:type="dxa" w:w="85"/>
              <w:left w:type="dxa" w:w="130"/>
              <w:bottom w:type="dxa" w:w="85"/>
              <w:right w:type="dxa" w:w="130"/>
            </w:tcMar>
          </w:tcPr>
          <w:p>
            <w:r>
              <w:rPr>
                <w:rFonts w:ascii="Arial" w:cs="Arial" w:eastAsia="Arial" w:hAnsi="Arial"/>
                <w:b/>
                <w:bCs/>
                <w:color w:val="0F1E40"/>
                <w:sz w:val="20"/>
                <w:szCs w:val="20"/>
              </w:rPr>
              <w:t xml:space="preserve">PostgreSQL</w:t>
            </w:r>
          </w:p>
        </w:tc>
        <w:tc>
          <w:tcPr>
            <w:tcW w:type="dxa" w:w="1400"/>
            <w:tcBorders>
              <w:top w:val="single" w:color="BFCBEE" w:sz="1"/>
              <w:left w:val="single" w:color="BFCBEE" w:sz="1"/>
              <w:bottom w:val="single" w:color="BFCBEE" w:sz="1"/>
              <w:right w:val="single" w:color="BFCBEE" w:sz="1"/>
            </w:tcBorders>
            <w:shd w:fill="F5F7FA" w:val="clear"/>
            <w:tcMar>
              <w:top w:type="dxa" w:w="85"/>
              <w:left w:type="dxa" w:w="130"/>
              <w:bottom w:type="dxa" w:w="85"/>
              <w:right w:type="dxa" w:w="130"/>
            </w:tcMar>
          </w:tcPr>
          <w:p>
            <w:r>
              <w:rPr>
                <w:rFonts w:ascii="Arial" w:cs="Arial" w:eastAsia="Arial" w:hAnsi="Arial"/>
                <w:b w:val="false"/>
                <w:bCs w:val="false"/>
                <w:color w:val="4A4A4A"/>
                <w:sz w:val="20"/>
                <w:szCs w:val="20"/>
              </w:rPr>
              <w:t xml:space="preserve">15</w:t>
            </w:r>
          </w:p>
        </w:tc>
        <w:tc>
          <w:tcPr>
            <w:tcW w:type="dxa" w:w="5260"/>
            <w:tcBorders>
              <w:top w:val="single" w:color="BFCBEE" w:sz="1"/>
              <w:left w:val="single" w:color="BFCBEE" w:sz="1"/>
              <w:bottom w:val="single" w:color="BFCBEE" w:sz="1"/>
              <w:right w:val="single" w:color="BFCBEE" w:sz="1"/>
            </w:tcBorders>
            <w:shd w:fill="F5F7FA" w:val="clear"/>
            <w:tcMar>
              <w:top w:type="dxa" w:w="85"/>
              <w:left w:type="dxa" w:w="130"/>
              <w:bottom w:type="dxa" w:w="85"/>
              <w:right w:type="dxa" w:w="130"/>
            </w:tcMar>
          </w:tcPr>
          <w:p>
            <w:r>
              <w:rPr>
                <w:rFonts w:ascii="Arial" w:cs="Arial" w:eastAsia="Arial" w:hAnsi="Arial"/>
                <w:b w:val="false"/>
                <w:bCs w:val="false"/>
                <w:color w:val="4A4A4A"/>
                <w:sz w:val="20"/>
                <w:szCs w:val="20"/>
              </w:rPr>
              <w:t xml:space="preserve">Durable storage for similarity reports (JSONB top_matches), audit log, RLS tenant isolation</w:t>
            </w:r>
          </w:p>
        </w:tc>
      </w:tr>
      <w:tr>
        <w:tc>
          <w:tcPr>
            <w:tcW w:type="dxa" w:w="2700"/>
            <w:tcBorders>
              <w:top w:val="single" w:color="BFCBEE" w:sz="1"/>
              <w:left w:val="single" w:color="BFCBEE" w:sz="1"/>
              <w:bottom w:val="single" w:color="BFCBEE" w:sz="1"/>
              <w:right w:val="single" w:color="BFCBEE" w:sz="1"/>
            </w:tcBorders>
            <w:shd w:fill="FFFFFF" w:val="clear"/>
            <w:tcMar>
              <w:top w:type="dxa" w:w="85"/>
              <w:left w:type="dxa" w:w="130"/>
              <w:bottom w:type="dxa" w:w="85"/>
              <w:right w:type="dxa" w:w="130"/>
            </w:tcMar>
          </w:tcPr>
          <w:p>
            <w:r>
              <w:rPr>
                <w:rFonts w:ascii="Arial" w:cs="Arial" w:eastAsia="Arial" w:hAnsi="Arial"/>
                <w:b/>
                <w:bCs/>
                <w:color w:val="0F1E40"/>
                <w:sz w:val="20"/>
                <w:szCs w:val="20"/>
              </w:rPr>
              <w:t xml:space="preserve">node-postgres (pg)</w:t>
            </w:r>
          </w:p>
        </w:tc>
        <w:tc>
          <w:tcPr>
            <w:tcW w:type="dxa" w:w="1400"/>
            <w:tcBorders>
              <w:top w:val="single" w:color="BFCBEE" w:sz="1"/>
              <w:left w:val="single" w:color="BFCBEE" w:sz="1"/>
              <w:bottom w:val="single" w:color="BFCBEE" w:sz="1"/>
              <w:right w:val="single" w:color="BFCBEE" w:sz="1"/>
            </w:tcBorders>
            <w:shd w:fill="FFFFFF" w:val="clear"/>
            <w:tcMar>
              <w:top w:type="dxa" w:w="85"/>
              <w:left w:type="dxa" w:w="130"/>
              <w:bottom w:type="dxa" w:w="85"/>
              <w:right w:type="dxa" w:w="130"/>
            </w:tcMar>
          </w:tcPr>
          <w:p>
            <w:r>
              <w:rPr>
                <w:rFonts w:ascii="Arial" w:cs="Arial" w:eastAsia="Arial" w:hAnsi="Arial"/>
                <w:b w:val="false"/>
                <w:bCs w:val="false"/>
                <w:color w:val="4A4A4A"/>
                <w:sz w:val="20"/>
                <w:szCs w:val="20"/>
              </w:rPr>
              <w:t xml:space="preserve">Latest</w:t>
            </w:r>
          </w:p>
        </w:tc>
        <w:tc>
          <w:tcPr>
            <w:tcW w:type="dxa" w:w="5260"/>
            <w:tcBorders>
              <w:top w:val="single" w:color="BFCBEE" w:sz="1"/>
              <w:left w:val="single" w:color="BFCBEE" w:sz="1"/>
              <w:bottom w:val="single" w:color="BFCBEE" w:sz="1"/>
              <w:right w:val="single" w:color="BFCBEE" w:sz="1"/>
            </w:tcBorders>
            <w:shd w:fill="FFFFFF" w:val="clear"/>
            <w:tcMar>
              <w:top w:type="dxa" w:w="85"/>
              <w:left w:type="dxa" w:w="130"/>
              <w:bottom w:type="dxa" w:w="85"/>
              <w:right w:type="dxa" w:w="130"/>
            </w:tcMar>
          </w:tcPr>
          <w:p>
            <w:r>
              <w:rPr>
                <w:rFonts w:ascii="Arial" w:cs="Arial" w:eastAsia="Arial" w:hAnsi="Arial"/>
                <w:b w:val="false"/>
                <w:bCs w:val="false"/>
                <w:color w:val="4A4A4A"/>
                <w:sz w:val="20"/>
                <w:szCs w:val="20"/>
              </w:rPr>
              <w:t xml:space="preserve">PostgreSQL client — parameterized queries, connection pooling, RLS-enforcing service account</w:t>
            </w:r>
          </w:p>
        </w:tc>
      </w:tr>
      <w:tr>
        <w:tc>
          <w:tcPr>
            <w:tcW w:type="dxa" w:w="2700"/>
            <w:tcBorders>
              <w:top w:val="single" w:color="BFCBEE" w:sz="1"/>
              <w:left w:val="single" w:color="BFCBEE" w:sz="1"/>
              <w:bottom w:val="single" w:color="BFCBEE" w:sz="1"/>
              <w:right w:val="single" w:color="BFCBEE" w:sz="1"/>
            </w:tcBorders>
            <w:shd w:fill="F5F7FA" w:val="clear"/>
            <w:tcMar>
              <w:top w:type="dxa" w:w="85"/>
              <w:left w:type="dxa" w:w="130"/>
              <w:bottom w:type="dxa" w:w="85"/>
              <w:right w:type="dxa" w:w="130"/>
            </w:tcMar>
          </w:tcPr>
          <w:p>
            <w:r>
              <w:rPr>
                <w:rFonts w:ascii="Arial" w:cs="Arial" w:eastAsia="Arial" w:hAnsi="Arial"/>
                <w:b/>
                <w:bCs/>
                <w:color w:val="0F1E40"/>
                <w:sz w:val="20"/>
                <w:szCs w:val="20"/>
              </w:rPr>
              <w:t xml:space="preserve">Redis</w:t>
            </w:r>
          </w:p>
        </w:tc>
        <w:tc>
          <w:tcPr>
            <w:tcW w:type="dxa" w:w="1400"/>
            <w:tcBorders>
              <w:top w:val="single" w:color="BFCBEE" w:sz="1"/>
              <w:left w:val="single" w:color="BFCBEE" w:sz="1"/>
              <w:bottom w:val="single" w:color="BFCBEE" w:sz="1"/>
              <w:right w:val="single" w:color="BFCBEE" w:sz="1"/>
            </w:tcBorders>
            <w:shd w:fill="F5F7FA" w:val="clear"/>
            <w:tcMar>
              <w:top w:type="dxa" w:w="85"/>
              <w:left w:type="dxa" w:w="130"/>
              <w:bottom w:type="dxa" w:w="85"/>
              <w:right w:type="dxa" w:w="130"/>
            </w:tcMar>
          </w:tcPr>
          <w:p>
            <w:r>
              <w:rPr>
                <w:rFonts w:ascii="Arial" w:cs="Arial" w:eastAsia="Arial" w:hAnsi="Arial"/>
                <w:b w:val="false"/>
                <w:bCs w:val="false"/>
                <w:color w:val="4A4A4A"/>
                <w:sz w:val="20"/>
                <w:szCs w:val="20"/>
              </w:rPr>
              <w:t xml:space="preserve">7</w:t>
            </w:r>
          </w:p>
        </w:tc>
        <w:tc>
          <w:tcPr>
            <w:tcW w:type="dxa" w:w="5260"/>
            <w:tcBorders>
              <w:top w:val="single" w:color="BFCBEE" w:sz="1"/>
              <w:left w:val="single" w:color="BFCBEE" w:sz="1"/>
              <w:bottom w:val="single" w:color="BFCBEE" w:sz="1"/>
              <w:right w:val="single" w:color="BFCBEE" w:sz="1"/>
            </w:tcBorders>
            <w:shd w:fill="F5F7FA" w:val="clear"/>
            <w:tcMar>
              <w:top w:type="dxa" w:w="85"/>
              <w:left w:type="dxa" w:w="130"/>
              <w:bottom w:type="dxa" w:w="85"/>
              <w:right w:type="dxa" w:w="130"/>
            </w:tcMar>
          </w:tcPr>
          <w:p>
            <w:r>
              <w:rPr>
                <w:rFonts w:ascii="Arial" w:cs="Arial" w:eastAsia="Arial" w:hAnsi="Arial"/>
                <w:b w:val="false"/>
                <w:bCs w:val="false"/>
                <w:color w:val="4A4A4A"/>
                <w:sz w:val="20"/>
                <w:szCs w:val="20"/>
              </w:rPr>
              <w:t xml:space="preserve">Per-tenant threshold config cache (sorted sets not needed here — simple key-value TTL)</w:t>
            </w:r>
          </w:p>
        </w:tc>
      </w:tr>
      <w:tr>
        <w:tc>
          <w:tcPr>
            <w:tcW w:type="dxa" w:w="2700"/>
            <w:tcBorders>
              <w:top w:val="single" w:color="BFCBEE" w:sz="1"/>
              <w:left w:val="single" w:color="BFCBEE" w:sz="1"/>
              <w:bottom w:val="single" w:color="BFCBEE" w:sz="1"/>
              <w:right w:val="single" w:color="BFCBEE" w:sz="1"/>
            </w:tcBorders>
            <w:shd w:fill="FFFFFF" w:val="clear"/>
            <w:tcMar>
              <w:top w:type="dxa" w:w="85"/>
              <w:left w:type="dxa" w:w="130"/>
              <w:bottom w:type="dxa" w:w="85"/>
              <w:right w:type="dxa" w:w="130"/>
            </w:tcMar>
          </w:tcPr>
          <w:p>
            <w:r>
              <w:rPr>
                <w:rFonts w:ascii="Arial" w:cs="Arial" w:eastAsia="Arial" w:hAnsi="Arial"/>
                <w:b/>
                <w:bCs/>
                <w:color w:val="0F1E40"/>
                <w:sz w:val="20"/>
                <w:szCs w:val="20"/>
              </w:rPr>
              <w:t xml:space="preserve">ioredis</w:t>
            </w:r>
          </w:p>
        </w:tc>
        <w:tc>
          <w:tcPr>
            <w:tcW w:type="dxa" w:w="1400"/>
            <w:tcBorders>
              <w:top w:val="single" w:color="BFCBEE" w:sz="1"/>
              <w:left w:val="single" w:color="BFCBEE" w:sz="1"/>
              <w:bottom w:val="single" w:color="BFCBEE" w:sz="1"/>
              <w:right w:val="single" w:color="BFCBEE" w:sz="1"/>
            </w:tcBorders>
            <w:shd w:fill="FFFFFF" w:val="clear"/>
            <w:tcMar>
              <w:top w:type="dxa" w:w="85"/>
              <w:left w:type="dxa" w:w="130"/>
              <w:bottom w:type="dxa" w:w="85"/>
              <w:right w:type="dxa" w:w="130"/>
            </w:tcMar>
          </w:tcPr>
          <w:p>
            <w:r>
              <w:rPr>
                <w:rFonts w:ascii="Arial" w:cs="Arial" w:eastAsia="Arial" w:hAnsi="Arial"/>
                <w:b w:val="false"/>
                <w:bCs w:val="false"/>
                <w:color w:val="4A4A4A"/>
                <w:sz w:val="20"/>
                <w:szCs w:val="20"/>
              </w:rPr>
              <w:t xml:space="preserve">Latest</w:t>
            </w:r>
          </w:p>
        </w:tc>
        <w:tc>
          <w:tcPr>
            <w:tcW w:type="dxa" w:w="5260"/>
            <w:tcBorders>
              <w:top w:val="single" w:color="BFCBEE" w:sz="1"/>
              <w:left w:val="single" w:color="BFCBEE" w:sz="1"/>
              <w:bottom w:val="single" w:color="BFCBEE" w:sz="1"/>
              <w:right w:val="single" w:color="BFCBEE" w:sz="1"/>
            </w:tcBorders>
            <w:shd w:fill="FFFFFF" w:val="clear"/>
            <w:tcMar>
              <w:top w:type="dxa" w:w="85"/>
              <w:left w:type="dxa" w:w="130"/>
              <w:bottom w:type="dxa" w:w="85"/>
              <w:right w:type="dxa" w:w="130"/>
            </w:tcMar>
          </w:tcPr>
          <w:p>
            <w:r>
              <w:rPr>
                <w:rFonts w:ascii="Arial" w:cs="Arial" w:eastAsia="Arial" w:hAnsi="Arial"/>
                <w:b w:val="false"/>
                <w:bCs w:val="false"/>
                <w:color w:val="4A4A4A"/>
                <w:sz w:val="20"/>
                <w:szCs w:val="20"/>
              </w:rPr>
              <w:t xml:space="preserve">Redis client — threshold config get/set with TTL, TLS, pipeline support</w:t>
            </w:r>
          </w:p>
        </w:tc>
      </w:tr>
      <w:tr>
        <w:tc>
          <w:tcPr>
            <w:tcW w:type="dxa" w:w="2700"/>
            <w:tcBorders>
              <w:top w:val="single" w:color="BFCBEE" w:sz="1"/>
              <w:left w:val="single" w:color="BFCBEE" w:sz="1"/>
              <w:bottom w:val="single" w:color="BFCBEE" w:sz="1"/>
              <w:right w:val="single" w:color="BFCBEE" w:sz="1"/>
            </w:tcBorders>
            <w:shd w:fill="F5F7FA" w:val="clear"/>
            <w:tcMar>
              <w:top w:type="dxa" w:w="85"/>
              <w:left w:type="dxa" w:w="130"/>
              <w:bottom w:type="dxa" w:w="85"/>
              <w:right w:type="dxa" w:w="130"/>
            </w:tcMar>
          </w:tcPr>
          <w:p>
            <w:r>
              <w:rPr>
                <w:rFonts w:ascii="Arial" w:cs="Arial" w:eastAsia="Arial" w:hAnsi="Arial"/>
                <w:b/>
                <w:bCs/>
                <w:color w:val="0F1E40"/>
                <w:sz w:val="20"/>
                <w:szCs w:val="20"/>
              </w:rPr>
              <w:t xml:space="preserve">Avro / Apicurio Registry</w:t>
            </w:r>
          </w:p>
        </w:tc>
        <w:tc>
          <w:tcPr>
            <w:tcW w:type="dxa" w:w="1400"/>
            <w:tcBorders>
              <w:top w:val="single" w:color="BFCBEE" w:sz="1"/>
              <w:left w:val="single" w:color="BFCBEE" w:sz="1"/>
              <w:bottom w:val="single" w:color="BFCBEE" w:sz="1"/>
              <w:right w:val="single" w:color="BFCBEE" w:sz="1"/>
            </w:tcBorders>
            <w:shd w:fill="F5F7FA" w:val="clear"/>
            <w:tcMar>
              <w:top w:type="dxa" w:w="85"/>
              <w:left w:type="dxa" w:w="130"/>
              <w:bottom w:type="dxa" w:w="85"/>
              <w:right w:type="dxa" w:w="130"/>
            </w:tcMar>
          </w:tcPr>
          <w:p>
            <w:r>
              <w:rPr>
                <w:rFonts w:ascii="Arial" w:cs="Arial" w:eastAsia="Arial" w:hAnsi="Arial"/>
                <w:b w:val="false"/>
                <w:bCs w:val="false"/>
                <w:color w:val="4A4A4A"/>
                <w:sz w:val="20"/>
                <w:szCs w:val="20"/>
              </w:rPr>
              <w:t xml:space="preserve">Self-hosted</w:t>
            </w:r>
          </w:p>
        </w:tc>
        <w:tc>
          <w:tcPr>
            <w:tcW w:type="dxa" w:w="5260"/>
            <w:tcBorders>
              <w:top w:val="single" w:color="BFCBEE" w:sz="1"/>
              <w:left w:val="single" w:color="BFCBEE" w:sz="1"/>
              <w:bottom w:val="single" w:color="BFCBEE" w:sz="1"/>
              <w:right w:val="single" w:color="BFCBEE" w:sz="1"/>
            </w:tcBorders>
            <w:shd w:fill="F5F7FA" w:val="clear"/>
            <w:tcMar>
              <w:top w:type="dxa" w:w="85"/>
              <w:left w:type="dxa" w:w="130"/>
              <w:bottom w:type="dxa" w:w="85"/>
              <w:right w:type="dxa" w:w="130"/>
            </w:tcMar>
          </w:tcPr>
          <w:p>
            <w:r>
              <w:rPr>
                <w:rFonts w:ascii="Arial" w:cs="Arial" w:eastAsia="Arial" w:hAnsi="Arial"/>
                <w:b w:val="false"/>
                <w:bCs w:val="false"/>
                <w:color w:val="4A4A4A"/>
                <w:sz w:val="20"/>
                <w:szCs w:val="20"/>
              </w:rPr>
              <w:t xml:space="preserve">Schema validation for all Kafka events consumed and produced</w:t>
            </w:r>
          </w:p>
        </w:tc>
      </w:tr>
      <w:tr>
        <w:tc>
          <w:tcPr>
            <w:tcW w:type="dxa" w:w="2700"/>
            <w:tcBorders>
              <w:top w:val="single" w:color="BFCBEE" w:sz="1"/>
              <w:left w:val="single" w:color="BFCBEE" w:sz="1"/>
              <w:bottom w:val="single" w:color="BFCBEE" w:sz="1"/>
              <w:right w:val="single" w:color="BFCBEE" w:sz="1"/>
            </w:tcBorders>
            <w:shd w:fill="FFFFFF" w:val="clear"/>
            <w:tcMar>
              <w:top w:type="dxa" w:w="85"/>
              <w:left w:type="dxa" w:w="130"/>
              <w:bottom w:type="dxa" w:w="85"/>
              <w:right w:type="dxa" w:w="130"/>
            </w:tcMar>
          </w:tcPr>
          <w:p>
            <w:r>
              <w:rPr>
                <w:rFonts w:ascii="Arial" w:cs="Arial" w:eastAsia="Arial" w:hAnsi="Arial"/>
                <w:b/>
                <w:bCs/>
                <w:color w:val="0F1E40"/>
                <w:sz w:val="20"/>
                <w:szCs w:val="20"/>
              </w:rPr>
              <w:t xml:space="preserve">Docker</w:t>
            </w:r>
          </w:p>
        </w:tc>
        <w:tc>
          <w:tcPr>
            <w:tcW w:type="dxa" w:w="1400"/>
            <w:tcBorders>
              <w:top w:val="single" w:color="BFCBEE" w:sz="1"/>
              <w:left w:val="single" w:color="BFCBEE" w:sz="1"/>
              <w:bottom w:val="single" w:color="BFCBEE" w:sz="1"/>
              <w:right w:val="single" w:color="BFCBEE" w:sz="1"/>
            </w:tcBorders>
            <w:shd w:fill="FFFFFF" w:val="clear"/>
            <w:tcMar>
              <w:top w:type="dxa" w:w="85"/>
              <w:left w:type="dxa" w:w="130"/>
              <w:bottom w:type="dxa" w:w="85"/>
              <w:right w:type="dxa" w:w="130"/>
            </w:tcMar>
          </w:tcPr>
          <w:p>
            <w:r>
              <w:rPr>
                <w:rFonts w:ascii="Arial" w:cs="Arial" w:eastAsia="Arial" w:hAnsi="Arial"/>
                <w:b w:val="false"/>
                <w:bCs w:val="false"/>
                <w:color w:val="4A4A4A"/>
                <w:sz w:val="20"/>
                <w:szCs w:val="20"/>
              </w:rPr>
              <w:t xml:space="preserve">Latest</w:t>
            </w:r>
          </w:p>
        </w:tc>
        <w:tc>
          <w:tcPr>
            <w:tcW w:type="dxa" w:w="5260"/>
            <w:tcBorders>
              <w:top w:val="single" w:color="BFCBEE" w:sz="1"/>
              <w:left w:val="single" w:color="BFCBEE" w:sz="1"/>
              <w:bottom w:val="single" w:color="BFCBEE" w:sz="1"/>
              <w:right w:val="single" w:color="BFCBEE" w:sz="1"/>
            </w:tcBorders>
            <w:shd w:fill="FFFFFF" w:val="clear"/>
            <w:tcMar>
              <w:top w:type="dxa" w:w="85"/>
              <w:left w:type="dxa" w:w="130"/>
              <w:bottom w:type="dxa" w:w="85"/>
              <w:right w:type="dxa" w:w="130"/>
            </w:tcMar>
          </w:tcPr>
          <w:p>
            <w:r>
              <w:rPr>
                <w:rFonts w:ascii="Arial" w:cs="Arial" w:eastAsia="Arial" w:hAnsi="Arial"/>
                <w:b w:val="false"/>
                <w:bCs w:val="false"/>
                <w:color w:val="4A4A4A"/>
                <w:sz w:val="20"/>
                <w:szCs w:val="20"/>
              </w:rPr>
              <w:t xml:space="preserve">Container packaging (~1.58 GB; node:lts-alpine base optimization planned)</w:t>
            </w:r>
          </w:p>
        </w:tc>
      </w:tr>
      <w:tr>
        <w:tc>
          <w:tcPr>
            <w:tcW w:type="dxa" w:w="2700"/>
            <w:tcBorders>
              <w:top w:val="single" w:color="BFCBEE" w:sz="1"/>
              <w:left w:val="single" w:color="BFCBEE" w:sz="1"/>
              <w:bottom w:val="single" w:color="BFCBEE" w:sz="1"/>
              <w:right w:val="single" w:color="BFCBEE" w:sz="1"/>
            </w:tcBorders>
            <w:shd w:fill="F5F7FA" w:val="clear"/>
            <w:tcMar>
              <w:top w:type="dxa" w:w="85"/>
              <w:left w:type="dxa" w:w="130"/>
              <w:bottom w:type="dxa" w:w="85"/>
              <w:right w:type="dxa" w:w="130"/>
            </w:tcMar>
          </w:tcPr>
          <w:p>
            <w:r>
              <w:rPr>
                <w:rFonts w:ascii="Arial" w:cs="Arial" w:eastAsia="Arial" w:hAnsi="Arial"/>
                <w:b/>
                <w:bCs/>
                <w:color w:val="0F1E40"/>
                <w:sz w:val="20"/>
                <w:szCs w:val="20"/>
              </w:rPr>
              <w:t xml:space="preserve">Kubernetes (k3s)</w:t>
            </w:r>
          </w:p>
        </w:tc>
        <w:tc>
          <w:tcPr>
            <w:tcW w:type="dxa" w:w="1400"/>
            <w:tcBorders>
              <w:top w:val="single" w:color="BFCBEE" w:sz="1"/>
              <w:left w:val="single" w:color="BFCBEE" w:sz="1"/>
              <w:bottom w:val="single" w:color="BFCBEE" w:sz="1"/>
              <w:right w:val="single" w:color="BFCBEE" w:sz="1"/>
            </w:tcBorders>
            <w:shd w:fill="F5F7FA" w:val="clear"/>
            <w:tcMar>
              <w:top w:type="dxa" w:w="85"/>
              <w:left w:type="dxa" w:w="130"/>
              <w:bottom w:type="dxa" w:w="85"/>
              <w:right w:type="dxa" w:w="130"/>
            </w:tcMar>
          </w:tcPr>
          <w:p>
            <w:r>
              <w:rPr>
                <w:rFonts w:ascii="Arial" w:cs="Arial" w:eastAsia="Arial" w:hAnsi="Arial"/>
                <w:b w:val="false"/>
                <w:bCs w:val="false"/>
                <w:color w:val="4A4A4A"/>
                <w:sz w:val="20"/>
                <w:szCs w:val="20"/>
              </w:rPr>
              <w:t xml:space="preserve">CNCF-certified</w:t>
            </w:r>
          </w:p>
        </w:tc>
        <w:tc>
          <w:tcPr>
            <w:tcW w:type="dxa" w:w="5260"/>
            <w:tcBorders>
              <w:top w:val="single" w:color="BFCBEE" w:sz="1"/>
              <w:left w:val="single" w:color="BFCBEE" w:sz="1"/>
              <w:bottom w:val="single" w:color="BFCBEE" w:sz="1"/>
              <w:right w:val="single" w:color="BFCBEE" w:sz="1"/>
            </w:tcBorders>
            <w:shd w:fill="F5F7FA" w:val="clear"/>
            <w:tcMar>
              <w:top w:type="dxa" w:w="85"/>
              <w:left w:type="dxa" w:w="130"/>
              <w:bottom w:type="dxa" w:w="85"/>
              <w:right w:type="dxa" w:w="130"/>
            </w:tcMar>
          </w:tcPr>
          <w:p>
            <w:r>
              <w:rPr>
                <w:rFonts w:ascii="Arial" w:cs="Arial" w:eastAsia="Arial" w:hAnsi="Arial"/>
                <w:b w:val="false"/>
                <w:bCs w:val="false"/>
                <w:color w:val="4A4A4A"/>
                <w:sz w:val="20"/>
                <w:szCs w:val="20"/>
              </w:rPr>
              <w:t xml:space="preserve">Pod scheduling, HPA (Kafka lag metric), ConfigMap/Secret injection, analytics namespace</w:t>
            </w:r>
          </w:p>
        </w:tc>
      </w:tr>
      <w:tr>
        <w:tc>
          <w:tcPr>
            <w:tcW w:type="dxa" w:w="2700"/>
            <w:tcBorders>
              <w:top w:val="single" w:color="BFCBEE" w:sz="1"/>
              <w:left w:val="single" w:color="BFCBEE" w:sz="1"/>
              <w:bottom w:val="single" w:color="BFCBEE" w:sz="1"/>
              <w:right w:val="single" w:color="BFCBEE" w:sz="1"/>
            </w:tcBorders>
            <w:shd w:fill="FFFFFF" w:val="clear"/>
            <w:tcMar>
              <w:top w:type="dxa" w:w="85"/>
              <w:left w:type="dxa" w:w="130"/>
              <w:bottom w:type="dxa" w:w="85"/>
              <w:right w:type="dxa" w:w="130"/>
            </w:tcMar>
          </w:tcPr>
          <w:p>
            <w:r>
              <w:rPr>
                <w:rFonts w:ascii="Arial" w:cs="Arial" w:eastAsia="Arial" w:hAnsi="Arial"/>
                <w:b/>
                <w:bCs/>
                <w:color w:val="0F1E40"/>
                <w:sz w:val="20"/>
                <w:szCs w:val="20"/>
              </w:rPr>
              <w:t xml:space="preserve">Helm</w:t>
            </w:r>
          </w:p>
        </w:tc>
        <w:tc>
          <w:tcPr>
            <w:tcW w:type="dxa" w:w="1400"/>
            <w:tcBorders>
              <w:top w:val="single" w:color="BFCBEE" w:sz="1"/>
              <w:left w:val="single" w:color="BFCBEE" w:sz="1"/>
              <w:bottom w:val="single" w:color="BFCBEE" w:sz="1"/>
              <w:right w:val="single" w:color="BFCBEE" w:sz="1"/>
            </w:tcBorders>
            <w:shd w:fill="FFFFFF" w:val="clear"/>
            <w:tcMar>
              <w:top w:type="dxa" w:w="85"/>
              <w:left w:type="dxa" w:w="130"/>
              <w:bottom w:type="dxa" w:w="85"/>
              <w:right w:type="dxa" w:w="130"/>
            </w:tcMar>
          </w:tcPr>
          <w:p>
            <w:r>
              <w:rPr>
                <w:rFonts w:ascii="Arial" w:cs="Arial" w:eastAsia="Arial" w:hAnsi="Arial"/>
                <w:b w:val="false"/>
                <w:bCs w:val="false"/>
                <w:color w:val="4A4A4A"/>
                <w:sz w:val="20"/>
                <w:szCs w:val="20"/>
              </w:rPr>
              <w:t xml:space="preserve">v3.x</w:t>
            </w:r>
          </w:p>
        </w:tc>
        <w:tc>
          <w:tcPr>
            <w:tcW w:type="dxa" w:w="5260"/>
            <w:tcBorders>
              <w:top w:val="single" w:color="BFCBEE" w:sz="1"/>
              <w:left w:val="single" w:color="BFCBEE" w:sz="1"/>
              <w:bottom w:val="single" w:color="BFCBEE" w:sz="1"/>
              <w:right w:val="single" w:color="BFCBEE" w:sz="1"/>
            </w:tcBorders>
            <w:shd w:fill="FFFFFF" w:val="clear"/>
            <w:tcMar>
              <w:top w:type="dxa" w:w="85"/>
              <w:left w:type="dxa" w:w="130"/>
              <w:bottom w:type="dxa" w:w="85"/>
              <w:right w:type="dxa" w:w="130"/>
            </w:tcMar>
          </w:tcPr>
          <w:p>
            <w:r>
              <w:rPr>
                <w:rFonts w:ascii="Arial" w:cs="Arial" w:eastAsia="Arial" w:hAnsi="Arial"/>
                <w:b w:val="false"/>
                <w:bCs w:val="false"/>
                <w:color w:val="4A4A4A"/>
                <w:sz w:val="20"/>
                <w:szCs w:val="20"/>
              </w:rPr>
              <w:t xml:space="preserve">Kubernetes release management; environment-specific values (dev/test/stage/prod)</w:t>
            </w:r>
          </w:p>
        </w:tc>
      </w:tr>
      <w:tr>
        <w:tc>
          <w:tcPr>
            <w:tcW w:type="dxa" w:w="2700"/>
            <w:tcBorders>
              <w:top w:val="single" w:color="BFCBEE" w:sz="1"/>
              <w:left w:val="single" w:color="BFCBEE" w:sz="1"/>
              <w:bottom w:val="single" w:color="BFCBEE" w:sz="1"/>
              <w:right w:val="single" w:color="BFCBEE" w:sz="1"/>
            </w:tcBorders>
            <w:shd w:fill="F5F7FA" w:val="clear"/>
            <w:tcMar>
              <w:top w:type="dxa" w:w="85"/>
              <w:left w:type="dxa" w:w="130"/>
              <w:bottom w:type="dxa" w:w="85"/>
              <w:right w:type="dxa" w:w="130"/>
            </w:tcMar>
          </w:tcPr>
          <w:p>
            <w:r>
              <w:rPr>
                <w:rFonts w:ascii="Arial" w:cs="Arial" w:eastAsia="Arial" w:hAnsi="Arial"/>
                <w:b/>
                <w:bCs/>
                <w:color w:val="0F1E40"/>
                <w:sz w:val="20"/>
                <w:szCs w:val="20"/>
              </w:rPr>
              <w:t xml:space="preserve">NGINX Ingress</w:t>
            </w:r>
          </w:p>
        </w:tc>
        <w:tc>
          <w:tcPr>
            <w:tcW w:type="dxa" w:w="1400"/>
            <w:tcBorders>
              <w:top w:val="single" w:color="BFCBEE" w:sz="1"/>
              <w:left w:val="single" w:color="BFCBEE" w:sz="1"/>
              <w:bottom w:val="single" w:color="BFCBEE" w:sz="1"/>
              <w:right w:val="single" w:color="BFCBEE" w:sz="1"/>
            </w:tcBorders>
            <w:shd w:fill="F5F7FA" w:val="clear"/>
            <w:tcMar>
              <w:top w:type="dxa" w:w="85"/>
              <w:left w:type="dxa" w:w="130"/>
              <w:bottom w:type="dxa" w:w="85"/>
              <w:right w:type="dxa" w:w="130"/>
            </w:tcMar>
          </w:tcPr>
          <w:p>
            <w:r>
              <w:rPr>
                <w:rFonts w:ascii="Arial" w:cs="Arial" w:eastAsia="Arial" w:hAnsi="Arial"/>
                <w:b w:val="false"/>
                <w:bCs w:val="false"/>
                <w:color w:val="4A4A4A"/>
                <w:sz w:val="20"/>
                <w:szCs w:val="20"/>
              </w:rPr>
              <w:t xml:space="preserve">Latest</w:t>
            </w:r>
          </w:p>
        </w:tc>
        <w:tc>
          <w:tcPr>
            <w:tcW w:type="dxa" w:w="5260"/>
            <w:tcBorders>
              <w:top w:val="single" w:color="BFCBEE" w:sz="1"/>
              <w:left w:val="single" w:color="BFCBEE" w:sz="1"/>
              <w:bottom w:val="single" w:color="BFCBEE" w:sz="1"/>
              <w:right w:val="single" w:color="BFCBEE" w:sz="1"/>
            </w:tcBorders>
            <w:shd w:fill="F5F7FA" w:val="clear"/>
            <w:tcMar>
              <w:top w:type="dxa" w:w="85"/>
              <w:left w:type="dxa" w:w="130"/>
              <w:bottom w:type="dxa" w:w="85"/>
              <w:right w:type="dxa" w:w="130"/>
            </w:tcMar>
          </w:tcPr>
          <w:p>
            <w:r>
              <w:rPr>
                <w:rFonts w:ascii="Arial" w:cs="Arial" w:eastAsia="Arial" w:hAnsi="Arial"/>
                <w:b w:val="false"/>
                <w:bCs w:val="false"/>
                <w:color w:val="4A4A4A"/>
                <w:sz w:val="20"/>
                <w:szCs w:val="20"/>
              </w:rPr>
              <w:t xml:space="preserve">Admin REST API external routing; TLS termination; auth_request Keycloak validation</w:t>
            </w:r>
          </w:p>
        </w:tc>
      </w:tr>
      <w:tr>
        <w:tc>
          <w:tcPr>
            <w:tcW w:type="dxa" w:w="2700"/>
            <w:tcBorders>
              <w:top w:val="single" w:color="BFCBEE" w:sz="1"/>
              <w:left w:val="single" w:color="BFCBEE" w:sz="1"/>
              <w:bottom w:val="single" w:color="BFCBEE" w:sz="1"/>
              <w:right w:val="single" w:color="BFCBEE" w:sz="1"/>
            </w:tcBorders>
            <w:shd w:fill="FFFFFF" w:val="clear"/>
            <w:tcMar>
              <w:top w:type="dxa" w:w="85"/>
              <w:left w:type="dxa" w:w="130"/>
              <w:bottom w:type="dxa" w:w="85"/>
              <w:right w:type="dxa" w:w="130"/>
            </w:tcMar>
          </w:tcPr>
          <w:p>
            <w:r>
              <w:rPr>
                <w:rFonts w:ascii="Arial" w:cs="Arial" w:eastAsia="Arial" w:hAnsi="Arial"/>
                <w:b/>
                <w:bCs/>
                <w:color w:val="0F1E40"/>
                <w:sz w:val="20"/>
                <w:szCs w:val="20"/>
              </w:rPr>
              <w:t xml:space="preserve">Keycloak</w:t>
            </w:r>
          </w:p>
        </w:tc>
        <w:tc>
          <w:tcPr>
            <w:tcW w:type="dxa" w:w="1400"/>
            <w:tcBorders>
              <w:top w:val="single" w:color="BFCBEE" w:sz="1"/>
              <w:left w:val="single" w:color="BFCBEE" w:sz="1"/>
              <w:bottom w:val="single" w:color="BFCBEE" w:sz="1"/>
              <w:right w:val="single" w:color="BFCBEE" w:sz="1"/>
            </w:tcBorders>
            <w:shd w:fill="FFFFFF" w:val="clear"/>
            <w:tcMar>
              <w:top w:type="dxa" w:w="85"/>
              <w:left w:type="dxa" w:w="130"/>
              <w:bottom w:type="dxa" w:w="85"/>
              <w:right w:type="dxa" w:w="130"/>
            </w:tcMar>
          </w:tcPr>
          <w:p>
            <w:r>
              <w:rPr>
                <w:rFonts w:ascii="Arial" w:cs="Arial" w:eastAsia="Arial" w:hAnsi="Arial"/>
                <w:b w:val="false"/>
                <w:bCs w:val="false"/>
                <w:color w:val="4A4A4A"/>
                <w:sz w:val="20"/>
                <w:szCs w:val="20"/>
              </w:rPr>
              <w:t xml:space="preserve">24.0</w:t>
            </w:r>
          </w:p>
        </w:tc>
        <w:tc>
          <w:tcPr>
            <w:tcW w:type="dxa" w:w="5260"/>
            <w:tcBorders>
              <w:top w:val="single" w:color="BFCBEE" w:sz="1"/>
              <w:left w:val="single" w:color="BFCBEE" w:sz="1"/>
              <w:bottom w:val="single" w:color="BFCBEE" w:sz="1"/>
              <w:right w:val="single" w:color="BFCBEE" w:sz="1"/>
            </w:tcBorders>
            <w:shd w:fill="FFFFFF" w:val="clear"/>
            <w:tcMar>
              <w:top w:type="dxa" w:w="85"/>
              <w:left w:type="dxa" w:w="130"/>
              <w:bottom w:type="dxa" w:w="85"/>
              <w:right w:type="dxa" w:w="130"/>
            </w:tcMar>
          </w:tcPr>
          <w:p>
            <w:r>
              <w:rPr>
                <w:rFonts w:ascii="Arial" w:cs="Arial" w:eastAsia="Arial" w:hAnsi="Arial"/>
                <w:b w:val="false"/>
                <w:bCs w:val="false"/>
                <w:color w:val="4A4A4A"/>
                <w:sz w:val="20"/>
                <w:szCs w:val="20"/>
              </w:rPr>
              <w:t xml:space="preserve">JWT validation for admin API endpoints; RBAC claim extraction</w:t>
            </w:r>
          </w:p>
        </w:tc>
      </w:tr>
      <w:tr>
        <w:tc>
          <w:tcPr>
            <w:tcW w:type="dxa" w:w="2700"/>
            <w:tcBorders>
              <w:top w:val="single" w:color="BFCBEE" w:sz="1"/>
              <w:left w:val="single" w:color="BFCBEE" w:sz="1"/>
              <w:bottom w:val="single" w:color="BFCBEE" w:sz="1"/>
              <w:right w:val="single" w:color="BFCBEE" w:sz="1"/>
            </w:tcBorders>
            <w:shd w:fill="F5F7FA" w:val="clear"/>
            <w:tcMar>
              <w:top w:type="dxa" w:w="85"/>
              <w:left w:type="dxa" w:w="130"/>
              <w:bottom w:type="dxa" w:w="85"/>
              <w:right w:type="dxa" w:w="130"/>
            </w:tcMar>
          </w:tcPr>
          <w:p>
            <w:r>
              <w:rPr>
                <w:rFonts w:ascii="Arial" w:cs="Arial" w:eastAsia="Arial" w:hAnsi="Arial"/>
                <w:b/>
                <w:bCs/>
                <w:color w:val="0F1E40"/>
                <w:sz w:val="20"/>
                <w:szCs w:val="20"/>
              </w:rPr>
              <w:t xml:space="preserve">Prometheus Client</w:t>
            </w:r>
          </w:p>
        </w:tc>
        <w:tc>
          <w:tcPr>
            <w:tcW w:type="dxa" w:w="1400"/>
            <w:tcBorders>
              <w:top w:val="single" w:color="BFCBEE" w:sz="1"/>
              <w:left w:val="single" w:color="BFCBEE" w:sz="1"/>
              <w:bottom w:val="single" w:color="BFCBEE" w:sz="1"/>
              <w:right w:val="single" w:color="BFCBEE" w:sz="1"/>
            </w:tcBorders>
            <w:shd w:fill="F5F7FA" w:val="clear"/>
            <w:tcMar>
              <w:top w:type="dxa" w:w="85"/>
              <w:left w:type="dxa" w:w="130"/>
              <w:bottom w:type="dxa" w:w="85"/>
              <w:right w:type="dxa" w:w="130"/>
            </w:tcMar>
          </w:tcPr>
          <w:p>
            <w:r>
              <w:rPr>
                <w:rFonts w:ascii="Arial" w:cs="Arial" w:eastAsia="Arial" w:hAnsi="Arial"/>
                <w:b w:val="false"/>
                <w:bCs w:val="false"/>
                <w:color w:val="4A4A4A"/>
                <w:sz w:val="20"/>
                <w:szCs w:val="20"/>
              </w:rPr>
              <w:t xml:space="preserve">Latest</w:t>
            </w:r>
          </w:p>
        </w:tc>
        <w:tc>
          <w:tcPr>
            <w:tcW w:type="dxa" w:w="5260"/>
            <w:tcBorders>
              <w:top w:val="single" w:color="BFCBEE" w:sz="1"/>
              <w:left w:val="single" w:color="BFCBEE" w:sz="1"/>
              <w:bottom w:val="single" w:color="BFCBEE" w:sz="1"/>
              <w:right w:val="single" w:color="BFCBEE" w:sz="1"/>
            </w:tcBorders>
            <w:shd w:fill="F5F7FA" w:val="clear"/>
            <w:tcMar>
              <w:top w:type="dxa" w:w="85"/>
              <w:left w:type="dxa" w:w="130"/>
              <w:bottom w:type="dxa" w:w="85"/>
              <w:right w:type="dxa" w:w="130"/>
            </w:tcMar>
          </w:tcPr>
          <w:p>
            <w:r>
              <w:rPr>
                <w:rFonts w:ascii="Arial" w:cs="Arial" w:eastAsia="Arial" w:hAnsi="Arial"/>
                <w:b w:val="false"/>
                <w:bCs w:val="false"/>
                <w:color w:val="4A4A4A"/>
                <w:sz w:val="20"/>
                <w:szCs w:val="20"/>
              </w:rPr>
              <w:t xml:space="preserve">Metrics: check latency histograms, classification counters, DLQ counters, consumer lag gauges</w:t>
            </w:r>
          </w:p>
        </w:tc>
      </w:tr>
      <w:tr>
        <w:tc>
          <w:tcPr>
            <w:tcW w:type="dxa" w:w="2700"/>
            <w:tcBorders>
              <w:top w:val="single" w:color="BFCBEE" w:sz="1"/>
              <w:left w:val="single" w:color="BFCBEE" w:sz="1"/>
              <w:bottom w:val="single" w:color="BFCBEE" w:sz="1"/>
              <w:right w:val="single" w:color="BFCBEE" w:sz="1"/>
            </w:tcBorders>
            <w:shd w:fill="FFFFFF" w:val="clear"/>
            <w:tcMar>
              <w:top w:type="dxa" w:w="85"/>
              <w:left w:type="dxa" w:w="130"/>
              <w:bottom w:type="dxa" w:w="85"/>
              <w:right w:type="dxa" w:w="130"/>
            </w:tcMar>
          </w:tcPr>
          <w:p>
            <w:r>
              <w:rPr>
                <w:rFonts w:ascii="Arial" w:cs="Arial" w:eastAsia="Arial" w:hAnsi="Arial"/>
                <w:b/>
                <w:bCs/>
                <w:color w:val="0F1E40"/>
                <w:sz w:val="20"/>
                <w:szCs w:val="20"/>
              </w:rPr>
              <w:t xml:space="preserve">OpenTelemetry SDK</w:t>
            </w:r>
          </w:p>
        </w:tc>
        <w:tc>
          <w:tcPr>
            <w:tcW w:type="dxa" w:w="1400"/>
            <w:tcBorders>
              <w:top w:val="single" w:color="BFCBEE" w:sz="1"/>
              <w:left w:val="single" w:color="BFCBEE" w:sz="1"/>
              <w:bottom w:val="single" w:color="BFCBEE" w:sz="1"/>
              <w:right w:val="single" w:color="BFCBEE" w:sz="1"/>
            </w:tcBorders>
            <w:shd w:fill="FFFFFF" w:val="clear"/>
            <w:tcMar>
              <w:top w:type="dxa" w:w="85"/>
              <w:left w:type="dxa" w:w="130"/>
              <w:bottom w:type="dxa" w:w="85"/>
              <w:right w:type="dxa" w:w="130"/>
            </w:tcMar>
          </w:tcPr>
          <w:p>
            <w:r>
              <w:rPr>
                <w:rFonts w:ascii="Arial" w:cs="Arial" w:eastAsia="Arial" w:hAnsi="Arial"/>
                <w:b w:val="false"/>
                <w:bCs w:val="false"/>
                <w:color w:val="4A4A4A"/>
                <w:sz w:val="20"/>
                <w:szCs w:val="20"/>
              </w:rPr>
              <w:t xml:space="preserve">Latest</w:t>
            </w:r>
          </w:p>
        </w:tc>
        <w:tc>
          <w:tcPr>
            <w:tcW w:type="dxa" w:w="5260"/>
            <w:tcBorders>
              <w:top w:val="single" w:color="BFCBEE" w:sz="1"/>
              <w:left w:val="single" w:color="BFCBEE" w:sz="1"/>
              <w:bottom w:val="single" w:color="BFCBEE" w:sz="1"/>
              <w:right w:val="single" w:color="BFCBEE" w:sz="1"/>
            </w:tcBorders>
            <w:shd w:fill="FFFFFF" w:val="clear"/>
            <w:tcMar>
              <w:top w:type="dxa" w:w="85"/>
              <w:left w:type="dxa" w:w="130"/>
              <w:bottom w:type="dxa" w:w="85"/>
              <w:right w:type="dxa" w:w="130"/>
            </w:tcMar>
          </w:tcPr>
          <w:p>
            <w:r>
              <w:rPr>
                <w:rFonts w:ascii="Arial" w:cs="Arial" w:eastAsia="Arial" w:hAnsi="Arial"/>
                <w:b w:val="false"/>
                <w:bCs w:val="false"/>
                <w:color w:val="4A4A4A"/>
                <w:sz w:val="20"/>
                <w:szCs w:val="20"/>
              </w:rPr>
              <w:t xml:space="preserve">Distributed trace propagation: Kafka header context, Qdrant query span, PostgreSQL write span</w:t>
            </w:r>
          </w:p>
        </w:tc>
      </w:tr>
      <w:tr>
        <w:tc>
          <w:tcPr>
            <w:tcW w:type="dxa" w:w="2700"/>
            <w:tcBorders>
              <w:top w:val="single" w:color="BFCBEE" w:sz="1"/>
              <w:left w:val="single" w:color="BFCBEE" w:sz="1"/>
              <w:bottom w:val="single" w:color="BFCBEE" w:sz="1"/>
              <w:right w:val="single" w:color="BFCBEE" w:sz="1"/>
            </w:tcBorders>
            <w:shd w:fill="F5F7FA" w:val="clear"/>
            <w:tcMar>
              <w:top w:type="dxa" w:w="85"/>
              <w:left w:type="dxa" w:w="130"/>
              <w:bottom w:type="dxa" w:w="85"/>
              <w:right w:type="dxa" w:w="130"/>
            </w:tcMar>
          </w:tcPr>
          <w:p>
            <w:r>
              <w:rPr>
                <w:rFonts w:ascii="Arial" w:cs="Arial" w:eastAsia="Arial" w:hAnsi="Arial"/>
                <w:b/>
                <w:bCs/>
                <w:color w:val="0F1E40"/>
                <w:sz w:val="20"/>
                <w:szCs w:val="20"/>
              </w:rPr>
              <w:t xml:space="preserve">Flyway</w:t>
            </w:r>
          </w:p>
        </w:tc>
        <w:tc>
          <w:tcPr>
            <w:tcW w:type="dxa" w:w="1400"/>
            <w:tcBorders>
              <w:top w:val="single" w:color="BFCBEE" w:sz="1"/>
              <w:left w:val="single" w:color="BFCBEE" w:sz="1"/>
              <w:bottom w:val="single" w:color="BFCBEE" w:sz="1"/>
              <w:right w:val="single" w:color="BFCBEE" w:sz="1"/>
            </w:tcBorders>
            <w:shd w:fill="F5F7FA" w:val="clear"/>
            <w:tcMar>
              <w:top w:type="dxa" w:w="85"/>
              <w:left w:type="dxa" w:w="130"/>
              <w:bottom w:type="dxa" w:w="85"/>
              <w:right w:type="dxa" w:w="130"/>
            </w:tcMar>
          </w:tcPr>
          <w:p>
            <w:r>
              <w:rPr>
                <w:rFonts w:ascii="Arial" w:cs="Arial" w:eastAsia="Arial" w:hAnsi="Arial"/>
                <w:b w:val="false"/>
                <w:bCs w:val="false"/>
                <w:color w:val="4A4A4A"/>
                <w:sz w:val="20"/>
                <w:szCs w:val="20"/>
              </w:rPr>
              <w:t xml:space="preserve">Latest</w:t>
            </w:r>
          </w:p>
        </w:tc>
        <w:tc>
          <w:tcPr>
            <w:tcW w:type="dxa" w:w="5260"/>
            <w:tcBorders>
              <w:top w:val="single" w:color="BFCBEE" w:sz="1"/>
              <w:left w:val="single" w:color="BFCBEE" w:sz="1"/>
              <w:bottom w:val="single" w:color="BFCBEE" w:sz="1"/>
              <w:right w:val="single" w:color="BFCBEE" w:sz="1"/>
            </w:tcBorders>
            <w:shd w:fill="F5F7FA" w:val="clear"/>
            <w:tcMar>
              <w:top w:type="dxa" w:w="85"/>
              <w:left w:type="dxa" w:w="130"/>
              <w:bottom w:type="dxa" w:w="85"/>
              <w:right w:type="dxa" w:w="130"/>
            </w:tcMar>
          </w:tcPr>
          <w:p>
            <w:r>
              <w:rPr>
                <w:rFonts w:ascii="Arial" w:cs="Arial" w:eastAsia="Arial" w:hAnsi="Arial"/>
                <w:b w:val="false"/>
                <w:bCs w:val="false"/>
                <w:color w:val="4A4A4A"/>
                <w:sz w:val="20"/>
                <w:szCs w:val="20"/>
              </w:rPr>
              <w:t xml:space="preserve">Database migration versioning for innovation schema tables</w:t>
            </w:r>
          </w:p>
        </w:tc>
      </w:tr>
      <w:tr>
        <w:tc>
          <w:tcPr>
            <w:tcW w:type="dxa" w:w="2700"/>
            <w:tcBorders>
              <w:top w:val="single" w:color="BFCBEE" w:sz="1"/>
              <w:left w:val="single" w:color="BFCBEE" w:sz="1"/>
              <w:bottom w:val="single" w:color="BFCBEE" w:sz="1"/>
              <w:right w:val="single" w:color="BFCBEE" w:sz="1"/>
            </w:tcBorders>
            <w:shd w:fill="FFFFFF" w:val="clear"/>
            <w:tcMar>
              <w:top w:type="dxa" w:w="85"/>
              <w:left w:type="dxa" w:w="130"/>
              <w:bottom w:type="dxa" w:w="85"/>
              <w:right w:type="dxa" w:w="130"/>
            </w:tcMar>
          </w:tcPr>
          <w:p>
            <w:r>
              <w:rPr>
                <w:rFonts w:ascii="Arial" w:cs="Arial" w:eastAsia="Arial" w:hAnsi="Arial"/>
                <w:b/>
                <w:bCs/>
                <w:color w:val="0F1E40"/>
                <w:sz w:val="20"/>
                <w:szCs w:val="20"/>
              </w:rPr>
              <w:t xml:space="preserve">GitLab CI</w:t>
            </w:r>
          </w:p>
        </w:tc>
        <w:tc>
          <w:tcPr>
            <w:tcW w:type="dxa" w:w="1400"/>
            <w:tcBorders>
              <w:top w:val="single" w:color="BFCBEE" w:sz="1"/>
              <w:left w:val="single" w:color="BFCBEE" w:sz="1"/>
              <w:bottom w:val="single" w:color="BFCBEE" w:sz="1"/>
              <w:right w:val="single" w:color="BFCBEE" w:sz="1"/>
            </w:tcBorders>
            <w:shd w:fill="FFFFFF" w:val="clear"/>
            <w:tcMar>
              <w:top w:type="dxa" w:w="85"/>
              <w:left w:type="dxa" w:w="130"/>
              <w:bottom w:type="dxa" w:w="85"/>
              <w:right w:type="dxa" w:w="130"/>
            </w:tcMar>
          </w:tcPr>
          <w:p>
            <w:r>
              <w:rPr>
                <w:rFonts w:ascii="Arial" w:cs="Arial" w:eastAsia="Arial" w:hAnsi="Arial"/>
                <w:b w:val="false"/>
                <w:bCs w:val="false"/>
                <w:color w:val="4A4A4A"/>
                <w:sz w:val="20"/>
                <w:szCs w:val="20"/>
              </w:rPr>
              <w:t xml:space="preserve">Self-Hosted</w:t>
            </w:r>
          </w:p>
        </w:tc>
        <w:tc>
          <w:tcPr>
            <w:tcW w:type="dxa" w:w="5260"/>
            <w:tcBorders>
              <w:top w:val="single" w:color="BFCBEE" w:sz="1"/>
              <w:left w:val="single" w:color="BFCBEE" w:sz="1"/>
              <w:bottom w:val="single" w:color="BFCBEE" w:sz="1"/>
              <w:right w:val="single" w:color="BFCBEE" w:sz="1"/>
            </w:tcBorders>
            <w:shd w:fill="FFFFFF" w:val="clear"/>
            <w:tcMar>
              <w:top w:type="dxa" w:w="85"/>
              <w:left w:type="dxa" w:w="130"/>
              <w:bottom w:type="dxa" w:w="85"/>
              <w:right w:type="dxa" w:w="130"/>
            </w:tcMar>
          </w:tcPr>
          <w:p>
            <w:r>
              <w:rPr>
                <w:rFonts w:ascii="Arial" w:cs="Arial" w:eastAsia="Arial" w:hAnsi="Arial"/>
                <w:b w:val="false"/>
                <w:bCs w:val="false"/>
                <w:color w:val="4A4A4A"/>
                <w:sz w:val="20"/>
                <w:szCs w:val="20"/>
              </w:rPr>
              <w:t xml:space="preserve">CI/CD pipeline: lint → test → Trivy scan → Harbor push → Helm deploy to k3s</w:t>
            </w:r>
          </w:p>
        </w:tc>
      </w:tr>
      <w:tr>
        <w:tc>
          <w:tcPr>
            <w:tcW w:type="dxa" w:w="2700"/>
            <w:tcBorders>
              <w:top w:val="single" w:color="BFCBEE" w:sz="1"/>
              <w:left w:val="single" w:color="BFCBEE" w:sz="1"/>
              <w:bottom w:val="single" w:color="BFCBEE" w:sz="1"/>
              <w:right w:val="single" w:color="BFCBEE" w:sz="1"/>
            </w:tcBorders>
            <w:shd w:fill="F5F7FA" w:val="clear"/>
            <w:tcMar>
              <w:top w:type="dxa" w:w="85"/>
              <w:left w:type="dxa" w:w="130"/>
              <w:bottom w:type="dxa" w:w="85"/>
              <w:right w:type="dxa" w:w="130"/>
            </w:tcMar>
          </w:tcPr>
          <w:p>
            <w:r>
              <w:rPr>
                <w:rFonts w:ascii="Arial" w:cs="Arial" w:eastAsia="Arial" w:hAnsi="Arial"/>
                <w:b/>
                <w:bCs/>
                <w:color w:val="0F1E40"/>
                <w:sz w:val="20"/>
                <w:szCs w:val="20"/>
              </w:rPr>
              <w:t xml:space="preserve">Harbor</w:t>
            </w:r>
          </w:p>
        </w:tc>
        <w:tc>
          <w:tcPr>
            <w:tcW w:type="dxa" w:w="1400"/>
            <w:tcBorders>
              <w:top w:val="single" w:color="BFCBEE" w:sz="1"/>
              <w:left w:val="single" w:color="BFCBEE" w:sz="1"/>
              <w:bottom w:val="single" w:color="BFCBEE" w:sz="1"/>
              <w:right w:val="single" w:color="BFCBEE" w:sz="1"/>
            </w:tcBorders>
            <w:shd w:fill="F5F7FA" w:val="clear"/>
            <w:tcMar>
              <w:top w:type="dxa" w:w="85"/>
              <w:left w:type="dxa" w:w="130"/>
              <w:bottom w:type="dxa" w:w="85"/>
              <w:right w:type="dxa" w:w="130"/>
            </w:tcMar>
          </w:tcPr>
          <w:p>
            <w:r>
              <w:rPr>
                <w:rFonts w:ascii="Arial" w:cs="Arial" w:eastAsia="Arial" w:hAnsi="Arial"/>
                <w:b w:val="false"/>
                <w:bCs w:val="false"/>
                <w:color w:val="4A4A4A"/>
                <w:sz w:val="20"/>
                <w:szCs w:val="20"/>
              </w:rPr>
              <w:t xml:space="preserve">Self-Hosted</w:t>
            </w:r>
          </w:p>
        </w:tc>
        <w:tc>
          <w:tcPr>
            <w:tcW w:type="dxa" w:w="5260"/>
            <w:tcBorders>
              <w:top w:val="single" w:color="BFCBEE" w:sz="1"/>
              <w:left w:val="single" w:color="BFCBEE" w:sz="1"/>
              <w:bottom w:val="single" w:color="BFCBEE" w:sz="1"/>
              <w:right w:val="single" w:color="BFCBEE" w:sz="1"/>
            </w:tcBorders>
            <w:shd w:fill="F5F7FA" w:val="clear"/>
            <w:tcMar>
              <w:top w:type="dxa" w:w="85"/>
              <w:left w:type="dxa" w:w="130"/>
              <w:bottom w:type="dxa" w:w="85"/>
              <w:right w:type="dxa" w:w="130"/>
            </w:tcMar>
          </w:tcPr>
          <w:p>
            <w:r>
              <w:rPr>
                <w:rFonts w:ascii="Arial" w:cs="Arial" w:eastAsia="Arial" w:hAnsi="Arial"/>
                <w:b w:val="false"/>
                <w:bCs w:val="false"/>
                <w:color w:val="4A4A4A"/>
                <w:sz w:val="20"/>
                <w:szCs w:val="20"/>
              </w:rPr>
              <w:t xml:space="preserve">Container image registry; version-tagged images per GitLab pipeline run</w:t>
            </w:r>
          </w:p>
        </w:tc>
      </w:tr>
      <w:tr>
        <w:tc>
          <w:tcPr>
            <w:tcW w:type="dxa" w:w="2700"/>
            <w:tcBorders>
              <w:top w:val="single" w:color="BFCBEE" w:sz="1"/>
              <w:left w:val="single" w:color="BFCBEE" w:sz="1"/>
              <w:bottom w:val="single" w:color="BFCBEE" w:sz="1"/>
              <w:right w:val="single" w:color="BFCBEE" w:sz="1"/>
            </w:tcBorders>
            <w:shd w:fill="FFFFFF" w:val="clear"/>
            <w:tcMar>
              <w:top w:type="dxa" w:w="85"/>
              <w:left w:type="dxa" w:w="130"/>
              <w:bottom w:type="dxa" w:w="85"/>
              <w:right w:type="dxa" w:w="130"/>
            </w:tcMar>
          </w:tcPr>
          <w:p>
            <w:r>
              <w:rPr>
                <w:rFonts w:ascii="Arial" w:cs="Arial" w:eastAsia="Arial" w:hAnsi="Arial"/>
                <w:b/>
                <w:bCs/>
                <w:color w:val="0F1E40"/>
                <w:sz w:val="20"/>
                <w:szCs w:val="20"/>
              </w:rPr>
              <w:t xml:space="preserve">Trivy</w:t>
            </w:r>
          </w:p>
        </w:tc>
        <w:tc>
          <w:tcPr>
            <w:tcW w:type="dxa" w:w="1400"/>
            <w:tcBorders>
              <w:top w:val="single" w:color="BFCBEE" w:sz="1"/>
              <w:left w:val="single" w:color="BFCBEE" w:sz="1"/>
              <w:bottom w:val="single" w:color="BFCBEE" w:sz="1"/>
              <w:right w:val="single" w:color="BFCBEE" w:sz="1"/>
            </w:tcBorders>
            <w:shd w:fill="FFFFFF" w:val="clear"/>
            <w:tcMar>
              <w:top w:type="dxa" w:w="85"/>
              <w:left w:type="dxa" w:w="130"/>
              <w:bottom w:type="dxa" w:w="85"/>
              <w:right w:type="dxa" w:w="130"/>
            </w:tcMar>
          </w:tcPr>
          <w:p>
            <w:r>
              <w:rPr>
                <w:rFonts w:ascii="Arial" w:cs="Arial" w:eastAsia="Arial" w:hAnsi="Arial"/>
                <w:b w:val="false"/>
                <w:bCs w:val="false"/>
                <w:color w:val="4A4A4A"/>
                <w:sz w:val="20"/>
                <w:szCs w:val="20"/>
              </w:rPr>
              <w:t xml:space="preserve">Latest</w:t>
            </w:r>
          </w:p>
        </w:tc>
        <w:tc>
          <w:tcPr>
            <w:tcW w:type="dxa" w:w="5260"/>
            <w:tcBorders>
              <w:top w:val="single" w:color="BFCBEE" w:sz="1"/>
              <w:left w:val="single" w:color="BFCBEE" w:sz="1"/>
              <w:bottom w:val="single" w:color="BFCBEE" w:sz="1"/>
              <w:right w:val="single" w:color="BFCBEE" w:sz="1"/>
            </w:tcBorders>
            <w:shd w:fill="FFFFFF" w:val="clear"/>
            <w:tcMar>
              <w:top w:type="dxa" w:w="85"/>
              <w:left w:type="dxa" w:w="130"/>
              <w:bottom w:type="dxa" w:w="85"/>
              <w:right w:type="dxa" w:w="130"/>
            </w:tcMar>
          </w:tcPr>
          <w:p>
            <w:r>
              <w:rPr>
                <w:rFonts w:ascii="Arial" w:cs="Arial" w:eastAsia="Arial" w:hAnsi="Arial"/>
                <w:b w:val="false"/>
                <w:bCs w:val="false"/>
                <w:color w:val="4A4A4A"/>
                <w:sz w:val="20"/>
                <w:szCs w:val="20"/>
              </w:rPr>
              <w:t xml:space="preserve">Container vulnerability scanning in CI; blocks CRITICAL/HIGH CVE images from deployment</w:t>
            </w:r>
          </w:p>
        </w:tc>
      </w:tr>
    </w:tbl>
    <w:p>
      <w:pPr>
        <w:spacing w:before="160" w:after="0"/>
      </w:pPr>
      <w:r>
        <w:t xml:space="preserve"/>
      </w:r>
    </w:p>
    <w:p>
      <w:pPr>
        <w:pStyle w:val="Heading1"/>
        <w:spacing w:before="360" w:after="100"/>
      </w:pPr>
      <w:r>
        <w:rPr>
          <w:rFonts w:ascii="Arial" w:cs="Arial" w:eastAsia="Arial" w:hAnsi="Arial"/>
          <w:b/>
          <w:bCs/>
          <w:color w:val="0F1E40"/>
          <w:sz w:val="36"/>
          <w:szCs w:val="36"/>
        </w:rPr>
        <w:t xml:space="preserve">9. Business Value</w:t>
      </w:r>
    </w:p>
    <w:p>
      <w:pPr>
        <w:pBdr>
          <w:bottom w:val="single" w:color="2563EB" w:sz="6" w:space="1"/>
        </w:pBdr>
        <w:spacing w:before="80" w:after="100"/>
      </w:pPr>
    </w:p>
    <w:p>
      <w:pPr>
        <w:spacing w:before="80" w:after="0"/>
      </w:pPr>
      <w:r>
        <w:t xml:space="preserve"/>
      </w:r>
    </w:p>
    <w:p>
      <w:pPr>
        <w:spacing w:before="80" w:after="80"/>
      </w:pPr>
      <w:r>
        <w:rPr>
          <w:rFonts w:ascii="Arial" w:cs="Arial" w:eastAsia="Arial" w:hAnsi="Arial"/>
          <w:b w:val="false"/>
          <w:bCs w:val="false"/>
          <w:i w:val="false"/>
          <w:iCs w:val="false"/>
          <w:color w:val="1A1A1A"/>
          <w:sz w:val="22"/>
          <w:szCs w:val="22"/>
        </w:rPr>
        <w:t xml:space="preserve">The idea-similarity-detector delivers business value across four strategic dimensions of the Ecoskiller platform:</w:t>
      </w:r>
    </w:p>
    <w:p>
      <w:pPr>
        <w:spacing w:before="100" w:after="0"/>
      </w:pPr>
      <w:r>
        <w:t xml:space="preserve"/>
      </w:r>
    </w:p>
    <w:p>
      <w:pPr>
        <w:pStyle w:val="Heading2"/>
        <w:spacing w:before="260" w:after="80"/>
      </w:pPr>
      <w:r>
        <w:rPr>
          <w:rFonts w:ascii="Arial" w:cs="Arial" w:eastAsia="Arial" w:hAnsi="Arial"/>
          <w:b/>
          <w:bCs/>
          <w:color w:val="1A3A6B"/>
          <w:sz w:val="28"/>
          <w:szCs w:val="28"/>
        </w:rPr>
        <w:t xml:space="preserve">9.1  Intellectual Property Protection as a Platform Differentiator</w:t>
      </w:r>
    </w:p>
    <w:p>
      <w:pPr>
        <w:spacing w:before="80" w:after="80"/>
      </w:pPr>
      <w:r>
        <w:rPr>
          <w:rFonts w:ascii="Arial" w:cs="Arial" w:eastAsia="Arial" w:hAnsi="Arial"/>
          <w:b w:val="false"/>
          <w:bCs w:val="false"/>
          <w:i w:val="false"/>
          <w:iCs w:val="false"/>
          <w:color w:val="1A1A1A"/>
          <w:sz w:val="22"/>
          <w:szCs w:val="22"/>
        </w:rPr>
        <w:t xml:space="preserve">Ecoskiller's Innovation Engine positions the platform as more than a hiring tool — it is a structured environment where candidates can safely submit, protect, and eventually monetize original ideas. The idea-similarity-detector is the enforcement mechanism that makes this promise credible. Without automated similarity detection, candidates would have no assurance that their submitted ideas are not being duplicated by other platform participants. The service directly enables Ecoskiller to market a verifiable IP protection guarantee, which is a key differentiator against generic talent assessment platforms.</w:t>
      </w:r>
    </w:p>
    <w:p>
      <w:pPr>
        <w:spacing w:before="100" w:after="0"/>
      </w:pPr>
      <w:r>
        <w:t xml:space="preserve"/>
      </w:r>
    </w:p>
    <w:p>
      <w:pPr>
        <w:pStyle w:val="Heading2"/>
        <w:spacing w:before="260" w:after="80"/>
      </w:pPr>
      <w:r>
        <w:rPr>
          <w:rFonts w:ascii="Arial" w:cs="Arial" w:eastAsia="Arial" w:hAnsi="Arial"/>
          <w:b/>
          <w:bCs/>
          <w:color w:val="1A3A6B"/>
          <w:sz w:val="28"/>
          <w:szCs w:val="28"/>
        </w:rPr>
        <w:t xml:space="preserve">9.2  Dispute Prevention and Legal Risk Reduction</w:t>
      </w:r>
    </w:p>
    <w:p>
      <w:pPr>
        <w:spacing w:before="80" w:after="80"/>
      </w:pPr>
      <w:r>
        <w:rPr>
          <w:rFonts w:ascii="Arial" w:cs="Arial" w:eastAsia="Arial" w:hAnsi="Arial"/>
          <w:b w:val="false"/>
          <w:bCs w:val="false"/>
          <w:i w:val="false"/>
          <w:iCs w:val="false"/>
          <w:color w:val="1A1A1A"/>
          <w:sz w:val="22"/>
          <w:szCs w:val="22"/>
        </w:rPr>
        <w:t xml:space="preserve">By detecting potential prior art before an idea is exposed to the marketplace, the similarity detector prevents the most costly outcome: a post-exposure IP dispute between candidates or between a candidate and a recruiter who has seen the idea. The full audit trail stored in PostgreSQL — including top-match references, similarity scores, and classification timestamps — provides the factual basis for dispute resolution without requiring platform operators to reconstruct the decision from logs. This reduces both legal exposure and support overhead.</w:t>
      </w:r>
    </w:p>
    <w:p>
      <w:pPr>
        <w:spacing w:before="100" w:after="0"/>
      </w:pPr>
      <w:r>
        <w:t xml:space="preserve"/>
      </w:r>
    </w:p>
    <w:p>
      <w:pPr>
        <w:pStyle w:val="Heading2"/>
        <w:spacing w:before="260" w:after="80"/>
      </w:pPr>
      <w:r>
        <w:rPr>
          <w:rFonts w:ascii="Arial" w:cs="Arial" w:eastAsia="Arial" w:hAnsi="Arial"/>
          <w:b/>
          <w:bCs/>
          <w:color w:val="1A3A6B"/>
          <w:sz w:val="28"/>
          <w:szCs w:val="28"/>
        </w:rPr>
        <w:t xml:space="preserve">9.3  Enabling the Royalty &amp; Licensing Revenue Stream (Module XIII)</w:t>
      </w:r>
    </w:p>
    <w:p>
      <w:pPr>
        <w:spacing w:before="80" w:after="80"/>
      </w:pPr>
      <w:r>
        <w:rPr>
          <w:rFonts w:ascii="Arial" w:cs="Arial" w:eastAsia="Arial" w:hAnsi="Arial"/>
          <w:b w:val="false"/>
          <w:bCs w:val="false"/>
          <w:i w:val="false"/>
          <w:iCs w:val="false"/>
          <w:color w:val="1A1A1A"/>
          <w:sz w:val="22"/>
          <w:szCs w:val="22"/>
        </w:rPr>
        <w:t xml:space="preserve">The Royalty &amp; Licensing Engine (Module XIII) can only function safely when the ideas entering licensing agreements have been verified as sufficiently original. If duplicate ideas enter licensing workflows, the resulting royalty agreements would have ambiguous ownership — creating financial and legal liability. The similarity detector acts as a pre-condition gate for the licensing pipeline, ensuring that only ideas that passed similarity checks (CLEAR classification) are eligible for licensing contract initiation. This protects the integrity of Ecoskiller's royalty accounting engine and the double-entry ledger that underpins it.</w:t>
      </w:r>
    </w:p>
    <w:p>
      <w:pPr>
        <w:spacing w:before="100" w:after="0"/>
      </w:pPr>
      <w:r>
        <w:t xml:space="preserve"/>
      </w:r>
    </w:p>
    <w:p>
      <w:pPr>
        <w:pStyle w:val="Heading2"/>
        <w:spacing w:before="260" w:after="80"/>
      </w:pPr>
      <w:r>
        <w:rPr>
          <w:rFonts w:ascii="Arial" w:cs="Arial" w:eastAsia="Arial" w:hAnsi="Arial"/>
          <w:b/>
          <w:bCs/>
          <w:color w:val="1A3A6B"/>
          <w:sz w:val="28"/>
          <w:szCs w:val="28"/>
        </w:rPr>
        <w:t xml:space="preserve">9.4  Platform Trust and Candidate Retention</w:t>
      </w:r>
    </w:p>
    <w:p>
      <w:pPr>
        <w:spacing w:before="80" w:after="80"/>
      </w:pPr>
      <w:r>
        <w:rPr>
          <w:rFonts w:ascii="Arial" w:cs="Arial" w:eastAsia="Arial" w:hAnsi="Arial"/>
          <w:b w:val="false"/>
          <w:bCs w:val="false"/>
          <w:i w:val="false"/>
          <w:iCs w:val="false"/>
          <w:color w:val="1A1A1A"/>
          <w:sz w:val="22"/>
          <w:szCs w:val="22"/>
        </w:rPr>
        <w:t xml:space="preserve">Candidate trust in a hiring platform is built on perceived fairness and protection of their contributions. Automated, transparent similarity checking — with immediate notification of the classification decision — signals to candidates that Ecoskiller treats their intellectual contributions seriously. The three-tier classification model (Clear / Review / Flag) avoids blunt rejection of borderline ideas, replacing it with a human-review pathway that candidates experience as fair. This reduces candidate drop-off from the Innovation Engine funnel and supports long-term engagement with the platform's idea submission and reputation systems.</w:t>
      </w:r>
    </w:p>
    <w:p>
      <w:pPr>
        <w:spacing w:before="160" w:after="0"/>
      </w:pPr>
      <w:r>
        <w:t xml:space="preserve"/>
      </w:r>
    </w:p>
    <w:p>
      <w:pPr>
        <w:pStyle w:val="Heading1"/>
        <w:spacing w:before="360" w:after="100"/>
      </w:pPr>
      <w:r>
        <w:rPr>
          <w:rFonts w:ascii="Arial" w:cs="Arial" w:eastAsia="Arial" w:hAnsi="Arial"/>
          <w:b/>
          <w:bCs/>
          <w:color w:val="0F1E40"/>
          <w:sz w:val="36"/>
          <w:szCs w:val="36"/>
        </w:rPr>
        <w:t xml:space="preserve">Appendix A: End-to-End Similarity Detection Pipeline</w:t>
      </w:r>
    </w:p>
    <w:p>
      <w:pPr>
        <w:pBdr>
          <w:bottom w:val="single" w:color="2563EB" w:sz="6" w:space="1"/>
        </w:pBdr>
        <w:spacing w:before="80" w:after="100"/>
      </w:pPr>
    </w:p>
    <w:p>
      <w:pPr>
        <w:spacing w:before="80" w:after="0"/>
      </w:pPr>
      <w:r>
        <w:t xml:space="preserve"/>
      </w:r>
    </w:p>
    <w:p>
      <w:pPr>
        <w:spacing w:before="80" w:after="80"/>
      </w:pPr>
      <w:r>
        <w:rPr>
          <w:rFonts w:ascii="Arial" w:cs="Arial" w:eastAsia="Arial" w:hAnsi="Arial"/>
          <w:b w:val="false"/>
          <w:bCs w:val="false"/>
          <w:i w:val="false"/>
          <w:iCs w:val="false"/>
          <w:color w:val="1A1A1A"/>
          <w:sz w:val="22"/>
          <w:szCs w:val="22"/>
        </w:rPr>
        <w:t xml:space="preserve">The following table documents the complete processing pipeline from idea submission to similarity classification: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3200"/>
        <w:gridCol w:w="2560"/>
      </w:tblGrid>
      <w:tr>
        <w:tc>
          <w:tcPr>
            <w:tcW w:type="dxa" w:w="1600"/>
            <w:tcBorders>
              <w:top w:val="single" w:color="BFCBEE" w:sz="1"/>
              <w:left w:val="single" w:color="BFCBEE" w:sz="1"/>
              <w:bottom w:val="single" w:color="BFCBEE" w:sz="1"/>
              <w:right w:val="single" w:color="BFCBEE" w:sz="1"/>
            </w:tcBorders>
            <w:shd w:fill="1A3A6B" w:val="clear"/>
            <w:tcMar>
              <w:top w:type="dxa" w:w="90"/>
              <w:left w:type="dxa" w:w="120"/>
              <w:bottom w:type="dxa" w:w="90"/>
              <w:right w:type="dxa" w:w="120"/>
            </w:tcMar>
          </w:tcPr>
          <w:p>
            <w:r>
              <w:rPr>
                <w:rFonts w:ascii="Arial" w:cs="Arial" w:eastAsia="Arial" w:hAnsi="Arial"/>
                <w:b/>
                <w:bCs/>
                <w:color w:val="FFFFFF"/>
                <w:sz w:val="19"/>
                <w:szCs w:val="19"/>
              </w:rPr>
              <w:t xml:space="preserve">Stage</w:t>
            </w:r>
          </w:p>
        </w:tc>
        <w:tc>
          <w:tcPr>
            <w:tcW w:type="dxa" w:w="2000"/>
            <w:tcBorders>
              <w:top w:val="single" w:color="BFCBEE" w:sz="1"/>
              <w:left w:val="single" w:color="BFCBEE" w:sz="1"/>
              <w:bottom w:val="single" w:color="BFCBEE" w:sz="1"/>
              <w:right w:val="single" w:color="BFCBEE" w:sz="1"/>
            </w:tcBorders>
            <w:shd w:fill="1A3A6B" w:val="clear"/>
            <w:tcMar>
              <w:top w:type="dxa" w:w="90"/>
              <w:left w:type="dxa" w:w="120"/>
              <w:bottom w:type="dxa" w:w="90"/>
              <w:right w:type="dxa" w:w="120"/>
            </w:tcMar>
          </w:tcPr>
          <w:p>
            <w:r>
              <w:rPr>
                <w:rFonts w:ascii="Arial" w:cs="Arial" w:eastAsia="Arial" w:hAnsi="Arial"/>
                <w:b/>
                <w:bCs/>
                <w:color w:val="FFFFFF"/>
                <w:sz w:val="19"/>
                <w:szCs w:val="19"/>
              </w:rPr>
              <w:t xml:space="preserve">Input</w:t>
            </w:r>
          </w:p>
        </w:tc>
        <w:tc>
          <w:tcPr>
            <w:tcW w:type="dxa" w:w="3200"/>
            <w:tcBorders>
              <w:top w:val="single" w:color="BFCBEE" w:sz="1"/>
              <w:left w:val="single" w:color="BFCBEE" w:sz="1"/>
              <w:bottom w:val="single" w:color="BFCBEE" w:sz="1"/>
              <w:right w:val="single" w:color="BFCBEE" w:sz="1"/>
            </w:tcBorders>
            <w:shd w:fill="1A3A6B" w:val="clear"/>
            <w:tcMar>
              <w:top w:type="dxa" w:w="90"/>
              <w:left w:type="dxa" w:w="120"/>
              <w:bottom w:type="dxa" w:w="90"/>
              <w:right w:type="dxa" w:w="120"/>
            </w:tcMar>
          </w:tcPr>
          <w:p>
            <w:r>
              <w:rPr>
                <w:rFonts w:ascii="Arial" w:cs="Arial" w:eastAsia="Arial" w:hAnsi="Arial"/>
                <w:b/>
                <w:bCs/>
                <w:color w:val="FFFFFF"/>
                <w:sz w:val="19"/>
                <w:szCs w:val="19"/>
              </w:rPr>
              <w:t xml:space="preserve">Process</w:t>
            </w:r>
          </w:p>
        </w:tc>
        <w:tc>
          <w:tcPr>
            <w:tcW w:type="dxa" w:w="2560"/>
            <w:tcBorders>
              <w:top w:val="single" w:color="BFCBEE" w:sz="1"/>
              <w:left w:val="single" w:color="BFCBEE" w:sz="1"/>
              <w:bottom w:val="single" w:color="BFCBEE" w:sz="1"/>
              <w:right w:val="single" w:color="BFCBEE" w:sz="1"/>
            </w:tcBorders>
            <w:shd w:fill="1A3A6B" w:val="clear"/>
            <w:tcMar>
              <w:top w:type="dxa" w:w="90"/>
              <w:left w:type="dxa" w:w="120"/>
              <w:bottom w:type="dxa" w:w="90"/>
              <w:right w:type="dxa" w:w="120"/>
            </w:tcMar>
          </w:tcPr>
          <w:p>
            <w:r>
              <w:rPr>
                <w:rFonts w:ascii="Arial" w:cs="Arial" w:eastAsia="Arial" w:hAnsi="Arial"/>
                <w:b/>
                <w:bCs/>
                <w:color w:val="FFFFFF"/>
                <w:sz w:val="19"/>
                <w:szCs w:val="19"/>
              </w:rPr>
              <w:t xml:space="preserve">Output / Action</w:t>
            </w:r>
          </w:p>
        </w:tc>
      </w:tr>
      <w:tr>
        <w:tc>
          <w:tcPr>
            <w:tcW w:type="dxa" w:w="1600"/>
            <w:tcBorders>
              <w:top w:val="single" w:color="BFCBEE" w:sz="1"/>
              <w:left w:val="single" w:color="BFCBEE" w:sz="1"/>
              <w:bottom w:val="single" w:color="BFCBEE" w:sz="1"/>
              <w:right w:val="single" w:color="BFCBEE" w:sz="1"/>
            </w:tcBorders>
            <w:shd w:fill="FFFFFF" w:val="clear"/>
            <w:tcMar>
              <w:top w:type="dxa" w:w="80"/>
              <w:left w:type="dxa" w:w="120"/>
              <w:bottom w:type="dxa" w:w="80"/>
              <w:right w:type="dxa" w:w="120"/>
            </w:tcMar>
          </w:tcPr>
          <w:p>
            <w:r>
              <w:rPr>
                <w:rFonts w:ascii="Arial" w:cs="Arial" w:eastAsia="Arial" w:hAnsi="Arial"/>
                <w:b/>
                <w:bCs/>
                <w:color w:val="0F1E40"/>
                <w:sz w:val="19"/>
                <w:szCs w:val="19"/>
              </w:rPr>
              <w:t xml:space="preserve">1. Submission</w:t>
            </w:r>
          </w:p>
        </w:tc>
        <w:tc>
          <w:tcPr>
            <w:tcW w:type="dxa" w:w="2000"/>
            <w:tcBorders>
              <w:top w:val="single" w:color="BFCBEE" w:sz="1"/>
              <w:left w:val="single" w:color="BFCBEE" w:sz="1"/>
              <w:bottom w:val="single" w:color="BFCBEE" w:sz="1"/>
              <w:right w:val="single" w:color="BFCBEE"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Candidate submits idea via platform UI</w:t>
            </w:r>
          </w:p>
        </w:tc>
        <w:tc>
          <w:tcPr>
            <w:tcW w:type="dxa" w:w="3200"/>
            <w:tcBorders>
              <w:top w:val="single" w:color="BFCBEE" w:sz="1"/>
              <w:left w:val="single" w:color="BFCBEE" w:sz="1"/>
              <w:bottom w:val="single" w:color="BFCBEE" w:sz="1"/>
              <w:right w:val="single" w:color="BFCBEE"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idea-registry-service stores idea document in MinIO and metadata in PostgreSQL. Publishes idea.submitted to Kafka.</w:t>
            </w:r>
          </w:p>
        </w:tc>
        <w:tc>
          <w:tcPr>
            <w:tcW w:type="dxa" w:w="2560"/>
            <w:tcBorders>
              <w:top w:val="single" w:color="BFCBEE" w:sz="1"/>
              <w:left w:val="single" w:color="BFCBEE" w:sz="1"/>
              <w:bottom w:val="single" w:color="BFCBEE" w:sz="1"/>
              <w:right w:val="single" w:color="BFCBEE"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Kafka: idea.submitted emitted</w:t>
            </w:r>
          </w:p>
        </w:tc>
      </w:tr>
      <w:tr>
        <w:tc>
          <w:tcPr>
            <w:tcW w:type="dxa" w:w="1600"/>
            <w:tcBorders>
              <w:top w:val="single" w:color="BFCBEE" w:sz="1"/>
              <w:left w:val="single" w:color="BFCBEE" w:sz="1"/>
              <w:bottom w:val="single" w:color="BFCBEE" w:sz="1"/>
              <w:right w:val="single" w:color="BFCBEE" w:sz="1"/>
            </w:tcBorders>
            <w:shd w:fill="F5F7FA" w:val="clear"/>
            <w:tcMar>
              <w:top w:type="dxa" w:w="80"/>
              <w:left w:type="dxa" w:w="120"/>
              <w:bottom w:type="dxa" w:w="80"/>
              <w:right w:type="dxa" w:w="120"/>
            </w:tcMar>
          </w:tcPr>
          <w:p>
            <w:r>
              <w:rPr>
                <w:rFonts w:ascii="Arial" w:cs="Arial" w:eastAsia="Arial" w:hAnsi="Arial"/>
                <w:b/>
                <w:bCs/>
                <w:color w:val="0F1E40"/>
                <w:sz w:val="19"/>
                <w:szCs w:val="19"/>
              </w:rPr>
              <w:t xml:space="preserve">2. Fingerprinting</w:t>
            </w:r>
          </w:p>
        </w:tc>
        <w:tc>
          <w:tcPr>
            <w:tcW w:type="dxa" w:w="2000"/>
            <w:tcBorders>
              <w:top w:val="single" w:color="BFCBEE" w:sz="1"/>
              <w:left w:val="single" w:color="BFCBEE" w:sz="1"/>
              <w:bottom w:val="single" w:color="BFCBEE" w:sz="1"/>
              <w:right w:val="single" w:color="BFCBEE" w:sz="1"/>
            </w:tcBorders>
            <w:shd w:fill="F5F7FA" w:val="clear"/>
            <w:tcMar>
              <w:top w:type="dxa" w:w="80"/>
              <w:left w:type="dxa" w:w="120"/>
              <w:bottom w:type="dxa" w:w="80"/>
              <w:right w:type="dxa" w:w="120"/>
            </w:tcMar>
          </w:tcPr>
          <w:p>
            <w:r>
              <w:rPr>
                <w:rFonts w:ascii="Arial" w:cs="Arial" w:eastAsia="Arial" w:hAnsi="Arial"/>
                <w:b w:val="false"/>
                <w:bCs w:val="false"/>
                <w:color w:val="4A4A4A"/>
                <w:sz w:val="19"/>
                <w:szCs w:val="19"/>
              </w:rPr>
              <w:t xml:space="preserve">idea.submitted consumed by idea-dna-fingerprint-engine</w:t>
            </w:r>
          </w:p>
        </w:tc>
        <w:tc>
          <w:tcPr>
            <w:tcW w:type="dxa" w:w="3200"/>
            <w:tcBorders>
              <w:top w:val="single" w:color="BFCBEE" w:sz="1"/>
              <w:left w:val="single" w:color="BFCBEE" w:sz="1"/>
              <w:bottom w:val="single" w:color="BFCBEE" w:sz="1"/>
              <w:right w:val="single" w:color="BFCBEE" w:sz="1"/>
            </w:tcBorders>
            <w:shd w:fill="F5F7FA" w:val="clear"/>
            <w:tcMar>
              <w:top w:type="dxa" w:w="80"/>
              <w:left w:type="dxa" w:w="120"/>
              <w:bottom w:type="dxa" w:w="80"/>
              <w:right w:type="dxa" w:w="120"/>
            </w:tcMar>
          </w:tcPr>
          <w:p>
            <w:r>
              <w:rPr>
                <w:rFonts w:ascii="Arial" w:cs="Arial" w:eastAsia="Arial" w:hAnsi="Arial"/>
                <w:b w:val="false"/>
                <w:bCs w:val="false"/>
                <w:color w:val="4A4A4A"/>
                <w:sz w:val="19"/>
                <w:szCs w:val="19"/>
              </w:rPr>
              <w:t xml:space="preserve">Extracts structured semantic fields (problem, mechanism, material, category). Calls embedding-model-inference-service to generate vector. Stores embedding in Qdrant (idea-embeddings collection).</w:t>
            </w:r>
          </w:p>
        </w:tc>
        <w:tc>
          <w:tcPr>
            <w:tcW w:type="dxa" w:w="2560"/>
            <w:tcBorders>
              <w:top w:val="single" w:color="BFCBEE" w:sz="1"/>
              <w:left w:val="single" w:color="BFCBEE" w:sz="1"/>
              <w:bottom w:val="single" w:color="BFCBEE" w:sz="1"/>
              <w:right w:val="single" w:color="BFCBEE" w:sz="1"/>
            </w:tcBorders>
            <w:shd w:fill="F5F7FA" w:val="clear"/>
            <w:tcMar>
              <w:top w:type="dxa" w:w="80"/>
              <w:left w:type="dxa" w:w="120"/>
              <w:bottom w:type="dxa" w:w="80"/>
              <w:right w:type="dxa" w:w="120"/>
            </w:tcMar>
          </w:tcPr>
          <w:p>
            <w:r>
              <w:rPr>
                <w:rFonts w:ascii="Arial" w:cs="Arial" w:eastAsia="Arial" w:hAnsi="Arial"/>
                <w:b w:val="false"/>
                <w:bCs w:val="false"/>
                <w:color w:val="4A4A4A"/>
                <w:sz w:val="19"/>
                <w:szCs w:val="19"/>
              </w:rPr>
              <w:t xml:space="preserve">Kafka: idea.fingerprinted emitted with vector_id</w:t>
            </w:r>
          </w:p>
        </w:tc>
      </w:tr>
      <w:tr>
        <w:tc>
          <w:tcPr>
            <w:tcW w:type="dxa" w:w="1600"/>
            <w:tcBorders>
              <w:top w:val="single" w:color="BFCBEE" w:sz="1"/>
              <w:left w:val="single" w:color="BFCBEE" w:sz="1"/>
              <w:bottom w:val="single" w:color="BFCBEE" w:sz="1"/>
              <w:right w:val="single" w:color="BFCBEE" w:sz="1"/>
            </w:tcBorders>
            <w:shd w:fill="FFFFFF" w:val="clear"/>
            <w:tcMar>
              <w:top w:type="dxa" w:w="80"/>
              <w:left w:type="dxa" w:w="120"/>
              <w:bottom w:type="dxa" w:w="80"/>
              <w:right w:type="dxa" w:w="120"/>
            </w:tcMar>
          </w:tcPr>
          <w:p>
            <w:r>
              <w:rPr>
                <w:rFonts w:ascii="Arial" w:cs="Arial" w:eastAsia="Arial" w:hAnsi="Arial"/>
                <w:b/>
                <w:bCs/>
                <w:color w:val="0F1E40"/>
                <w:sz w:val="19"/>
                <w:szCs w:val="19"/>
              </w:rPr>
              <w:t xml:space="preserve">3. Similarity Check</w:t>
            </w:r>
          </w:p>
        </w:tc>
        <w:tc>
          <w:tcPr>
            <w:tcW w:type="dxa" w:w="2000"/>
            <w:tcBorders>
              <w:top w:val="single" w:color="BFCBEE" w:sz="1"/>
              <w:left w:val="single" w:color="BFCBEE" w:sz="1"/>
              <w:bottom w:val="single" w:color="BFCBEE" w:sz="1"/>
              <w:right w:val="single" w:color="BFCBEE"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idea.fingerprinted consumed by idea-similarity-detector</w:t>
            </w:r>
          </w:p>
        </w:tc>
        <w:tc>
          <w:tcPr>
            <w:tcW w:type="dxa" w:w="3200"/>
            <w:tcBorders>
              <w:top w:val="single" w:color="BFCBEE" w:sz="1"/>
              <w:left w:val="single" w:color="BFCBEE" w:sz="1"/>
              <w:bottom w:val="single" w:color="BFCBEE" w:sz="1"/>
              <w:right w:val="single" w:color="BFCBEE"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Retrieves embedding from Qdrant by vector_id. Executes ANN search (top-K=20, cosine, tenant-scoped). Computes copy probability score. Classifies into CLEAR / REVIEW / FLAG.</w:t>
            </w:r>
          </w:p>
        </w:tc>
        <w:tc>
          <w:tcPr>
            <w:tcW w:type="dxa" w:w="2560"/>
            <w:tcBorders>
              <w:top w:val="single" w:color="BFCBEE" w:sz="1"/>
              <w:left w:val="single" w:color="BFCBEE" w:sz="1"/>
              <w:bottom w:val="single" w:color="BFCBEE" w:sz="1"/>
              <w:right w:val="single" w:color="BFCBEE"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PostgreSQL: similarity report written</w:t>
            </w:r>
          </w:p>
        </w:tc>
      </w:tr>
      <w:tr>
        <w:tc>
          <w:tcPr>
            <w:tcW w:type="dxa" w:w="1600"/>
            <w:tcBorders>
              <w:top w:val="single" w:color="BFCBEE" w:sz="1"/>
              <w:left w:val="single" w:color="BFCBEE" w:sz="1"/>
              <w:bottom w:val="single" w:color="BFCBEE" w:sz="1"/>
              <w:right w:val="single" w:color="BFCBEE" w:sz="1"/>
            </w:tcBorders>
            <w:shd w:fill="F5F7FA" w:val="clear"/>
            <w:tcMar>
              <w:top w:type="dxa" w:w="80"/>
              <w:left w:type="dxa" w:w="120"/>
              <w:bottom w:type="dxa" w:w="80"/>
              <w:right w:type="dxa" w:w="120"/>
            </w:tcMar>
          </w:tcPr>
          <w:p>
            <w:r>
              <w:rPr>
                <w:rFonts w:ascii="Arial" w:cs="Arial" w:eastAsia="Arial" w:hAnsi="Arial"/>
                <w:b/>
                <w:bCs/>
                <w:color w:val="0F1E40"/>
                <w:sz w:val="19"/>
                <w:szCs w:val="19"/>
              </w:rPr>
              <w:t xml:space="preserve">4A. If CLEAR</w:t>
            </w:r>
          </w:p>
        </w:tc>
        <w:tc>
          <w:tcPr>
            <w:tcW w:type="dxa" w:w="2000"/>
            <w:tcBorders>
              <w:top w:val="single" w:color="BFCBEE" w:sz="1"/>
              <w:left w:val="single" w:color="BFCBEE" w:sz="1"/>
              <w:bottom w:val="single" w:color="BFCBEE" w:sz="1"/>
              <w:right w:val="single" w:color="BFCBEE" w:sz="1"/>
            </w:tcBorders>
            <w:shd w:fill="F5F7FA" w:val="clear"/>
            <w:tcMar>
              <w:top w:type="dxa" w:w="80"/>
              <w:left w:type="dxa" w:w="120"/>
              <w:bottom w:type="dxa" w:w="80"/>
              <w:right w:type="dxa" w:w="120"/>
            </w:tcMar>
          </w:tcPr>
          <w:p>
            <w:r>
              <w:rPr>
                <w:rFonts w:ascii="Arial" w:cs="Arial" w:eastAsia="Arial" w:hAnsi="Arial"/>
                <w:b w:val="false"/>
                <w:bCs w:val="false"/>
                <w:color w:val="4A4A4A"/>
                <w:sz w:val="19"/>
                <w:szCs w:val="19"/>
              </w:rPr>
              <w:t xml:space="preserve">copy_probability &lt; 0.60</w:t>
            </w:r>
          </w:p>
        </w:tc>
        <w:tc>
          <w:tcPr>
            <w:tcW w:type="dxa" w:w="3200"/>
            <w:tcBorders>
              <w:top w:val="single" w:color="BFCBEE" w:sz="1"/>
              <w:left w:val="single" w:color="BFCBEE" w:sz="1"/>
              <w:bottom w:val="single" w:color="BFCBEE" w:sz="1"/>
              <w:right w:val="single" w:color="BFCBEE" w:sz="1"/>
            </w:tcBorders>
            <w:shd w:fill="F5F7FA" w:val="clear"/>
            <w:tcMar>
              <w:top w:type="dxa" w:w="80"/>
              <w:left w:type="dxa" w:w="120"/>
              <w:bottom w:type="dxa" w:w="80"/>
              <w:right w:type="dxa" w:w="120"/>
            </w:tcMar>
          </w:tcPr>
          <w:p>
            <w:r>
              <w:rPr>
                <w:rFonts w:ascii="Arial" w:cs="Arial" w:eastAsia="Arial" w:hAnsi="Arial"/>
                <w:b w:val="false"/>
                <w:bCs w:val="false"/>
                <w:color w:val="4A4A4A"/>
                <w:sz w:val="19"/>
                <w:szCs w:val="19"/>
              </w:rPr>
              <w:t xml:space="preserve">Publishes idea.similarity.cleared to Kafka.</w:t>
            </w:r>
          </w:p>
        </w:tc>
        <w:tc>
          <w:tcPr>
            <w:tcW w:type="dxa" w:w="2560"/>
            <w:tcBorders>
              <w:top w:val="single" w:color="BFCBEE" w:sz="1"/>
              <w:left w:val="single" w:color="BFCBEE" w:sz="1"/>
              <w:bottom w:val="single" w:color="BFCBEE" w:sz="1"/>
              <w:right w:val="single" w:color="BFCBEE" w:sz="1"/>
            </w:tcBorders>
            <w:shd w:fill="F5F7FA" w:val="clear"/>
            <w:tcMar>
              <w:top w:type="dxa" w:w="80"/>
              <w:left w:type="dxa" w:w="120"/>
              <w:bottom w:type="dxa" w:w="80"/>
              <w:right w:type="dxa" w:w="120"/>
            </w:tcMar>
          </w:tcPr>
          <w:p>
            <w:r>
              <w:rPr>
                <w:rFonts w:ascii="Arial" w:cs="Arial" w:eastAsia="Arial" w:hAnsi="Arial"/>
                <w:b w:val="false"/>
                <w:bCs w:val="false"/>
                <w:color w:val="4A4A4A"/>
                <w:sz w:val="19"/>
                <w:szCs w:val="19"/>
              </w:rPr>
              <w:t xml:space="preserve">idea-registry-service marks idea as verified-original. Notification sent to candidate.</w:t>
            </w:r>
          </w:p>
        </w:tc>
      </w:tr>
      <w:tr>
        <w:tc>
          <w:tcPr>
            <w:tcW w:type="dxa" w:w="1600"/>
            <w:tcBorders>
              <w:top w:val="single" w:color="BFCBEE" w:sz="1"/>
              <w:left w:val="single" w:color="BFCBEE" w:sz="1"/>
              <w:bottom w:val="single" w:color="BFCBEE" w:sz="1"/>
              <w:right w:val="single" w:color="BFCBEE" w:sz="1"/>
            </w:tcBorders>
            <w:shd w:fill="FFFFFF" w:val="clear"/>
            <w:tcMar>
              <w:top w:type="dxa" w:w="80"/>
              <w:left w:type="dxa" w:w="120"/>
              <w:bottom w:type="dxa" w:w="80"/>
              <w:right w:type="dxa" w:w="120"/>
            </w:tcMar>
          </w:tcPr>
          <w:p>
            <w:r>
              <w:rPr>
                <w:rFonts w:ascii="Arial" w:cs="Arial" w:eastAsia="Arial" w:hAnsi="Arial"/>
                <w:b/>
                <w:bCs/>
                <w:color w:val="0F1E40"/>
                <w:sz w:val="19"/>
                <w:szCs w:val="19"/>
              </w:rPr>
              <w:t xml:space="preserve">4B. If REVIEW</w:t>
            </w:r>
          </w:p>
        </w:tc>
        <w:tc>
          <w:tcPr>
            <w:tcW w:type="dxa" w:w="2000"/>
            <w:tcBorders>
              <w:top w:val="single" w:color="BFCBEE" w:sz="1"/>
              <w:left w:val="single" w:color="BFCBEE" w:sz="1"/>
              <w:bottom w:val="single" w:color="BFCBEE" w:sz="1"/>
              <w:right w:val="single" w:color="BFCBEE"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0.60 &lt;= copy_probability &lt; 0.80</w:t>
            </w:r>
          </w:p>
        </w:tc>
        <w:tc>
          <w:tcPr>
            <w:tcW w:type="dxa" w:w="3200"/>
            <w:tcBorders>
              <w:top w:val="single" w:color="BFCBEE" w:sz="1"/>
              <w:left w:val="single" w:color="BFCBEE" w:sz="1"/>
              <w:bottom w:val="single" w:color="BFCBEE" w:sz="1"/>
              <w:right w:val="single" w:color="BFCBEE"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Publishes idea.similarity.review to Kafka.</w:t>
            </w:r>
          </w:p>
        </w:tc>
        <w:tc>
          <w:tcPr>
            <w:tcW w:type="dxa" w:w="2560"/>
            <w:tcBorders>
              <w:top w:val="single" w:color="BFCBEE" w:sz="1"/>
              <w:left w:val="single" w:color="BFCBEE" w:sz="1"/>
              <w:bottom w:val="single" w:color="BFCBEE" w:sz="1"/>
              <w:right w:val="single" w:color="BFCBEE"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admin-service queues for human review. Candidate notified of pending review status.</w:t>
            </w:r>
          </w:p>
        </w:tc>
      </w:tr>
      <w:tr>
        <w:tc>
          <w:tcPr>
            <w:tcW w:type="dxa" w:w="1600"/>
            <w:tcBorders>
              <w:top w:val="single" w:color="BFCBEE" w:sz="1"/>
              <w:left w:val="single" w:color="BFCBEE" w:sz="1"/>
              <w:bottom w:val="single" w:color="BFCBEE" w:sz="1"/>
              <w:right w:val="single" w:color="BFCBEE" w:sz="1"/>
            </w:tcBorders>
            <w:shd w:fill="F5F7FA" w:val="clear"/>
            <w:tcMar>
              <w:top w:type="dxa" w:w="80"/>
              <w:left w:type="dxa" w:w="120"/>
              <w:bottom w:type="dxa" w:w="80"/>
              <w:right w:type="dxa" w:w="120"/>
            </w:tcMar>
          </w:tcPr>
          <w:p>
            <w:r>
              <w:rPr>
                <w:rFonts w:ascii="Arial" w:cs="Arial" w:eastAsia="Arial" w:hAnsi="Arial"/>
                <w:b/>
                <w:bCs/>
                <w:color w:val="0F1E40"/>
                <w:sz w:val="19"/>
                <w:szCs w:val="19"/>
              </w:rPr>
              <w:t xml:space="preserve">4C. If FLAG</w:t>
            </w:r>
          </w:p>
        </w:tc>
        <w:tc>
          <w:tcPr>
            <w:tcW w:type="dxa" w:w="2000"/>
            <w:tcBorders>
              <w:top w:val="single" w:color="BFCBEE" w:sz="1"/>
              <w:left w:val="single" w:color="BFCBEE" w:sz="1"/>
              <w:bottom w:val="single" w:color="BFCBEE" w:sz="1"/>
              <w:right w:val="single" w:color="BFCBEE" w:sz="1"/>
            </w:tcBorders>
            <w:shd w:fill="F5F7FA" w:val="clear"/>
            <w:tcMar>
              <w:top w:type="dxa" w:w="80"/>
              <w:left w:type="dxa" w:w="120"/>
              <w:bottom w:type="dxa" w:w="80"/>
              <w:right w:type="dxa" w:w="120"/>
            </w:tcMar>
          </w:tcPr>
          <w:p>
            <w:r>
              <w:rPr>
                <w:rFonts w:ascii="Arial" w:cs="Arial" w:eastAsia="Arial" w:hAnsi="Arial"/>
                <w:b w:val="false"/>
                <w:bCs w:val="false"/>
                <w:color w:val="4A4A4A"/>
                <w:sz w:val="19"/>
                <w:szCs w:val="19"/>
              </w:rPr>
              <w:t xml:space="preserve">copy_probability &gt;= 0.80</w:t>
            </w:r>
          </w:p>
        </w:tc>
        <w:tc>
          <w:tcPr>
            <w:tcW w:type="dxa" w:w="3200"/>
            <w:tcBorders>
              <w:top w:val="single" w:color="BFCBEE" w:sz="1"/>
              <w:left w:val="single" w:color="BFCBEE" w:sz="1"/>
              <w:bottom w:val="single" w:color="BFCBEE" w:sz="1"/>
              <w:right w:val="single" w:color="BFCBEE" w:sz="1"/>
            </w:tcBorders>
            <w:shd w:fill="F5F7FA" w:val="clear"/>
            <w:tcMar>
              <w:top w:type="dxa" w:w="80"/>
              <w:left w:type="dxa" w:w="120"/>
              <w:bottom w:type="dxa" w:w="80"/>
              <w:right w:type="dxa" w:w="120"/>
            </w:tcMar>
          </w:tcPr>
          <w:p>
            <w:r>
              <w:rPr>
                <w:rFonts w:ascii="Arial" w:cs="Arial" w:eastAsia="Arial" w:hAnsi="Arial"/>
                <w:b w:val="false"/>
                <w:bCs w:val="false"/>
                <w:color w:val="4A4A4A"/>
                <w:sz w:val="19"/>
                <w:szCs w:val="19"/>
              </w:rPr>
              <w:t xml:space="preserve">Publishes idea.similarity.flagged to Kafka.</w:t>
            </w:r>
          </w:p>
        </w:tc>
        <w:tc>
          <w:tcPr>
            <w:tcW w:type="dxa" w:w="2560"/>
            <w:tcBorders>
              <w:top w:val="single" w:color="BFCBEE" w:sz="1"/>
              <w:left w:val="single" w:color="BFCBEE" w:sz="1"/>
              <w:bottom w:val="single" w:color="BFCBEE" w:sz="1"/>
              <w:right w:val="single" w:color="BFCBEE" w:sz="1"/>
            </w:tcBorders>
            <w:shd w:fill="F5F7FA" w:val="clear"/>
            <w:tcMar>
              <w:top w:type="dxa" w:w="80"/>
              <w:left w:type="dxa" w:w="120"/>
              <w:bottom w:type="dxa" w:w="80"/>
              <w:right w:type="dxa" w:w="120"/>
            </w:tcMar>
          </w:tcPr>
          <w:p>
            <w:r>
              <w:rPr>
                <w:rFonts w:ascii="Arial" w:cs="Arial" w:eastAsia="Arial" w:hAnsi="Arial"/>
                <w:b w:val="false"/>
                <w:bCs w:val="false"/>
                <w:color w:val="4A4A4A"/>
                <w:sz w:val="19"/>
                <w:szCs w:val="19"/>
              </w:rPr>
              <w:t xml:space="preserve">dispute-service initiates dispute workflow. admin-service governance queue updated. Candidate notified of flag.</w:t>
            </w:r>
          </w:p>
        </w:tc>
      </w:tr>
    </w:tbl>
    <w:p>
      <w:pPr>
        <w:spacing w:before="160" w:after="0"/>
      </w:pPr>
      <w:r>
        <w:t xml:space="preserve"/>
      </w:r>
    </w:p>
    <w:p>
      <w:pPr>
        <w:pStyle w:val="Heading1"/>
        <w:spacing w:before="360" w:after="100"/>
      </w:pPr>
      <w:r>
        <w:rPr>
          <w:rFonts w:ascii="Arial" w:cs="Arial" w:eastAsia="Arial" w:hAnsi="Arial"/>
          <w:b/>
          <w:bCs/>
          <w:color w:val="0F1E40"/>
          <w:sz w:val="36"/>
          <w:szCs w:val="36"/>
        </w:rPr>
        <w:t xml:space="preserve">Appendix B: Kafka Consumer &amp; DLQ Policy</w:t>
      </w:r>
    </w:p>
    <w:p>
      <w:pPr>
        <w:pBdr>
          <w:bottom w:val="single" w:color="2563EB" w:sz="6" w:space="1"/>
        </w:pBdr>
        <w:spacing w:before="80" w:after="100"/>
      </w:pPr>
    </w:p>
    <w:p>
      <w:pPr>
        <w:spacing w:before="80" w:after="0"/>
      </w:pPr>
      <w:r>
        <w:t xml:space="preserve"/>
      </w:r>
    </w:p>
    <w:p>
      <w:pPr>
        <w:spacing w:before="80" w:after="80"/>
      </w:pPr>
      <w:r>
        <w:rPr>
          <w:rFonts w:ascii="Arial" w:cs="Arial" w:eastAsia="Arial" w:hAnsi="Arial"/>
          <w:b w:val="false"/>
          <w:bCs w:val="false"/>
          <w:i w:val="false"/>
          <w:iCs w:val="false"/>
          <w:color w:val="1A1A1A"/>
          <w:sz w:val="22"/>
          <w:szCs w:val="22"/>
        </w:rPr>
        <w:t xml:space="preserve">The idea-similarity-detector follows the Ecoskiller platform-wide Kafka consumer standards:</w:t>
      </w:r>
    </w:p>
    <w:p>
      <w:pPr>
        <w:spacing w:before="80" w:after="0"/>
      </w:pPr>
      <w:r>
        <w:t xml:space="preserve"/>
      </w:r>
    </w:p>
    <w:p>
      <w:pPr>
        <w:pStyle w:val="ListParagraph"/>
        <w:numPr>
          <w:ilvl w:val="0"/>
          <w:numId w:val="2"/>
        </w:numPr>
        <w:spacing w:before="60" w:after="60"/>
      </w:pPr>
      <w:r>
        <w:rPr>
          <w:rFonts w:ascii="Arial" w:cs="Arial" w:eastAsia="Arial" w:hAnsi="Arial"/>
          <w:b w:val="false"/>
          <w:bCs w:val="false"/>
          <w:color w:val="1A1A1A"/>
          <w:sz w:val="22"/>
          <w:szCs w:val="22"/>
        </w:rPr>
        <w:t xml:space="preserve">Consumer group: idea-similarity-detector-idea.fingerprinted-consumer</w:t>
      </w:r>
    </w:p>
    <w:p>
      <w:pPr>
        <w:pStyle w:val="ListParagraph"/>
        <w:numPr>
          <w:ilvl w:val="0"/>
          <w:numId w:val="2"/>
        </w:numPr>
        <w:spacing w:before="60" w:after="60"/>
      </w:pPr>
      <w:r>
        <w:rPr>
          <w:rFonts w:ascii="Arial" w:cs="Arial" w:eastAsia="Arial" w:hAnsi="Arial"/>
          <w:b w:val="false"/>
          <w:bCs w:val="false"/>
          <w:color w:val="1A1A1A"/>
          <w:sz w:val="22"/>
          <w:szCs w:val="22"/>
        </w:rPr>
        <w:t xml:space="preserve">Retry policy: 3 retries with exponential backoff (1s, 4s, 16s) before DLQ</w:t>
      </w:r>
    </w:p>
    <w:p>
      <w:pPr>
        <w:pStyle w:val="ListParagraph"/>
        <w:numPr>
          <w:ilvl w:val="0"/>
          <w:numId w:val="2"/>
        </w:numPr>
        <w:spacing w:before="60" w:after="60"/>
      </w:pPr>
      <w:r>
        <w:rPr>
          <w:rFonts w:ascii="Arial" w:cs="Arial" w:eastAsia="Arial" w:hAnsi="Arial"/>
          <w:b w:val="false"/>
          <w:bCs w:val="false"/>
          <w:color w:val="1A1A1A"/>
          <w:sz w:val="22"/>
          <w:szCs w:val="22"/>
        </w:rPr>
        <w:t xml:space="preserve">Dead-letter topic: idea.fingerprinted.dlq</w:t>
      </w:r>
    </w:p>
    <w:p>
      <w:pPr>
        <w:pStyle w:val="ListParagraph"/>
        <w:numPr>
          <w:ilvl w:val="0"/>
          <w:numId w:val="2"/>
        </w:numPr>
        <w:spacing w:before="60" w:after="60"/>
      </w:pPr>
      <w:r>
        <w:rPr>
          <w:rFonts w:ascii="Arial" w:cs="Arial" w:eastAsia="Arial" w:hAnsi="Arial"/>
          <w:b w:val="false"/>
          <w:bCs w:val="false"/>
          <w:color w:val="1A1A1A"/>
          <w:sz w:val="22"/>
          <w:szCs w:val="22"/>
        </w:rPr>
        <w:t xml:space="preserve">Offset commit strategy: manual commit after successful PostgreSQL write and Kafka publish</w:t>
      </w:r>
    </w:p>
    <w:p>
      <w:pPr>
        <w:pStyle w:val="ListParagraph"/>
        <w:numPr>
          <w:ilvl w:val="0"/>
          <w:numId w:val="2"/>
        </w:numPr>
        <w:spacing w:before="60" w:after="60"/>
      </w:pPr>
      <w:r>
        <w:rPr>
          <w:rFonts w:ascii="Arial" w:cs="Arial" w:eastAsia="Arial" w:hAnsi="Arial"/>
          <w:b w:val="false"/>
          <w:bCs w:val="false"/>
          <w:color w:val="1A1A1A"/>
          <w:sz w:val="22"/>
          <w:szCs w:val="22"/>
        </w:rPr>
        <w:t xml:space="preserve">Replication factor: 3 for all consumed and produced topics</w:t>
      </w:r>
    </w:p>
    <w:p>
      <w:pPr>
        <w:pStyle w:val="ListParagraph"/>
        <w:numPr>
          <w:ilvl w:val="0"/>
          <w:numId w:val="2"/>
        </w:numPr>
        <w:spacing w:before="60" w:after="60"/>
      </w:pPr>
      <w:r>
        <w:rPr>
          <w:rFonts w:ascii="Arial" w:cs="Arial" w:eastAsia="Arial" w:hAnsi="Arial"/>
          <w:b w:val="false"/>
          <w:bCs w:val="false"/>
          <w:color w:val="1A1A1A"/>
          <w:sz w:val="22"/>
          <w:szCs w:val="22"/>
        </w:rPr>
        <w:t xml:space="preserve">Schema validation: Avro schema checked against Apicurio Registry before processing</w:t>
      </w:r>
    </w:p>
    <w:p>
      <w:pPr>
        <w:pStyle w:val="ListParagraph"/>
        <w:numPr>
          <w:ilvl w:val="0"/>
          <w:numId w:val="2"/>
        </w:numPr>
        <w:spacing w:before="60" w:after="60"/>
      </w:pPr>
      <w:r>
        <w:rPr>
          <w:rFonts w:ascii="Arial" w:cs="Arial" w:eastAsia="Arial" w:hAnsi="Arial"/>
          <w:b w:val="false"/>
          <w:bCs w:val="false"/>
          <w:color w:val="1A1A1A"/>
          <w:sz w:val="22"/>
          <w:szCs w:val="22"/>
        </w:rPr>
        <w:t xml:space="preserve">DLQ alert: Prometheus alert fires on DLQ count &gt; 0 within 5-minute window</w:t>
      </w:r>
    </w:p>
    <w:p>
      <w:pPr>
        <w:pStyle w:val="ListParagraph"/>
        <w:numPr>
          <w:ilvl w:val="0"/>
          <w:numId w:val="2"/>
        </w:numPr>
        <w:spacing w:before="60" w:after="60"/>
      </w:pPr>
      <w:r>
        <w:rPr>
          <w:rFonts w:ascii="Arial" w:cs="Arial" w:eastAsia="Arial" w:hAnsi="Arial"/>
          <w:b w:val="false"/>
          <w:bCs w:val="false"/>
          <w:color w:val="1A1A1A"/>
          <w:sz w:val="22"/>
          <w:szCs w:val="22"/>
        </w:rPr>
        <w:t xml:space="preserve">Partition count: 3 for idea.fingerprinted (matches HPA max pod count of 6 with 2 partitions per pod)</w:t>
      </w:r>
    </w:p>
    <w:p>
      <w:pPr>
        <w:spacing w:before="160" w:after="0"/>
      </w:pPr>
      <w:r>
        <w:t xml:space="preserve"/>
      </w:r>
    </w:p>
    <w:p>
      <w:pPr>
        <w:pStyle w:val="Heading1"/>
        <w:spacing w:before="360" w:after="100"/>
      </w:pPr>
      <w:r>
        <w:rPr>
          <w:rFonts w:ascii="Arial" w:cs="Arial" w:eastAsia="Arial" w:hAnsi="Arial"/>
          <w:b/>
          <w:bCs/>
          <w:color w:val="0F1E40"/>
          <w:sz w:val="36"/>
          <w:szCs w:val="36"/>
        </w:rPr>
        <w:t xml:space="preserve">Appendix C: Deployment &amp; Operations</w:t>
      </w:r>
    </w:p>
    <w:p>
      <w:pPr>
        <w:pBdr>
          <w:bottom w:val="single" w:color="2563EB" w:sz="6" w:space="1"/>
        </w:pBdr>
        <w:spacing w:before="80" w:after="100"/>
      </w:pPr>
    </w:p>
    <w:p>
      <w:pPr>
        <w:spacing w:before="80" w:after="0"/>
      </w:pPr>
      <w:r>
        <w:t xml:space="preserve"/>
      </w:r>
    </w:p>
    <w:p>
      <w:pPr>
        <w:pStyle w:val="Heading2"/>
        <w:spacing w:before="260" w:after="80"/>
      </w:pPr>
      <w:r>
        <w:rPr>
          <w:rFonts w:ascii="Arial" w:cs="Arial" w:eastAsia="Arial" w:hAnsi="Arial"/>
          <w:b/>
          <w:bCs/>
          <w:color w:val="1A3A6B"/>
          <w:sz w:val="28"/>
          <w:szCs w:val="28"/>
        </w:rPr>
        <w:t xml:space="preserve">Helm Chart Key Values</w:t>
      </w:r>
    </w:p>
    <w:p>
      <w:pPr>
        <w:spacing w:before="60" w:after="0"/>
      </w:pPr>
      <w:r>
        <w:t xml:space="preserve"/>
      </w:r>
    </w:p>
    <w:p>
      <w:pPr>
        <w:pStyle w:val="ListParagraph"/>
        <w:numPr>
          <w:ilvl w:val="0"/>
          <w:numId w:val="2"/>
        </w:numPr>
        <w:spacing w:before="60" w:after="60"/>
      </w:pPr>
      <w:r>
        <w:rPr>
          <w:rFonts w:ascii="Arial" w:cs="Arial" w:eastAsia="Arial" w:hAnsi="Arial"/>
          <w:b w:val="false"/>
          <w:bCs w:val="false"/>
          <w:color w:val="1A1A1A"/>
          <w:sz w:val="22"/>
          <w:szCs w:val="22"/>
        </w:rPr>
        <w:t xml:space="preserve">image.repository: harbor.ecoskiller.internal/ecoskiller/idea-similarity-detector</w:t>
      </w:r>
    </w:p>
    <w:p>
      <w:pPr>
        <w:pStyle w:val="ListParagraph"/>
        <w:numPr>
          <w:ilvl w:val="0"/>
          <w:numId w:val="2"/>
        </w:numPr>
        <w:spacing w:before="60" w:after="60"/>
      </w:pPr>
      <w:r>
        <w:rPr>
          <w:rFonts w:ascii="Arial" w:cs="Arial" w:eastAsia="Arial" w:hAnsi="Arial"/>
          <w:b w:val="false"/>
          <w:bCs w:val="false"/>
          <w:color w:val="1A1A1A"/>
          <w:sz w:val="22"/>
          <w:szCs w:val="22"/>
        </w:rPr>
        <w:t xml:space="preserve">replicaCount: 2 (prod) · 1 (dev/test) · 2 (stage)</w:t>
      </w:r>
    </w:p>
    <w:p>
      <w:pPr>
        <w:pStyle w:val="ListParagraph"/>
        <w:numPr>
          <w:ilvl w:val="0"/>
          <w:numId w:val="2"/>
        </w:numPr>
        <w:spacing w:before="60" w:after="60"/>
      </w:pPr>
      <w:r>
        <w:rPr>
          <w:rFonts w:ascii="Arial" w:cs="Arial" w:eastAsia="Arial" w:hAnsi="Arial"/>
          <w:b w:val="false"/>
          <w:bCs w:val="false"/>
          <w:color w:val="1A1A1A"/>
          <w:sz w:val="22"/>
          <w:szCs w:val="22"/>
        </w:rPr>
        <w:t xml:space="preserve">resources.requests.cpu: 200m · resources.limits.cpu: 800m</w:t>
      </w:r>
    </w:p>
    <w:p>
      <w:pPr>
        <w:pStyle w:val="ListParagraph"/>
        <w:numPr>
          <w:ilvl w:val="0"/>
          <w:numId w:val="2"/>
        </w:numPr>
        <w:spacing w:before="60" w:after="60"/>
      </w:pPr>
      <w:r>
        <w:rPr>
          <w:rFonts w:ascii="Arial" w:cs="Arial" w:eastAsia="Arial" w:hAnsi="Arial"/>
          <w:b w:val="false"/>
          <w:bCs w:val="false"/>
          <w:color w:val="1A1A1A"/>
          <w:sz w:val="22"/>
          <w:szCs w:val="22"/>
        </w:rPr>
        <w:t xml:space="preserve">resources.requests.memory: 256Mi · resources.limits.memory: 768Mi</w:t>
      </w:r>
    </w:p>
    <w:p>
      <w:pPr>
        <w:pStyle w:val="ListParagraph"/>
        <w:numPr>
          <w:ilvl w:val="0"/>
          <w:numId w:val="2"/>
        </w:numPr>
        <w:spacing w:before="60" w:after="60"/>
      </w:pPr>
      <w:r>
        <w:rPr>
          <w:rFonts w:ascii="Arial" w:cs="Arial" w:eastAsia="Arial" w:hAnsi="Arial"/>
          <w:b w:val="false"/>
          <w:bCs w:val="false"/>
          <w:color w:val="1A1A1A"/>
          <w:sz w:val="22"/>
          <w:szCs w:val="22"/>
        </w:rPr>
        <w:t xml:space="preserve">autoscaling.enabled: true · minReplicas: 2 · maxReplicas: 6 (prod)</w:t>
      </w:r>
    </w:p>
    <w:p>
      <w:pPr>
        <w:pStyle w:val="ListParagraph"/>
        <w:numPr>
          <w:ilvl w:val="0"/>
          <w:numId w:val="2"/>
        </w:numPr>
        <w:spacing w:before="60" w:after="60"/>
      </w:pPr>
      <w:r>
        <w:rPr>
          <w:rFonts w:ascii="Arial" w:cs="Arial" w:eastAsia="Arial" w:hAnsi="Arial"/>
          <w:b w:val="false"/>
          <w:bCs w:val="false"/>
          <w:color w:val="1A1A1A"/>
          <w:sz w:val="22"/>
          <w:szCs w:val="22"/>
        </w:rPr>
        <w:t xml:space="preserve">autoscaling.metrics: Kafka consumer lag on idea.fingerprinted (target: &lt; 300 messages)</w:t>
      </w:r>
    </w:p>
    <w:p>
      <w:pPr>
        <w:pStyle w:val="ListParagraph"/>
        <w:numPr>
          <w:ilvl w:val="0"/>
          <w:numId w:val="2"/>
        </w:numPr>
        <w:spacing w:before="60" w:after="60"/>
      </w:pPr>
      <w:r>
        <w:rPr>
          <w:rFonts w:ascii="Arial" w:cs="Arial" w:eastAsia="Arial" w:hAnsi="Arial"/>
          <w:b w:val="false"/>
          <w:bCs w:val="false"/>
          <w:color w:val="1A1A1A"/>
          <w:sz w:val="22"/>
          <w:szCs w:val="22"/>
        </w:rPr>
        <w:t xml:space="preserve">namespace: analytics</w:t>
      </w:r>
    </w:p>
    <w:p>
      <w:pPr>
        <w:pStyle w:val="ListParagraph"/>
        <w:numPr>
          <w:ilvl w:val="0"/>
          <w:numId w:val="2"/>
        </w:numPr>
        <w:spacing w:before="60" w:after="60"/>
      </w:pPr>
      <w:r>
        <w:rPr>
          <w:rFonts w:ascii="Arial" w:cs="Arial" w:eastAsia="Arial" w:hAnsi="Arial"/>
          <w:b w:val="false"/>
          <w:bCs w:val="false"/>
          <w:color w:val="1A1A1A"/>
          <w:sz w:val="22"/>
          <w:szCs w:val="22"/>
        </w:rPr>
        <w:t xml:space="preserve">env.QDRANT_URL: injected via Kubernetes ConfigMap</w:t>
      </w:r>
    </w:p>
    <w:p>
      <w:pPr>
        <w:pStyle w:val="ListParagraph"/>
        <w:numPr>
          <w:ilvl w:val="0"/>
          <w:numId w:val="2"/>
        </w:numPr>
        <w:spacing w:before="60" w:after="60"/>
      </w:pPr>
      <w:r>
        <w:rPr>
          <w:rFonts w:ascii="Arial" w:cs="Arial" w:eastAsia="Arial" w:hAnsi="Arial"/>
          <w:b w:val="false"/>
          <w:bCs w:val="false"/>
          <w:color w:val="1A1A1A"/>
          <w:sz w:val="22"/>
          <w:szCs w:val="22"/>
        </w:rPr>
        <w:t xml:space="preserve">env.KAFKA_BROKERS: injected via Kubernetes Secret</w:t>
      </w:r>
    </w:p>
    <w:p>
      <w:pPr>
        <w:pStyle w:val="ListParagraph"/>
        <w:numPr>
          <w:ilvl w:val="0"/>
          <w:numId w:val="2"/>
        </w:numPr>
        <w:spacing w:before="60" w:after="60"/>
      </w:pPr>
      <w:r>
        <w:rPr>
          <w:rFonts w:ascii="Arial" w:cs="Arial" w:eastAsia="Arial" w:hAnsi="Arial"/>
          <w:b w:val="false"/>
          <w:bCs w:val="false"/>
          <w:color w:val="1A1A1A"/>
          <w:sz w:val="22"/>
          <w:szCs w:val="22"/>
        </w:rPr>
        <w:t xml:space="preserve">env.POSTGRES_DSN: injected via Kubernetes Secret (RLS-scoped service account)</w:t>
      </w:r>
    </w:p>
    <w:p>
      <w:pPr>
        <w:pStyle w:val="ListParagraph"/>
        <w:numPr>
          <w:ilvl w:val="0"/>
          <w:numId w:val="2"/>
        </w:numPr>
        <w:spacing w:before="60" w:after="60"/>
      </w:pPr>
      <w:r>
        <w:rPr>
          <w:rFonts w:ascii="Arial" w:cs="Arial" w:eastAsia="Arial" w:hAnsi="Arial"/>
          <w:b w:val="false"/>
          <w:bCs w:val="false"/>
          <w:color w:val="1A1A1A"/>
          <w:sz w:val="22"/>
          <w:szCs w:val="22"/>
        </w:rPr>
        <w:t xml:space="preserve">env.REDIS_URL: injected via Kubernetes Secret</w:t>
      </w:r>
    </w:p>
    <w:p>
      <w:pPr>
        <w:pStyle w:val="ListParagraph"/>
        <w:numPr>
          <w:ilvl w:val="0"/>
          <w:numId w:val="2"/>
        </w:numPr>
        <w:spacing w:before="60" w:after="60"/>
      </w:pPr>
      <w:r>
        <w:rPr>
          <w:rFonts w:ascii="Arial" w:cs="Arial" w:eastAsia="Arial" w:hAnsi="Arial"/>
          <w:b w:val="false"/>
          <w:bCs w:val="false"/>
          <w:color w:val="1A1A1A"/>
          <w:sz w:val="22"/>
          <w:szCs w:val="22"/>
        </w:rPr>
        <w:t xml:space="preserve">env.SCHEMA_REGISTRY_URL: injected via Kubernetes ConfigMap</w:t>
      </w:r>
    </w:p>
    <w:p>
      <w:pPr>
        <w:spacing w:before="100" w:after="0"/>
      </w:pPr>
      <w:r>
        <w:t xml:space="preserve"/>
      </w:r>
    </w:p>
    <w:p>
      <w:pPr>
        <w:pStyle w:val="Heading2"/>
        <w:spacing w:before="260" w:after="80"/>
      </w:pPr>
      <w:r>
        <w:rPr>
          <w:rFonts w:ascii="Arial" w:cs="Arial" w:eastAsia="Arial" w:hAnsi="Arial"/>
          <w:b/>
          <w:bCs/>
          <w:color w:val="1A3A6B"/>
          <w:sz w:val="28"/>
          <w:szCs w:val="28"/>
        </w:rPr>
        <w:t xml:space="preserve">CI/CD Pipeline Stages</w:t>
      </w:r>
    </w:p>
    <w:p>
      <w:pPr>
        <w:spacing w:before="60" w:after="0"/>
      </w:pPr>
      <w:r>
        <w:t xml:space="preserve"/>
      </w:r>
    </w:p>
    <w:p>
      <w:pPr>
        <w:pStyle w:val="ListParagraph"/>
        <w:numPr>
          <w:ilvl w:val="0"/>
          <w:numId w:val="2"/>
        </w:numPr>
        <w:spacing w:before="60" w:after="60"/>
      </w:pPr>
      <w:r>
        <w:rPr>
          <w:rFonts w:ascii="Arial" w:cs="Arial" w:eastAsia="Arial" w:hAnsi="Arial"/>
          <w:b w:val="false"/>
          <w:bCs w:val="false"/>
          <w:color w:val="1A1A1A"/>
          <w:sz w:val="22"/>
          <w:szCs w:val="22"/>
        </w:rPr>
        <w:t xml:space="preserve">lint → unit-test → trivy-scan → docker-build → harbor-push → helm-deploy</w:t>
      </w:r>
    </w:p>
    <w:p>
      <w:pPr>
        <w:pStyle w:val="ListParagraph"/>
        <w:numPr>
          <w:ilvl w:val="0"/>
          <w:numId w:val="2"/>
        </w:numPr>
        <w:spacing w:before="60" w:after="60"/>
      </w:pPr>
      <w:r>
        <w:rPr>
          <w:rFonts w:ascii="Arial" w:cs="Arial" w:eastAsia="Arial" w:hAnsi="Arial"/>
          <w:b w:val="false"/>
          <w:bCs w:val="false"/>
          <w:color w:val="1A1A1A"/>
          <w:sz w:val="22"/>
          <w:szCs w:val="22"/>
        </w:rPr>
        <w:t xml:space="preserve">Trivy blocks deployment on CRITICAL or HIGH CVE in image</w:t>
      </w:r>
    </w:p>
    <w:p>
      <w:pPr>
        <w:pStyle w:val="ListParagraph"/>
        <w:numPr>
          <w:ilvl w:val="0"/>
          <w:numId w:val="2"/>
        </w:numPr>
        <w:spacing w:before="60" w:after="60"/>
      </w:pPr>
      <w:r>
        <w:rPr>
          <w:rFonts w:ascii="Arial" w:cs="Arial" w:eastAsia="Arial" w:hAnsi="Arial"/>
          <w:b w:val="false"/>
          <w:bCs w:val="false"/>
          <w:color w:val="1A1A1A"/>
          <w:sz w:val="22"/>
          <w:szCs w:val="22"/>
        </w:rPr>
        <w:t xml:space="preserve">Post-deploy smoke test: GET /api/v1/health returns 200 with Kafka consumer lag = 0 and Qdrant status = OK</w:t>
      </w:r>
    </w:p>
    <w:p>
      <w:pPr>
        <w:spacing w:before="160" w:after="0"/>
      </w:pPr>
      <w:r>
        <w:t xml:space="preserve"/>
      </w:r>
    </w:p>
    <w:p>
      <w:pPr>
        <w:pBdr>
          <w:bottom w:val="single" w:color="BFCBEE" w:sz="6" w:space="1"/>
        </w:pBdr>
        <w:spacing w:before="80" w:after="100"/>
      </w:pPr>
    </w:p>
    <w:p>
      <w:pPr>
        <w:spacing w:before="120" w:after="60"/>
        <w:jc w:val="center"/>
      </w:pPr>
      <w:r>
        <w:rPr>
          <w:rFonts w:ascii="Arial" w:cs="Arial" w:eastAsia="Arial" w:hAnsi="Arial"/>
          <w:i/>
          <w:iCs/>
          <w:color w:val="4A4A4A"/>
          <w:sz w:val="18"/>
          <w:szCs w:val="18"/>
        </w:rPr>
        <w:t xml:space="preserve">Ecoskiller Platform Engineering · idea-similarity-detector · Technical Reference v1.0 · March 2026</w:t>
      </w:r>
    </w:p>
    <w:p>
      <w:pPr>
        <w:jc w:val="center"/>
      </w:pPr>
      <w:r>
        <w:rPr>
          <w:rFonts w:ascii="Arial" w:cs="Arial" w:eastAsia="Arial" w:hAnsi="Arial"/>
          <w:i/>
          <w:iCs/>
          <w:color w:val="4A4A4A"/>
          <w:sz w:val="17"/>
          <w:szCs w:val="17"/>
        </w:rPr>
        <w:t xml:space="preserve">This document is generated from the Ecoskiller infrastructure specification and is intended for internal platform engineering use.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BEE" w:sz="4"/>
      </w:pBdr>
      <w:tabs>
        <w:tab w:val="right" w:pos="9360"/>
      </w:tabs>
      <w:spacing w:before="100"/>
    </w:pPr>
    <w:r>
      <w:rPr>
        <w:rFonts w:ascii="Arial" w:cs="Arial" w:eastAsia="Arial" w:hAnsi="Arial"/>
        <w:color w:val="4A4A4A"/>
        <w:sz w:val="18"/>
        <w:szCs w:val="18"/>
      </w:rPr>
      <w:t xml:space="preserve">Ecoskiller Platform Engineering  ·  Confidential</w:t>
    </w:r>
    <w:r>
      <w:rPr>
        <w:rFonts w:ascii="Arial" w:cs="Arial" w:eastAsia="Arial" w:hAnsi="Arial"/>
        <w:color w:val="4A4A4A"/>
        <w:sz w:val="18"/>
        <w:szCs w:val="18"/>
      </w:rPr>
      <w:t xml:space="preserve">	Page </w:t>
    </w:r>
    <w:r>
      <w:rPr>
        <w:rFonts w:ascii="Arial" w:cs="Arial" w:eastAsia="Arial" w:hAnsi="Arial"/>
        <w:color w:val="4A4A4A"/>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BEE" w:sz="4"/>
      </w:pBdr>
      <w:spacing w:after="100"/>
    </w:pPr>
    <w:r>
      <w:rPr>
        <w:rFonts w:ascii="Arial" w:cs="Arial" w:eastAsia="Arial" w:hAnsi="Arial"/>
        <w:b/>
        <w:bCs/>
        <w:color w:val="1A3A6B"/>
        <w:sz w:val="18"/>
        <w:szCs w:val="18"/>
      </w:rPr>
      <w:t xml:space="preserve">ECOSKILLER  ·  </w:t>
    </w:r>
    <w:r>
      <w:rPr>
        <w:rFonts w:ascii="Arial" w:cs="Arial" w:eastAsia="Arial" w:hAnsi="Arial"/>
        <w:color w:val="4A4A4A"/>
        <w:sz w:val="18"/>
        <w:szCs w:val="18"/>
      </w:rPr>
      <w:t xml:space="preserve">idea-similarity-detector  ·  Technical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9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00"/>
      <w:outlineLvl w:val="0"/>
    </w:pPr>
    <w:rPr>
      <w:rFonts w:ascii="Arial" w:cs="Arial" w:eastAsia="Arial" w:hAnsi="Arial"/>
      <w:b/>
      <w:bCs/>
      <w:color w:val="0F1E40"/>
      <w:sz w:val="36"/>
      <w:szCs w:val="36"/>
    </w:rPr>
  </w:style>
  <w:style w:type="paragraph" w:styleId="Heading2">
    <w:name w:val="Heading 2"/>
    <w:basedOn w:val="Normal"/>
    <w:next w:val="Normal"/>
    <w:qFormat/>
    <w:pPr>
      <w:spacing w:before="260" w:after="80"/>
      <w:outlineLvl w:val="1"/>
    </w:pPr>
    <w:rPr>
      <w:rFonts w:ascii="Arial" w:cs="Arial" w:eastAsia="Arial" w:hAnsi="Arial"/>
      <w:b/>
      <w:bCs/>
      <w:color w:val="1A3A6B"/>
      <w:sz w:val="28"/>
      <w:szCs w:val="28"/>
    </w:rPr>
  </w:style>
  <w:style w:type="paragraph" w:styleId="Heading3">
    <w:name w:val="Heading 3"/>
    <w:basedOn w:val="Normal"/>
    <w:next w:val="Normal"/>
    <w:qFormat/>
    <w:pPr>
      <w:spacing w:before="180" w:after="60"/>
      <w:outlineLvl w:val="2"/>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2026-03-10T06:16:16.585Z</dcterms:created>
  <dcterms:modified xsi:type="dcterms:W3CDTF">2026-03-10T06:16:16.586Z</dcterms:modified>
</cp:coreProperties>
</file>

<file path=docProps/custom.xml><?xml version="1.0" encoding="utf-8"?>
<Properties xmlns="http://schemas.openxmlformats.org/officeDocument/2006/custom-properties" xmlns:vt="http://schemas.openxmlformats.org/officeDocument/2006/docPropsVTypes"/>
</file>