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rPr>
          <w:rFonts w:ascii="Arial" w:cs="Arial" w:eastAsia="Arial" w:hAnsi="Arial"/>
          <w:color w:val="1C2331"/>
          <w:sz w:val="22"/>
          <w:szCs w:val="22"/>
        </w:rPr>
        <w:t xml:space="preserve"/>
      </w:r>
    </w:p>
    <w:p>
      <w:pPr>
        <w:spacing w:before="0" w:after="40"/>
        <w:jc w:val="center"/>
      </w:pPr>
      <w:r>
        <w:rPr>
          <w:rFonts w:ascii="Arial" w:cs="Arial" w:eastAsia="Arial" w:hAnsi="Arial"/>
          <w:b/>
          <w:bCs/>
          <w:color w:val="2E3A8C"/>
          <w:sz w:val="80"/>
          <w:szCs w:val="80"/>
        </w:rPr>
        <w:t xml:space="preserve">ECOSKILLER</w:t>
      </w:r>
    </w:p>
    <w:p>
      <w:pPr>
        <w:spacing w:before="0" w:after="60"/>
        <w:jc w:val="center"/>
      </w:pPr>
      <w:r>
        <w:rPr>
          <w:rFonts w:ascii="Arial" w:cs="Arial" w:eastAsia="Arial" w:hAnsi="Arial"/>
          <w:b/>
          <w:bCs/>
          <w:color w:val="0D2B55"/>
          <w:sz w:val="52"/>
          <w:szCs w:val="52"/>
        </w:rPr>
        <w:t xml:space="preserve">MODULE 11</w:t>
      </w:r>
    </w:p>
    <w:p>
      <w:pPr>
        <w:pBdr>
          <w:bottom w:val="single" w:color="2E3A8C" w:sz="12" w:space="8"/>
        </w:pBdr>
        <w:spacing w:before="0" w:after="80"/>
        <w:jc w:val="center"/>
      </w:pPr>
      <w:r>
        <w:rPr>
          <w:rFonts w:ascii="Arial" w:cs="Arial" w:eastAsia="Arial" w:hAnsi="Arial"/>
          <w:b/>
          <w:bCs/>
          <w:color w:val="2E3A8C"/>
          <w:sz w:val="44"/>
          <w:szCs w:val="44"/>
        </w:rPr>
        <w:t xml:space="preserve">Intelligence Discovery System</w:t>
      </w:r>
    </w:p>
    <w:p>
      <w:pPr>
        <w:spacing w:before="100" w:after="0"/>
      </w:pPr>
      <w:r>
        <w:rPr>
          <w:rFonts w:ascii="Arial" w:cs="Arial" w:eastAsia="Arial" w:hAnsi="Arial"/>
          <w:color w:val="1C2331"/>
          <w:sz w:val="22"/>
          <w:szCs w:val="22"/>
        </w:rPr>
        <w:t xml:space="preserve"/>
      </w:r>
    </w:p>
    <w:p>
      <w:pPr>
        <w:spacing w:before="0" w:after="160"/>
        <w:jc w:val="center"/>
      </w:pPr>
      <w:r>
        <w:rPr>
          <w:rFonts w:ascii="Arial" w:cs="Arial" w:eastAsia="Arial" w:hAnsi="Arial"/>
          <w:i/>
          <w:iCs/>
          <w:color w:val="2E3F52"/>
          <w:sz w:val="28"/>
          <w:szCs w:val="28"/>
        </w:rPr>
        <w:t xml:space="preserve">In-Depth Feature Reference for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999999" w:sz="1"/>
              <w:left w:val="single" w:color="999999" w:sz="1"/>
              <w:bottom w:val="single" w:color="999999" w:sz="1"/>
              <w:right w:val="single" w:color="999999" w:sz="1"/>
            </w:tcBorders>
            <w:shd w:fill="2E3A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F01: Intelligence Test</w:t>
            </w:r>
          </w:p>
        </w:tc>
        <w:tc>
          <w:tcPr>
            <w:tcW w:type="dxa" w:w="1872"/>
            <w:tcBorders>
              <w:top w:val="single" w:color="999999" w:sz="1"/>
              <w:left w:val="single" w:color="999999" w:sz="1"/>
              <w:bottom w:val="single" w:color="999999" w:sz="1"/>
              <w:right w:val="single" w:color="999999" w:sz="1"/>
            </w:tcBorders>
            <w:shd w:fill="2E3A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F02: Personality Analysis</w:t>
            </w:r>
          </w:p>
        </w:tc>
        <w:tc>
          <w:tcPr>
            <w:tcW w:type="dxa" w:w="1872"/>
            <w:tcBorders>
              <w:top w:val="single" w:color="999999" w:sz="1"/>
              <w:left w:val="single" w:color="999999" w:sz="1"/>
              <w:bottom w:val="single" w:color="999999" w:sz="1"/>
              <w:right w:val="single" w:color="999999" w:sz="1"/>
            </w:tcBorders>
            <w:shd w:fill="2E3A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F03: Career Aptitude</w:t>
            </w:r>
          </w:p>
        </w:tc>
        <w:tc>
          <w:tcPr>
            <w:tcW w:type="dxa" w:w="1872"/>
            <w:tcBorders>
              <w:top w:val="single" w:color="999999" w:sz="1"/>
              <w:left w:val="single" w:color="999999" w:sz="1"/>
              <w:bottom w:val="single" w:color="999999" w:sz="1"/>
              <w:right w:val="single" w:color="999999" w:sz="1"/>
            </w:tcBorders>
            <w:shd w:fill="2E3A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F04: Skill Discovery</w:t>
            </w:r>
          </w:p>
        </w:tc>
        <w:tc>
          <w:tcPr>
            <w:tcW w:type="dxa" w:w="1872"/>
            <w:tcBorders>
              <w:top w:val="single" w:color="999999" w:sz="1"/>
              <w:left w:val="single" w:color="999999" w:sz="1"/>
              <w:bottom w:val="single" w:color="999999" w:sz="1"/>
              <w:right w:val="single" w:color="999999" w:sz="1"/>
            </w:tcBorders>
            <w:shd w:fill="2E3A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F05: AI Career Recs</w:t>
            </w:r>
          </w:p>
        </w:tc>
      </w:tr>
      <w:tr>
        <w:tc>
          <w:tcPr>
            <w:tcW w:type="dxa" w:w="187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8-Intelligence Framework</w:t>
            </w:r>
          </w:p>
        </w:tc>
        <w:tc>
          <w:tcPr>
            <w:tcW w:type="dxa" w:w="187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Behavioral + Trait Model</w:t>
            </w:r>
          </w:p>
        </w:tc>
        <w:tc>
          <w:tcPr>
            <w:tcW w:type="dxa" w:w="187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Holland RIASEC Model</w:t>
            </w:r>
          </w:p>
        </w:tc>
        <w:tc>
          <w:tcPr>
            <w:tcW w:type="dxa" w:w="187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Questionnaire Engine</w:t>
            </w:r>
          </w:p>
        </w:tc>
        <w:tc>
          <w:tcPr>
            <w:tcW w:type="dxa" w:w="187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ANTIGRAVITY ASRA Engine</w:t>
            </w:r>
          </w:p>
        </w:tc>
      </w:tr>
      <w:tr>
        <w:trPr>
          <w:tblHeader/>
        </w:trPr>
        <w:tc>
          <w:tcPr>
            <w:tcW w:type="dxa" w:w="1872"/>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F06: Strength/Weakness</w:t>
            </w:r>
          </w:p>
        </w:tc>
        <w:tc>
          <w:tcPr>
            <w:tcW w:type="dxa" w:w="1872"/>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F07: Learning Path</w:t>
            </w:r>
          </w:p>
        </w:tc>
        <w:tc>
          <w:tcPr>
            <w:tcW w:type="dxa" w:w="1872"/>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F08: Career Roadmap</w:t>
            </w:r>
          </w:p>
        </w:tc>
        <w:tc>
          <w:tcPr>
            <w:tcW w:type="dxa" w:w="1872"/>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F09: Intelligence Report</w:t>
            </w:r>
          </w:p>
        </w:tc>
        <w:tc>
          <w:tcPr>
            <w:tcW w:type="dxa" w:w="1872"/>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F10: Mentor Matching</w:t>
            </w:r>
          </w:p>
        </w:tc>
      </w:tr>
      <w:tr>
        <w:tc>
          <w:tcPr>
            <w:tcW w:type="dxa" w:w="187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Comparative Benchmarking</w:t>
            </w:r>
          </w:p>
        </w:tc>
        <w:tc>
          <w:tcPr>
            <w:tcW w:type="dxa" w:w="187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DAG Path Engine (ALPA)</w:t>
            </w:r>
          </w:p>
        </w:tc>
        <w:tc>
          <w:tcPr>
            <w:tcW w:type="dxa" w:w="187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4-Horizon Planning</w:t>
            </w:r>
          </w:p>
        </w:tc>
        <w:tc>
          <w:tcPr>
            <w:tcW w:type="dxa" w:w="187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PDF Report Generator</w:t>
            </w:r>
          </w:p>
        </w:tc>
        <w:tc>
          <w:tcPr>
            <w:tcW w:type="dxa" w:w="187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Trust-Gated MMA Agent</w:t>
            </w:r>
          </w:p>
        </w:tc>
      </w:tr>
    </w:tbl>
    <w:p>
      <w:pPr>
        <w:spacing w:before="280" w:after="0"/>
      </w:pPr>
      <w:r>
        <w:rPr>
          <w:rFonts w:ascii="Arial" w:cs="Arial" w:eastAsia="Arial" w:hAnsi="Arial"/>
          <w:color w:val="1C2331"/>
          <w:sz w:val="22"/>
          <w:szCs w:val="22"/>
        </w:rPr>
        <w:t xml:space="preserve"/>
      </w:r>
    </w:p>
    <w:p>
      <w:pPr>
        <w:jc w:val="center"/>
      </w:pPr>
      <w:r>
        <w:rPr>
          <w:rFonts w:ascii="Arial" w:cs="Arial" w:eastAsia="Arial" w:hAnsi="Arial"/>
          <w:i/>
          <w:iCs/>
          <w:color w:val="2E3A8C"/>
          <w:sz w:val="24"/>
          <w:szCs w:val="24"/>
        </w:rPr>
        <w:t xml:space="preserve">Know Yourself. Map Your Strengths. Own Your Future.</w:t>
      </w:r>
    </w:p>
    <w:p>
      <w:pPr>
        <w:spacing w:before="120" w:after="0"/>
      </w:pPr>
      <w:r>
        <w:rPr>
          <w:rFonts w:ascii="Arial" w:cs="Arial" w:eastAsia="Arial" w:hAnsi="Arial"/>
          <w:color w:val="1C2331"/>
          <w:sz w:val="22"/>
          <w:szCs w:val="22"/>
        </w:rPr>
        <w:t xml:space="preserve"/>
      </w:r>
    </w:p>
    <w:p>
      <w:pPr>
        <w:jc w:val="center"/>
      </w:pPr>
      <w:r>
        <w:rPr>
          <w:rFonts w:ascii="Arial" w:cs="Arial" w:eastAsia="Arial" w:hAnsi="Arial"/>
          <w:color w:val="777777"/>
          <w:sz w:val="20"/>
          <w:szCs w:val="20"/>
        </w:rPr>
        <w:t xml:space="preserve">Powered by ANTIGRAVITY Intelligence Engine  |  Version 1.0  |  March 2026</w:t>
      </w:r>
    </w:p>
    <w:p>
      <w:pPr>
        <w:spacing w:before="400" w:after="0"/>
      </w:pPr>
      <w:r>
        <w:rPr>
          <w:rFonts w:ascii="Arial" w:cs="Arial" w:eastAsia="Arial" w:hAnsi="Arial"/>
          <w:color w:val="1C2331"/>
          <w:sz w:val="22"/>
          <w:szCs w:val="22"/>
        </w:rPr>
        <w:t xml:space="preserve"/>
      </w:r>
    </w:p>
    <w:p>
      <w:r>
        <w:br w:type="page"/>
      </w:r>
    </w:p>
    <w:p>
      <w:pPr>
        <w:pStyle w:val="Heading1"/>
        <w:pBdr>
          <w:bottom w:val="single" w:color="0D2B55" w:sz="10" w:space="4"/>
        </w:pBdr>
        <w:spacing w:before="400" w:after="200"/>
      </w:pPr>
      <w:r>
        <w:rPr>
          <w:rFonts w:ascii="Arial" w:cs="Arial" w:eastAsia="Arial" w:hAnsi="Arial"/>
          <w:b/>
          <w:bCs/>
          <w:color w:val="0D2B55"/>
          <w:sz w:val="40"/>
          <w:szCs w:val="40"/>
        </w:rPr>
        <w:t xml:space="preserve">Module 11: Intelligence Discovery — Overview</w:t>
      </w:r>
    </w:p>
    <w:p>
      <w:pPr>
        <w:spacing w:before="60" w:after="80"/>
      </w:pPr>
      <w:r>
        <w:rPr>
          <w:rFonts w:ascii="Arial" w:cs="Arial" w:eastAsia="Arial" w:hAnsi="Arial"/>
          <w:color w:val="1C2331"/>
          <w:sz w:val="22"/>
          <w:szCs w:val="22"/>
        </w:rPr>
        <w:t xml:space="preserve">The Intelligence Discovery module is EcoSkiller's foundational self-knowledge system. It answers the most important question a candidate can ask at the beginning of their career: Who am I, where do my natural strengths lie, and what does my ideal career path look like? Unlike standard academic assessment that measures only what a student knows, Intelligence Discovery measures who a student is — their natural intelligence profile, behavioral tendencies, cognitive style, and latent interests — and translates that self-knowledge into actionable, AI-computed career direction.</w:t>
      </w:r>
    </w:p>
    <w:p>
      <w:pPr>
        <w:spacing w:before="60" w:after="0"/>
      </w:pPr>
      <w:r>
        <w:rPr>
          <w:rFonts w:ascii="Arial" w:cs="Arial" w:eastAsia="Arial" w:hAnsi="Arial"/>
          <w:color w:val="1C2331"/>
          <w:sz w:val="22"/>
          <w:szCs w:val="22"/>
        </w:rPr>
        <w:t xml:space="preserve"/>
      </w:r>
    </w:p>
    <w:p>
      <w:pPr>
        <w:spacing w:before="60" w:after="80"/>
      </w:pPr>
      <w:r>
        <w:rPr>
          <w:rFonts w:ascii="Arial" w:cs="Arial" w:eastAsia="Arial" w:hAnsi="Arial"/>
          <w:color w:val="1C2331"/>
          <w:sz w:val="22"/>
          <w:szCs w:val="22"/>
        </w:rPr>
        <w:t xml:space="preserve">The module is built on three scientific frameworks: Howard Gardner's Theory of Multiple Intelligences (8-type), Holland's RIASEC Career Interest Model, and the EcoSkiller Behavioral Trait Engine. Together they produce the Intelligence DNA Vector — a permanent, cryptographically signed profile that powers every AI recommendation, learning path construction, mentor match, and career roadmap generated for the candidate across their entire lifetime on the platform.</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Module Position in the Platform Architecture</w:t>
      </w:r>
    </w:p>
    <w:p>
      <w:pPr>
        <w:spacing w:before="60" w:after="80"/>
      </w:pPr>
      <w:r>
        <w:rPr>
          <w:rFonts w:ascii="Arial" w:cs="Arial" w:eastAsia="Arial" w:hAnsi="Arial"/>
          <w:color w:val="1C2331"/>
          <w:sz w:val="22"/>
          <w:szCs w:val="22"/>
        </w:rPr>
        <w:t xml:space="preserve">Intelligence Discovery is the entry gate of Lane F (Intelligence) in EcoSkiller's parallel execution architecture. Every AI system downstream — the Adaptive Learning Path Agent (ALPA), the AI-Based Skill Recommendation Agent (ASRA), the Mentor Matching Agent (MMA), and the Career Roadmap Engine — consumes the Intelligence DNA Vector as its highest-weighted input (W1 = 0.22 in the Skill Gravity Score formula). Without a completed Intelligence Discovery assessment, these downstream systems operate at reduced precision.</w:t>
      </w:r>
    </w:p>
    <w:p>
      <w:pPr>
        <w:spacing w:before="60" w:after="0"/>
      </w:pPr>
      <w:r>
        <w:rPr>
          <w:rFonts w:ascii="Arial" w:cs="Arial" w:eastAsia="Arial" w:hAnsi="Arial"/>
          <w:color w:val="1C23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Layer</w:t>
            </w:r>
          </w:p>
        </w:tc>
        <w:tc>
          <w:tcPr>
            <w:tcW w:type="dxa" w:w="348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368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Depends on Intelligence Discovery</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Signal Input</w:t>
            </w:r>
          </w:p>
        </w:tc>
        <w:tc>
          <w:tcPr>
            <w:tcW w:type="dxa" w:w="3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Intelligence DNA Vector (PSIG-02)</w:t>
            </w:r>
          </w:p>
        </w:tc>
        <w:tc>
          <w:tcPr>
            <w:tcW w:type="dxa" w:w="3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Critical — highest weight signal in all AI engines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Path Construction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ALPA path node weighting matrix</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Intelligence type determines which learning modality gets prioritized</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Skill Recommendation</w:t>
            </w:r>
          </w:p>
        </w:tc>
        <w:tc>
          <w:tcPr>
            <w:tcW w:type="dxa" w:w="3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ASRA Skill Gravity Score</w:t>
            </w:r>
          </w:p>
        </w:tc>
        <w:tc>
          <w:tcPr>
            <w:tcW w:type="dxa" w:w="3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Intelligence alignment score (W1 = 22% of all recommendations)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Mentor Matching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MMA domain + style alignment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Mentor type selection weighted by candidate intelligence profile</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Career Roadmap</w:t>
            </w:r>
          </w:p>
        </w:tc>
        <w:tc>
          <w:tcPr>
            <w:tcW w:type="dxa" w:w="3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Career Roadmap Engine</w:t>
            </w:r>
          </w:p>
        </w:tc>
        <w:tc>
          <w:tcPr>
            <w:tcW w:type="dxa" w:w="3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4-horizon plan anchored to dominant intelligence types and RIASEC profile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Report Generation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Intelligence Report PDF</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Synthesizes all assessment outputs into a shareable, verifiable document</w:t>
            </w:r>
          </w:p>
        </w:tc>
      </w:tr>
    </w:tbl>
    <w:p>
      <w:pPr>
        <w:spacing w:before="160" w:after="0"/>
      </w:pPr>
      <w:r>
        <w:rPr>
          <w:rFonts w:ascii="Arial" w:cs="Arial" w:eastAsia="Arial" w:hAnsi="Arial"/>
          <w:color w:val="1C2331"/>
          <w:sz w:val="22"/>
          <w:szCs w:val="22"/>
        </w:rPr>
        <w:t xml:space="preserve"/>
      </w:r>
    </w:p>
    <w:p>
      <w:r>
        <w:br w:type="page"/>
      </w:r>
    </w:p>
    <w:p>
      <w:pPr>
        <w:pStyle w:val="Heading1"/>
        <w:pBdr>
          <w:bottom w:val="single" w:color="0D2B55" w:sz="10" w:space="4"/>
        </w:pBdr>
        <w:spacing w:before="400" w:after="200"/>
      </w:pPr>
      <w:r>
        <w:rPr>
          <w:rFonts w:ascii="Arial" w:cs="Arial" w:eastAsia="Arial" w:hAnsi="Arial"/>
          <w:b/>
          <w:bCs/>
          <w:color w:val="0D2B55"/>
          <w:sz w:val="40"/>
          <w:szCs w:val="40"/>
        </w:rPr>
        <w:t xml:space="preserve">Feature 01 — Intelligence Assessment Tests</w:t>
      </w:r>
    </w:p>
    <w:p>
      <w:pPr>
        <w:spacing w:before="60" w:after="80"/>
      </w:pPr>
      <w:r>
        <w:rPr>
          <w:rFonts w:ascii="Arial" w:cs="Arial" w:eastAsia="Arial" w:hAnsi="Arial"/>
          <w:color w:val="1C2331"/>
          <w:sz w:val="22"/>
          <w:szCs w:val="22"/>
        </w:rPr>
        <w:t xml:space="preserve">The Intelligence Assessment Test is the first and most fundamental activity in the Intelligence Discovery module. It is a scientifically structured psychometric evaluation that identifies a candidate's dominant intelligence profile across all 8 intelligence types defined by Howard Gardner's Multiple Intelligences theory. The assessment is not a knowledge quiz — it is a behavioral and cognitive preference inventory that reveals how a person naturally thinks, learns, and solves problems.</w:t>
      </w:r>
    </w:p>
    <w:p>
      <w:pPr>
        <w:spacing w:before="6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1.1 Scientific Framework — Howard Gardner's 8 Intelligences</w:t>
      </w:r>
    </w:p>
    <w:p>
      <w:pPr>
        <w:spacing w:before="60" w:after="80"/>
      </w:pPr>
      <w:r>
        <w:rPr>
          <w:rFonts w:ascii="Arial" w:cs="Arial" w:eastAsia="Arial" w:hAnsi="Arial"/>
          <w:color w:val="1C2331"/>
          <w:sz w:val="22"/>
          <w:szCs w:val="22"/>
        </w:rPr>
        <w:t xml:space="preserve">Gardner's theory rejects the idea of a single general intelligence (IQ) and instead defines 8 distinct types of intelligence, each representing a different way of processing information and engaging with the world. EcoSkiller's assessment engine measures all 8, produces a scored profile, and identifies the dominant 1–3 types that should anchor the candidate's learning and career strategy.</w:t>
      </w:r>
    </w:p>
    <w:p>
      <w:pPr>
        <w:spacing w:before="60" w:after="0"/>
      </w:pPr>
      <w:r>
        <w:rPr>
          <w:rFonts w:ascii="Arial" w:cs="Arial" w:eastAsia="Arial" w:hAnsi="Arial"/>
          <w:color w:val="1C23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160"/>
        <w:gridCol w:w="2800"/>
      </w:tblGrid>
      <w:tr>
        <w:trPr>
          <w:tblHeader/>
        </w:trPr>
        <w:tc>
          <w:tcPr>
            <w:tcW w:type="dxa" w:w="20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Intelligence Type</w:t>
            </w:r>
          </w:p>
        </w:tc>
        <w:tc>
          <w:tcPr>
            <w:tcW w:type="dxa" w:w="14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Abbrev.</w:t>
            </w:r>
          </w:p>
        </w:tc>
        <w:tc>
          <w:tcPr>
            <w:tcW w:type="dxa" w:w="316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Core Ability</w:t>
            </w:r>
          </w:p>
        </w:tc>
        <w:tc>
          <w:tcPr>
            <w:tcW w:type="dxa" w:w="28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Career Domains</w:t>
            </w:r>
          </w:p>
        </w:tc>
      </w:tr>
      <w:tr>
        <w:tc>
          <w:tcPr>
            <w:tcW w:type="dxa" w:w="20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1. Logical-Mathematical</w:t>
            </w:r>
          </w:p>
        </w:tc>
        <w:tc>
          <w:tcPr>
            <w:tcW w:type="dxa" w:w="14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L-M</w:t>
            </w:r>
          </w:p>
        </w:tc>
        <w:tc>
          <w:tcPr>
            <w:tcW w:type="dxa" w:w="316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Reasoning with patterns, numbers, and logical structures; solving abstract problems systematically</w:t>
            </w:r>
          </w:p>
        </w:tc>
        <w:tc>
          <w:tcPr>
            <w:tcW w:type="dxa" w:w="28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Software Engineering, Data Science, Finance, Research, Actuarial, Systems Architecture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2. Linguistic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LNG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Using language with precision — spoken and written; storytelling, argumentation, communication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Law, Journalism, Content Writing, Teaching, Public Relations, Policy, Marketing</w:t>
            </w:r>
          </w:p>
        </w:tc>
      </w:tr>
      <w:tr>
        <w:tc>
          <w:tcPr>
            <w:tcW w:type="dxa" w:w="20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3. Spatial</w:t>
            </w:r>
          </w:p>
        </w:tc>
        <w:tc>
          <w:tcPr>
            <w:tcW w:type="dxa" w:w="14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SPA</w:t>
            </w:r>
          </w:p>
        </w:tc>
        <w:tc>
          <w:tcPr>
            <w:tcW w:type="dxa" w:w="316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Thinking in three dimensions; visualizing, navigating, and transforming space</w:t>
            </w:r>
          </w:p>
        </w:tc>
        <w:tc>
          <w:tcPr>
            <w:tcW w:type="dxa" w:w="28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Architecture, UI/UX Design, Graphic Design, Urban Planning, Surgery, Film Direction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4. Musical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MUS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Sensitivity to rhythm, pitch, tone, and pattern in sound; musical structure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Music Production, Sound Engineering, Audio Design, Brand Identity, Accessibility Design</w:t>
            </w:r>
          </w:p>
        </w:tc>
      </w:tr>
      <w:tr>
        <w:tc>
          <w:tcPr>
            <w:tcW w:type="dxa" w:w="20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5. Bodily-Kinesthetic</w:t>
            </w:r>
          </w:p>
        </w:tc>
        <w:tc>
          <w:tcPr>
            <w:tcW w:type="dxa" w:w="14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B-K</w:t>
            </w:r>
          </w:p>
        </w:tc>
        <w:tc>
          <w:tcPr>
            <w:tcW w:type="dxa" w:w="316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Skillful control of one's body and objects; learning by doing; physical coordination</w:t>
            </w:r>
          </w:p>
        </w:tc>
        <w:tc>
          <w:tcPr>
            <w:tcW w:type="dxa" w:w="28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Sports, Surgery, Physical Therapy, Manufacturing, Craft Design, Construction, Training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6. Interpersonal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INT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Understanding others' motivations, moods, and intentions; working in teams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HR, Sales, Management, Counseling, Social Work, Politics, Customer Success, Mentoring</w:t>
            </w:r>
          </w:p>
        </w:tc>
      </w:tr>
      <w:tr>
        <w:tc>
          <w:tcPr>
            <w:tcW w:type="dxa" w:w="20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7. Intrapersonal</w:t>
            </w:r>
          </w:p>
        </w:tc>
        <w:tc>
          <w:tcPr>
            <w:tcW w:type="dxa" w:w="14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INTRA</w:t>
            </w:r>
          </w:p>
        </w:tc>
        <w:tc>
          <w:tcPr>
            <w:tcW w:type="dxa" w:w="316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Self-knowledge; understanding one's own emotions, strengths, limits, and drives</w:t>
            </w:r>
          </w:p>
        </w:tc>
        <w:tc>
          <w:tcPr>
            <w:tcW w:type="dxa" w:w="28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Entrepreneurship, Psychology, Coaching, Executive Leadership, Research, Creative Direction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8. Naturalist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NAT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Recognizing and classifying patterns in nature and the environment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Biology, Environmental Science, Agriculture, Ecology, Food Science, Veterinary, Field Research</w:t>
            </w:r>
          </w:p>
        </w:tc>
      </w:tr>
    </w:tbl>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1.2 Assessment Structure — How the Test Works</w:t>
      </w:r>
    </w:p>
    <w:p>
      <w:pPr>
        <w:spacing w:before="60" w:after="80"/>
      </w:pPr>
      <w:r>
        <w:rPr>
          <w:rFonts w:ascii="Arial" w:cs="Arial" w:eastAsia="Arial" w:hAnsi="Arial"/>
          <w:color w:val="1C2331"/>
          <w:sz w:val="22"/>
          <w:szCs w:val="22"/>
        </w:rPr>
        <w:t xml:space="preserve">The assessment consists of three modules delivered sequentially. No module may be skipped — partial completion is flagged and the Intelligence DNA Vector is not generated until all three modules are complete.</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Module A — Scenario-Based Response Battery (40 items, ~25 minutes)</w:t>
      </w:r>
    </w:p>
    <w:p>
      <w:pPr>
        <w:spacing w:before="60" w:after="80"/>
      </w:pPr>
      <w:r>
        <w:rPr>
          <w:rFonts w:ascii="Arial" w:cs="Arial" w:eastAsia="Arial" w:hAnsi="Arial"/>
          <w:color w:val="1C2331"/>
          <w:sz w:val="22"/>
          <w:szCs w:val="22"/>
        </w:rPr>
        <w:t xml:space="preserve">Candidates are presented with 40 real-world scenarios and asked to select the response that feels most natural to them. Scenarios are designed to be domain-neutral — they do not test subject knowledge but reveal cognitive and behavioral preferences. Each scenario maps to one or more intelligence types and contributes to the candidate's raw intelligence score per type.</w:t>
      </w:r>
    </w:p>
    <w:p>
      <w:pPr>
        <w:spacing w:before="4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Each scenario has 5 response options, each weighted differently across intelligence types</w:t>
      </w:r>
    </w:p>
    <w:p>
      <w:pPr>
        <w:pStyle w:val="ListParagraph"/>
        <w:numPr>
          <w:ilvl w:val="0"/>
          <w:numId w:val="2"/>
        </w:numPr>
        <w:spacing w:before="40" w:after="55"/>
      </w:pPr>
      <w:r>
        <w:rPr>
          <w:rFonts w:ascii="Arial" w:cs="Arial" w:eastAsia="Arial" w:hAnsi="Arial"/>
          <w:color w:val="1C2331"/>
          <w:sz w:val="22"/>
          <w:szCs w:val="22"/>
        </w:rPr>
        <w:t xml:space="preserve">Candidates choose their most likely and least likely response — forced choice format prevents all-high or all-low responses</w:t>
      </w:r>
    </w:p>
    <w:p>
      <w:pPr>
        <w:pStyle w:val="ListParagraph"/>
        <w:numPr>
          <w:ilvl w:val="0"/>
          <w:numId w:val="2"/>
        </w:numPr>
        <w:spacing w:before="40" w:after="55"/>
      </w:pPr>
      <w:r>
        <w:rPr>
          <w:rFonts w:ascii="Arial" w:cs="Arial" w:eastAsia="Arial" w:hAnsi="Arial"/>
          <w:color w:val="1C2331"/>
          <w:sz w:val="22"/>
          <w:szCs w:val="22"/>
        </w:rPr>
        <w:t xml:space="preserve">Scenario examples: 'When facing a complex problem, your first instinct is to...' / 'When working in a team, you are most naturally drawn to...'</w:t>
      </w:r>
    </w:p>
    <w:p>
      <w:pPr>
        <w:pStyle w:val="ListParagraph"/>
        <w:numPr>
          <w:ilvl w:val="0"/>
          <w:numId w:val="2"/>
        </w:numPr>
        <w:spacing w:before="40" w:after="55"/>
      </w:pPr>
      <w:r>
        <w:rPr>
          <w:rFonts w:ascii="Arial" w:cs="Arial" w:eastAsia="Arial" w:hAnsi="Arial"/>
          <w:color w:val="1C2331"/>
          <w:sz w:val="22"/>
          <w:szCs w:val="22"/>
        </w:rPr>
        <w:t xml:space="preserve">Anti-response-bias protection: Item order is randomized per candidate; similar items are spread across the test to prevent pattern detection</w:t>
      </w:r>
    </w:p>
    <w:p>
      <w:pPr>
        <w:pStyle w:val="ListParagraph"/>
        <w:numPr>
          <w:ilvl w:val="0"/>
          <w:numId w:val="2"/>
        </w:numPr>
        <w:spacing w:before="40" w:after="55"/>
      </w:pPr>
      <w:r>
        <w:rPr>
          <w:rFonts w:ascii="Arial" w:cs="Arial" w:eastAsia="Arial" w:hAnsi="Arial"/>
          <w:color w:val="1C2331"/>
          <w:sz w:val="22"/>
          <w:szCs w:val="22"/>
        </w:rPr>
        <w:t xml:space="preserve">Time pressure: No time limit enforced for individual items — pace is measured passively for response quality signals</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Module B — Cognitive Task Exercises (3 tasks, ~15 minutes)</w:t>
      </w:r>
    </w:p>
    <w:p>
      <w:pPr>
        <w:spacing w:before="60" w:after="80"/>
      </w:pPr>
      <w:r>
        <w:rPr>
          <w:rFonts w:ascii="Arial" w:cs="Arial" w:eastAsia="Arial" w:hAnsi="Arial"/>
          <w:color w:val="1C2331"/>
          <w:sz w:val="22"/>
          <w:szCs w:val="22"/>
        </w:rPr>
        <w:t xml:space="preserve">Three short, non-graded cognitive tasks assess natural problem-solving approach. These are observed-process tasks — the system records not just the final answer but the sequence of steps, pause patterns, and backtracking behavior.</w:t>
      </w:r>
    </w:p>
    <w:p>
      <w:pPr>
        <w:spacing w:before="4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Task 1 — Pattern Recognition: A visual pattern completion task that measures spatial and logical-mathematical intelligence</w:t>
      </w:r>
    </w:p>
    <w:p>
      <w:pPr>
        <w:pStyle w:val="ListParagraph"/>
        <w:numPr>
          <w:ilvl w:val="0"/>
          <w:numId w:val="2"/>
        </w:numPr>
        <w:spacing w:before="40" w:after="55"/>
      </w:pPr>
      <w:r>
        <w:rPr>
          <w:rFonts w:ascii="Arial" w:cs="Arial" w:eastAsia="Arial" w:hAnsi="Arial"/>
          <w:color w:val="1C2331"/>
          <w:sz w:val="22"/>
          <w:szCs w:val="22"/>
        </w:rPr>
        <w:t xml:space="preserve">Task 2 — Verbal Analogy: A word-relationship task that measures linguistic and logical-mathematical intelligence</w:t>
      </w:r>
    </w:p>
    <w:p>
      <w:pPr>
        <w:pStyle w:val="ListParagraph"/>
        <w:numPr>
          <w:ilvl w:val="0"/>
          <w:numId w:val="2"/>
        </w:numPr>
        <w:spacing w:before="40" w:after="55"/>
      </w:pPr>
      <w:r>
        <w:rPr>
          <w:rFonts w:ascii="Arial" w:cs="Arial" w:eastAsia="Arial" w:hAnsi="Arial"/>
          <w:color w:val="1C2331"/>
          <w:sz w:val="22"/>
          <w:szCs w:val="22"/>
        </w:rPr>
        <w:t xml:space="preserve">Task 3 — Social Scenario: A multi-character scenario requiring the candidate to predict outcomes — measures interpersonal and intrapersonal intelligence</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Module C — Preference Inventory (24 items, ~10 minutes)</w:t>
      </w:r>
    </w:p>
    <w:p>
      <w:pPr>
        <w:spacing w:before="60" w:after="80"/>
      </w:pPr>
      <w:r>
        <w:rPr>
          <w:rFonts w:ascii="Arial" w:cs="Arial" w:eastAsia="Arial" w:hAnsi="Arial"/>
          <w:color w:val="1C2331"/>
          <w:sz w:val="22"/>
          <w:szCs w:val="22"/>
        </w:rPr>
        <w:t xml:space="preserve">A rapid-fire set of binary preference choices ('I prefer working with numbers vs. working with words', 'I prefer learning by reading vs. learning by doing') that calibrates and validates the raw scores from Module A and B. The inventory is used as a cross-validation layer, not a standalone measurement.</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1.3 Scoring Engine — Intelligence DNA Vector Computation</w:t>
      </w:r>
    </w:p>
    <w:p>
      <w:pPr>
        <w:spacing w:before="60" w:after="80"/>
      </w:pPr>
      <w:r>
        <w:rPr>
          <w:rFonts w:ascii="Arial" w:cs="Arial" w:eastAsia="Arial" w:hAnsi="Arial"/>
          <w:color w:val="1C2331"/>
          <w:sz w:val="22"/>
          <w:szCs w:val="22"/>
        </w:rPr>
        <w:t xml:space="preserve">After all three modules are complete, the scoring engine computes the Intelligence DNA Vector — an 8-dimensional numerical representation of the candidate's intelligence profile.</w:t>
      </w:r>
    </w:p>
    <w:p>
      <w:pPr>
        <w:spacing w:before="60" w:after="0"/>
      </w:pPr>
      <w:r>
        <w:rPr>
          <w:rFonts w:ascii="Arial" w:cs="Arial" w:eastAsia="Arial" w:hAnsi="Arial"/>
          <w:color w:val="1C2331"/>
          <w:sz w:val="22"/>
          <w:szCs w:val="22"/>
        </w:rPr>
        <w:t xml:space="preserve"/>
      </w:r>
    </w:p>
    <w:p>
      <w:pPr>
        <w:spacing w:before="60" w:after="80"/>
      </w:pPr>
      <w:r>
        <w:rPr>
          <w:rFonts w:ascii="Arial" w:cs="Arial" w:eastAsia="Arial" w:hAnsi="Arial"/>
          <w:b/>
          <w:bCs/>
          <w:color w:val="0D2B55"/>
          <w:sz w:val="22"/>
          <w:szCs w:val="22"/>
        </w:rPr>
        <w:t xml:space="preserve">Raw score normalization: </w:t>
      </w:r>
      <w:r>
        <w:rPr>
          <w:rFonts w:ascii="Arial" w:cs="Arial" w:eastAsia="Arial" w:hAnsi="Arial"/>
          <w:color w:val="1C2331"/>
          <w:sz w:val="22"/>
          <w:szCs w:val="22"/>
        </w:rPr>
        <w:t xml:space="preserve">Module A and C responses are combined per intelligence type and normalized to a 0–100 scale using a population reference distribution. Scores are calibrated against the EcoSkiller candidate population, not a general population norm</w:t>
      </w:r>
    </w:p>
    <w:p>
      <w:pPr>
        <w:spacing w:before="60" w:after="80"/>
      </w:pPr>
      <w:r>
        <w:rPr>
          <w:rFonts w:ascii="Arial" w:cs="Arial" w:eastAsia="Arial" w:hAnsi="Arial"/>
          <w:b/>
          <w:bCs/>
          <w:color w:val="0D2B55"/>
          <w:sz w:val="22"/>
          <w:szCs w:val="22"/>
        </w:rPr>
        <w:t xml:space="preserve">Cognitive task integration: </w:t>
      </w:r>
      <w:r>
        <w:rPr>
          <w:rFonts w:ascii="Arial" w:cs="Arial" w:eastAsia="Arial" w:hAnsi="Arial"/>
          <w:color w:val="1C2331"/>
          <w:sz w:val="22"/>
          <w:szCs w:val="22"/>
        </w:rPr>
        <w:t xml:space="preserve">Module B behavioral signals are translated into calibration weights per intelligence type and applied to adjust the Module A+C raw score</w:t>
      </w:r>
    </w:p>
    <w:p>
      <w:pPr>
        <w:spacing w:before="60" w:after="80"/>
      </w:pPr>
      <w:r>
        <w:rPr>
          <w:rFonts w:ascii="Arial" w:cs="Arial" w:eastAsia="Arial" w:hAnsi="Arial"/>
          <w:b/>
          <w:bCs/>
          <w:color w:val="0D2B55"/>
          <w:sz w:val="22"/>
          <w:szCs w:val="22"/>
        </w:rPr>
        <w:t xml:space="preserve">Dominant type identification: </w:t>
      </w:r>
      <w:r>
        <w:rPr>
          <w:rFonts w:ascii="Arial" w:cs="Arial" w:eastAsia="Arial" w:hAnsi="Arial"/>
          <w:color w:val="1C2331"/>
          <w:sz w:val="22"/>
          <w:szCs w:val="22"/>
        </w:rPr>
        <w:t xml:space="preserve">Intelligence types scoring above the 70th percentile for the candidate's cohort are flagged as DOMINANT (typically 1–3 types). Types scoring below the 30th percentile are flagged as DEVELOPING</w:t>
      </w:r>
    </w:p>
    <w:p>
      <w:pPr>
        <w:spacing w:before="60" w:after="80"/>
      </w:pPr>
      <w:r>
        <w:rPr>
          <w:rFonts w:ascii="Arial" w:cs="Arial" w:eastAsia="Arial" w:hAnsi="Arial"/>
          <w:b/>
          <w:bCs/>
          <w:color w:val="0D2B55"/>
          <w:sz w:val="22"/>
          <w:szCs w:val="22"/>
        </w:rPr>
        <w:t xml:space="preserve">Confidence score: </w:t>
      </w:r>
      <w:r>
        <w:rPr>
          <w:rFonts w:ascii="Arial" w:cs="Arial" w:eastAsia="Arial" w:hAnsi="Arial"/>
          <w:color w:val="1C2331"/>
          <w:sz w:val="22"/>
          <w:szCs w:val="22"/>
        </w:rPr>
        <w:t xml:space="preserve">Each type score carries a confidence interval (95% CI). Low-confidence scores (CI width &gt; 20 points) are flagged for re-assessment after 90 days of platform activity</w:t>
      </w:r>
    </w:p>
    <w:p>
      <w:pPr>
        <w:spacing w:before="60" w:after="80"/>
      </w:pPr>
      <w:r>
        <w:rPr>
          <w:rFonts w:ascii="Arial" w:cs="Arial" w:eastAsia="Arial" w:hAnsi="Arial"/>
          <w:b/>
          <w:bCs/>
          <w:color w:val="0D2B55"/>
          <w:sz w:val="22"/>
          <w:szCs w:val="22"/>
        </w:rPr>
        <w:t xml:space="preserve">DNA Vector format: </w:t>
      </w:r>
      <w:r>
        <w:rPr>
          <w:rFonts w:ascii="Arial" w:cs="Arial" w:eastAsia="Arial" w:hAnsi="Arial"/>
          <w:color w:val="1C2331"/>
          <w:sz w:val="22"/>
          <w:szCs w:val="22"/>
        </w:rPr>
        <w:t xml:space="preserve">intelligence_dna: { logical_mathematical: 78, linguistic: 61, spatial: 83, musical: 45, bodily_kinesthetic: 52, interpersonal: 69, intrapersonal: 74, naturalist: 38 }</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1.4 Adaptive Path Weighting — How Intelligence Types Shape Learning</w:t>
      </w:r>
    </w:p>
    <w:p>
      <w:pPr>
        <w:spacing w:before="60" w:after="80"/>
      </w:pPr>
      <w:r>
        <w:rPr>
          <w:rFonts w:ascii="Arial" w:cs="Arial" w:eastAsia="Arial" w:hAnsi="Arial"/>
          <w:color w:val="1C2331"/>
          <w:sz w:val="22"/>
          <w:szCs w:val="22"/>
        </w:rPr>
        <w:t xml:space="preserve">The Intelligence DNA Vector directly drives the ALPA (Adaptive Learning Path Agent) node weighting matrix. Different intelligence profiles result in different learning modality weights — a Logical-Mathematical dominant candidate gets more DOJO_MATCH and DOJO_SCENARIO nodes in their path; a Linguistic dominant candidate gets more GD_ROUND and COURSE nodes; a Bodily-Kinesthetic dominant candidate gets more PROJECT_SUBMISSION nodes.</w:t>
      </w:r>
    </w:p>
    <w:p>
      <w:pPr>
        <w:spacing w:before="60" w:after="0"/>
      </w:pPr>
      <w:r>
        <w:rPr>
          <w:rFonts w:ascii="Arial" w:cs="Arial" w:eastAsia="Arial" w:hAnsi="Arial"/>
          <w:color w:val="1C23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40"/>
        <w:gridCol w:w="950"/>
        <w:gridCol w:w="1100"/>
        <w:gridCol w:w="800"/>
        <w:gridCol w:w="900"/>
        <w:gridCol w:w="1000"/>
        <w:gridCol w:w="800"/>
        <w:gridCol w:w="970"/>
      </w:tblGrid>
      <w:tr>
        <w:trPr>
          <w:tblHeader/>
        </w:trPr>
        <w:tc>
          <w:tcPr>
            <w:tcW w:type="dxa" w:w="18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Intelligence Type</w:t>
            </w:r>
          </w:p>
        </w:tc>
        <w:tc>
          <w:tcPr>
            <w:tcW w:type="dxa" w:w="104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Course</w:t>
            </w:r>
          </w:p>
        </w:tc>
        <w:tc>
          <w:tcPr>
            <w:tcW w:type="dxa" w:w="95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Dojo Match</w:t>
            </w:r>
          </w:p>
        </w:tc>
        <w:tc>
          <w:tcPr>
            <w:tcW w:type="dxa" w:w="11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Dojo Scenario</w:t>
            </w:r>
          </w:p>
        </w:tc>
        <w:tc>
          <w:tcPr>
            <w:tcW w:type="dxa" w:w="8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GD Round</w:t>
            </w:r>
          </w:p>
        </w:tc>
        <w:tc>
          <w:tcPr>
            <w:tcW w:type="dxa" w:w="9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Cert Exam</w:t>
            </w:r>
          </w:p>
        </w:tc>
        <w:tc>
          <w:tcPr>
            <w:tcW w:type="dxa" w:w="10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Mentored</w:t>
            </w:r>
          </w:p>
        </w:tc>
        <w:tc>
          <w:tcPr>
            <w:tcW w:type="dxa" w:w="8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Peer Quiz</w:t>
            </w:r>
          </w:p>
        </w:tc>
        <w:tc>
          <w:tcPr>
            <w:tcW w:type="dxa" w:w="97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Project</w:t>
            </w:r>
          </w:p>
        </w:tc>
      </w:tr>
      <w:tr>
        <w:tc>
          <w:tcPr>
            <w:tcW w:type="dxa" w:w="18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Logical-Math</w:t>
            </w:r>
          </w:p>
        </w:tc>
        <w:tc>
          <w:tcPr>
            <w:tcW w:type="dxa" w:w="104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10%</w:t>
            </w:r>
          </w:p>
        </w:tc>
        <w:tc>
          <w:tcPr>
            <w:tcW w:type="dxa" w:w="95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20%</w:t>
            </w:r>
          </w:p>
        </w:tc>
        <w:tc>
          <w:tcPr>
            <w:tcW w:type="dxa" w:w="11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20%</w:t>
            </w:r>
          </w:p>
        </w:tc>
        <w:tc>
          <w:tcPr>
            <w:tcW w:type="dxa" w:w="8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5%</w:t>
            </w:r>
          </w:p>
        </w:tc>
        <w:tc>
          <w:tcPr>
            <w:tcW w:type="dxa" w:w="9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15%</w:t>
            </w:r>
          </w:p>
        </w:tc>
        <w:tc>
          <w:tcPr>
            <w:tcW w:type="dxa" w:w="10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5%</w:t>
            </w:r>
          </w:p>
        </w:tc>
        <w:tc>
          <w:tcPr>
            <w:tcW w:type="dxa" w:w="8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10%</w:t>
            </w:r>
          </w:p>
        </w:tc>
        <w:tc>
          <w:tcPr>
            <w:tcW w:type="dxa" w:w="97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Linguistic</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15%</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25%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10%</w:t>
            </w:r>
          </w:p>
        </w:tc>
        <w:tc>
          <w:tcPr>
            <w:tcW w:type="dxa" w:w="9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15%</w:t>
            </w:r>
          </w:p>
        </w:tc>
      </w:tr>
      <w:tr>
        <w:tc>
          <w:tcPr>
            <w:tcW w:type="dxa" w:w="18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Spatial</w:t>
            </w:r>
          </w:p>
        </w:tc>
        <w:tc>
          <w:tcPr>
            <w:tcW w:type="dxa" w:w="104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10%</w:t>
            </w:r>
          </w:p>
        </w:tc>
        <w:tc>
          <w:tcPr>
            <w:tcW w:type="dxa" w:w="95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10%</w:t>
            </w:r>
          </w:p>
        </w:tc>
        <w:tc>
          <w:tcPr>
            <w:tcW w:type="dxa" w:w="11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15%</w:t>
            </w:r>
          </w:p>
        </w:tc>
        <w:tc>
          <w:tcPr>
            <w:tcW w:type="dxa" w:w="8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5%</w:t>
            </w:r>
          </w:p>
        </w:tc>
        <w:tc>
          <w:tcPr>
            <w:tcW w:type="dxa" w:w="9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10%</w:t>
            </w:r>
          </w:p>
        </w:tc>
        <w:tc>
          <w:tcPr>
            <w:tcW w:type="dxa" w:w="10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10%</w:t>
            </w:r>
          </w:p>
        </w:tc>
        <w:tc>
          <w:tcPr>
            <w:tcW w:type="dxa" w:w="8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5%</w:t>
            </w:r>
          </w:p>
        </w:tc>
        <w:tc>
          <w:tcPr>
            <w:tcW w:type="dxa" w:w="97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35%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Musical</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20%</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10%</w:t>
            </w:r>
          </w:p>
        </w:tc>
        <w:tc>
          <w:tcPr>
            <w:tcW w:type="dxa" w:w="9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15%</w:t>
            </w:r>
          </w:p>
        </w:tc>
      </w:tr>
      <w:tr>
        <w:tc>
          <w:tcPr>
            <w:tcW w:type="dxa" w:w="18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Bodily-Kinesthetic</w:t>
            </w:r>
          </w:p>
        </w:tc>
        <w:tc>
          <w:tcPr>
            <w:tcW w:type="dxa" w:w="104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5%</w:t>
            </w:r>
          </w:p>
        </w:tc>
        <w:tc>
          <w:tcPr>
            <w:tcW w:type="dxa" w:w="95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15%</w:t>
            </w:r>
          </w:p>
        </w:tc>
        <w:tc>
          <w:tcPr>
            <w:tcW w:type="dxa" w:w="11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25%</w:t>
            </w:r>
          </w:p>
        </w:tc>
        <w:tc>
          <w:tcPr>
            <w:tcW w:type="dxa" w:w="8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5%</w:t>
            </w:r>
          </w:p>
        </w:tc>
        <w:tc>
          <w:tcPr>
            <w:tcW w:type="dxa" w:w="9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5%</w:t>
            </w:r>
          </w:p>
        </w:tc>
        <w:tc>
          <w:tcPr>
            <w:tcW w:type="dxa" w:w="10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10%</w:t>
            </w:r>
          </w:p>
        </w:tc>
        <w:tc>
          <w:tcPr>
            <w:tcW w:type="dxa" w:w="8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5%</w:t>
            </w:r>
          </w:p>
        </w:tc>
        <w:tc>
          <w:tcPr>
            <w:tcW w:type="dxa" w:w="97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30%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Interpersonal</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10%</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25%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15%</w:t>
            </w:r>
          </w:p>
        </w:tc>
        <w:tc>
          <w:tcPr>
            <w:tcW w:type="dxa" w:w="9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10%</w:t>
            </w:r>
          </w:p>
        </w:tc>
      </w:tr>
      <w:tr>
        <w:tc>
          <w:tcPr>
            <w:tcW w:type="dxa" w:w="18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Intrapersonal</w:t>
            </w:r>
          </w:p>
        </w:tc>
        <w:tc>
          <w:tcPr>
            <w:tcW w:type="dxa" w:w="104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20%</w:t>
            </w:r>
          </w:p>
        </w:tc>
        <w:tc>
          <w:tcPr>
            <w:tcW w:type="dxa" w:w="95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10%</w:t>
            </w:r>
          </w:p>
        </w:tc>
        <w:tc>
          <w:tcPr>
            <w:tcW w:type="dxa" w:w="11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10%</w:t>
            </w:r>
          </w:p>
        </w:tc>
        <w:tc>
          <w:tcPr>
            <w:tcW w:type="dxa" w:w="8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5%</w:t>
            </w:r>
          </w:p>
        </w:tc>
        <w:tc>
          <w:tcPr>
            <w:tcW w:type="dxa" w:w="9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15%</w:t>
            </w:r>
          </w:p>
        </w:tc>
        <w:tc>
          <w:tcPr>
            <w:tcW w:type="dxa" w:w="10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15%</w:t>
            </w:r>
          </w:p>
        </w:tc>
        <w:tc>
          <w:tcPr>
            <w:tcW w:type="dxa" w:w="8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10%</w:t>
            </w:r>
          </w:p>
        </w:tc>
        <w:tc>
          <w:tcPr>
            <w:tcW w:type="dxa" w:w="97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Naturalist</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15%</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10%</w:t>
            </w:r>
          </w:p>
        </w:tc>
        <w:tc>
          <w:tcPr>
            <w:tcW w:type="dxa" w:w="9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C2331"/>
                <w:sz w:val="20"/>
                <w:szCs w:val="20"/>
              </w:rPr>
              <w:t xml:space="preserve">25%</w:t>
            </w:r>
          </w:p>
        </w:tc>
      </w:tr>
    </w:tbl>
    <w:p>
      <w:pPr>
        <w:spacing w:before="60" w:after="0"/>
      </w:pPr>
      <w:r>
        <w:rPr>
          <w:rFonts w:ascii="Arial" w:cs="Arial" w:eastAsia="Arial" w:hAnsi="Arial"/>
          <w:color w:val="1C2331"/>
          <w:sz w:val="22"/>
          <w:szCs w:val="22"/>
        </w:rPr>
        <w:t xml:space="preserve"/>
      </w:r>
    </w:p>
    <w:p>
      <w:pPr>
        <w:spacing w:before="60" w:after="80"/>
      </w:pPr>
      <w:r>
        <w:rPr>
          <w:rFonts w:ascii="Arial" w:cs="Arial" w:eastAsia="Arial" w:hAnsi="Arial"/>
          <w:color w:val="1C2331"/>
          <w:sz w:val="22"/>
          <w:szCs w:val="22"/>
        </w:rPr>
        <w:t xml:space="preserve">(Row values show proportion of learning path nodes allocated per type. Row sums = 100%. Tenant administrators may override ±10% per cell, subject to the row-sum constraint.)</w:t>
      </w:r>
    </w:p>
    <w:p>
      <w:pPr>
        <w:spacing w:before="160" w:after="0"/>
      </w:pPr>
      <w:r>
        <w:rPr>
          <w:rFonts w:ascii="Arial" w:cs="Arial" w:eastAsia="Arial" w:hAnsi="Arial"/>
          <w:color w:val="1C2331"/>
          <w:sz w:val="22"/>
          <w:szCs w:val="22"/>
        </w:rPr>
        <w:t xml:space="preserve"/>
      </w:r>
    </w:p>
    <w:p>
      <w:r>
        <w:br w:type="page"/>
      </w:r>
    </w:p>
    <w:p>
      <w:pPr>
        <w:pStyle w:val="Heading1"/>
        <w:pBdr>
          <w:bottom w:val="single" w:color="0D2B55" w:sz="10" w:space="4"/>
        </w:pBdr>
        <w:spacing w:before="400" w:after="200"/>
      </w:pPr>
      <w:r>
        <w:rPr>
          <w:rFonts w:ascii="Arial" w:cs="Arial" w:eastAsia="Arial" w:hAnsi="Arial"/>
          <w:b/>
          <w:bCs/>
          <w:color w:val="0D2B55"/>
          <w:sz w:val="40"/>
          <w:szCs w:val="40"/>
        </w:rPr>
        <w:t xml:space="preserve">Feature 02 — Personality Analysis</w:t>
      </w:r>
    </w:p>
    <w:p>
      <w:pPr>
        <w:spacing w:before="60" w:after="80"/>
      </w:pPr>
      <w:r>
        <w:rPr>
          <w:rFonts w:ascii="Arial" w:cs="Arial" w:eastAsia="Arial" w:hAnsi="Arial"/>
          <w:color w:val="1C2331"/>
          <w:sz w:val="22"/>
          <w:szCs w:val="22"/>
        </w:rPr>
        <w:t xml:space="preserve">Personality Analysis is the second pillar of Intelligence Discovery. While the Intelligence Assessment measures cognitive style, Personality Analysis measures behavioral tendencies — how a candidate characteristically acts in social situations, work environments, and under pressure. The EcoSkiller Personality Engine uses a multi-trait behavioral model to build a Personality Profile that complements the Intelligence DNA Vector and adds critical context for career direction and mentor matching.</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2.1 The EcoSkiller Behavioral Trait Model</w:t>
      </w:r>
    </w:p>
    <w:p>
      <w:pPr>
        <w:spacing w:before="60" w:after="80"/>
      </w:pPr>
      <w:r>
        <w:rPr>
          <w:rFonts w:ascii="Arial" w:cs="Arial" w:eastAsia="Arial" w:hAnsi="Arial"/>
          <w:color w:val="1C2331"/>
          <w:sz w:val="22"/>
          <w:szCs w:val="22"/>
        </w:rPr>
        <w:t xml:space="preserve">The platform uses a 5-factor behavioral trait model adapted for professional career contexts — not a clinical personality disorder framework. The five traits measure career-relevant behavioral dimensions that are validated against platform behavioral data.</w:t>
      </w:r>
    </w:p>
    <w:p>
      <w:pPr>
        <w:spacing w:before="60" w:after="0"/>
      </w:pPr>
      <w:r>
        <w:rPr>
          <w:rFonts w:ascii="Arial" w:cs="Arial" w:eastAsia="Arial" w:hAnsi="Arial"/>
          <w:color w:val="1C23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rPr>
          <w:tblHeader/>
        </w:trPr>
        <w:tc>
          <w:tcPr>
            <w:tcW w:type="dxa" w:w="18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Trait</w:t>
            </w:r>
          </w:p>
        </w:tc>
        <w:tc>
          <w:tcPr>
            <w:tcW w:type="dxa" w:w="18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Dimension</w:t>
            </w:r>
          </w:p>
        </w:tc>
        <w:tc>
          <w:tcPr>
            <w:tcW w:type="dxa" w:w="288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High Score Indicators</w:t>
            </w:r>
          </w:p>
        </w:tc>
        <w:tc>
          <w:tcPr>
            <w:tcW w:type="dxa" w:w="288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Low Score Indicators</w:t>
            </w:r>
          </w:p>
        </w:tc>
      </w:tr>
      <w:tr>
        <w:tc>
          <w:tcPr>
            <w:tcW w:type="dxa" w:w="1800"/>
            <w:tcBorders>
              <w:top w:val="single" w:color="CCCCCC" w:sz="1"/>
              <w:left w:val="single" w:color="CCCCCC" w:sz="1"/>
              <w:bottom w:val="single" w:color="CCCCCC" w:sz="1"/>
              <w:right w:val="single" w:color="CCCCCC" w:sz="1"/>
            </w:tcBorders>
            <w:shd w:fill="E5DA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1. Openness to Experience</w:t>
            </w:r>
          </w:p>
        </w:tc>
        <w:tc>
          <w:tcPr>
            <w:tcW w:type="dxa" w:w="1800"/>
            <w:tcBorders>
              <w:top w:val="single" w:color="CCCCCC" w:sz="1"/>
              <w:left w:val="single" w:color="CCCCCC" w:sz="1"/>
              <w:bottom w:val="single" w:color="CCCCCC" w:sz="1"/>
              <w:right w:val="single" w:color="CCCCCC" w:sz="1"/>
            </w:tcBorders>
            <w:shd w:fill="E5DA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Intellectual curiosity vs. preference for routine</w:t>
            </w:r>
          </w:p>
        </w:tc>
        <w:tc>
          <w:tcPr>
            <w:tcW w:type="dxa" w:w="2880"/>
            <w:tcBorders>
              <w:top w:val="single" w:color="CCCCCC" w:sz="1"/>
              <w:left w:val="single" w:color="CCCCCC" w:sz="1"/>
              <w:bottom w:val="single" w:color="CCCCCC" w:sz="1"/>
              <w:right w:val="single" w:color="CCCCCC" w:sz="1"/>
            </w:tcBorders>
            <w:shd w:fill="E5DA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Creative, experimental, seeks novel challenges, broad interests, comfort with ambiguity</w:t>
            </w:r>
          </w:p>
        </w:tc>
        <w:tc>
          <w:tcPr>
            <w:tcW w:type="dxa" w:w="2880"/>
            <w:tcBorders>
              <w:top w:val="single" w:color="CCCCCC" w:sz="1"/>
              <w:left w:val="single" w:color="CCCCCC" w:sz="1"/>
              <w:bottom w:val="single" w:color="CCCCCC" w:sz="1"/>
              <w:right w:val="single" w:color="CCCCCC" w:sz="1"/>
            </w:tcBorders>
            <w:shd w:fill="E5DA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Prefers structure, consistency, proven methods; focused expertise over breadth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2. Conscientiousness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Self-discipline vs. flexibility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Goal-oriented, organized, deadline-driven, detail-focused, high follow-through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Flexible, adaptive, spontaneous; may struggle with rigid systems but excels in dynamic environments</w:t>
            </w:r>
          </w:p>
        </w:tc>
      </w:tr>
      <w:tr>
        <w:tc>
          <w:tcPr>
            <w:tcW w:type="dxa" w:w="1800"/>
            <w:tcBorders>
              <w:top w:val="single" w:color="CCCCCC" w:sz="1"/>
              <w:left w:val="single" w:color="CCCCCC" w:sz="1"/>
              <w:bottom w:val="single" w:color="CCCCCC" w:sz="1"/>
              <w:right w:val="single" w:color="CCCCCC" w:sz="1"/>
            </w:tcBorders>
            <w:shd w:fill="E5DA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3. Extraversion</w:t>
            </w:r>
          </w:p>
        </w:tc>
        <w:tc>
          <w:tcPr>
            <w:tcW w:type="dxa" w:w="1800"/>
            <w:tcBorders>
              <w:top w:val="single" w:color="CCCCCC" w:sz="1"/>
              <w:left w:val="single" w:color="CCCCCC" w:sz="1"/>
              <w:bottom w:val="single" w:color="CCCCCC" w:sz="1"/>
              <w:right w:val="single" w:color="CCCCCC" w:sz="1"/>
            </w:tcBorders>
            <w:shd w:fill="E5DA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Social engagement vs. independent energy</w:t>
            </w:r>
          </w:p>
        </w:tc>
        <w:tc>
          <w:tcPr>
            <w:tcW w:type="dxa" w:w="2880"/>
            <w:tcBorders>
              <w:top w:val="single" w:color="CCCCCC" w:sz="1"/>
              <w:left w:val="single" w:color="CCCCCC" w:sz="1"/>
              <w:bottom w:val="single" w:color="CCCCCC" w:sz="1"/>
              <w:right w:val="single" w:color="CCCCCC" w:sz="1"/>
            </w:tcBorders>
            <w:shd w:fill="E5DA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Energized by collaboration, natural communicator, high comfort with public roles</w:t>
            </w:r>
          </w:p>
        </w:tc>
        <w:tc>
          <w:tcPr>
            <w:tcW w:type="dxa" w:w="2880"/>
            <w:tcBorders>
              <w:top w:val="single" w:color="CCCCCC" w:sz="1"/>
              <w:left w:val="single" w:color="CCCCCC" w:sz="1"/>
              <w:bottom w:val="single" w:color="CCCCCC" w:sz="1"/>
              <w:right w:val="single" w:color="CCCCCC" w:sz="1"/>
            </w:tcBorders>
            <w:shd w:fill="E5DA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Energized by focused solo work; prefers depth in relationships over breadth; strong independent thinker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4. Agreeableness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Cooperation vs. independence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Team-oriented, empathetic, consensus-building, high trust in others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Assertive, direct, prioritizes task over harmony; natural challenger and critic; high-value in debate roles</w:t>
            </w:r>
          </w:p>
        </w:tc>
      </w:tr>
      <w:tr>
        <w:tc>
          <w:tcPr>
            <w:tcW w:type="dxa" w:w="1800"/>
            <w:tcBorders>
              <w:top w:val="single" w:color="CCCCCC" w:sz="1"/>
              <w:left w:val="single" w:color="CCCCCC" w:sz="1"/>
              <w:bottom w:val="single" w:color="CCCCCC" w:sz="1"/>
              <w:right w:val="single" w:color="CCCCCC" w:sz="1"/>
            </w:tcBorders>
            <w:shd w:fill="E5DA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5. Emotional Stability</w:t>
            </w:r>
          </w:p>
        </w:tc>
        <w:tc>
          <w:tcPr>
            <w:tcW w:type="dxa" w:w="1800"/>
            <w:tcBorders>
              <w:top w:val="single" w:color="CCCCCC" w:sz="1"/>
              <w:left w:val="single" w:color="CCCCCC" w:sz="1"/>
              <w:bottom w:val="single" w:color="CCCCCC" w:sz="1"/>
              <w:right w:val="single" w:color="CCCCCC" w:sz="1"/>
            </w:tcBorders>
            <w:shd w:fill="E5DA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Resilience vs. sensitivity</w:t>
            </w:r>
          </w:p>
        </w:tc>
        <w:tc>
          <w:tcPr>
            <w:tcW w:type="dxa" w:w="2880"/>
            <w:tcBorders>
              <w:top w:val="single" w:color="CCCCCC" w:sz="1"/>
              <w:left w:val="single" w:color="CCCCCC" w:sz="1"/>
              <w:bottom w:val="single" w:color="CCCCCC" w:sz="1"/>
              <w:right w:val="single" w:color="CCCCCC" w:sz="1"/>
            </w:tcBorders>
            <w:shd w:fill="E5DA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Calm under pressure, consistent performance, stable in ambiguity, low reactivity to setbacks</w:t>
            </w:r>
          </w:p>
        </w:tc>
        <w:tc>
          <w:tcPr>
            <w:tcW w:type="dxa" w:w="2880"/>
            <w:tcBorders>
              <w:top w:val="single" w:color="CCCCCC" w:sz="1"/>
              <w:left w:val="single" w:color="CCCCCC" w:sz="1"/>
              <w:bottom w:val="single" w:color="CCCCCC" w:sz="1"/>
              <w:right w:val="single" w:color="CCCCCC" w:sz="1"/>
            </w:tcBorders>
            <w:shd w:fill="E5DA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High emotional sensitivity; may be a creative amplifier; can transform intensity into artistic/empathetic output</w:t>
            </w:r>
          </w:p>
        </w:tc>
      </w:tr>
    </w:tbl>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2.2 Assessment Method — Behavioral Situational Inventory</w:t>
      </w:r>
    </w:p>
    <w:p>
      <w:pPr>
        <w:spacing w:before="60" w:after="80"/>
      </w:pPr>
      <w:r>
        <w:rPr>
          <w:rFonts w:ascii="Arial" w:cs="Arial" w:eastAsia="Arial" w:hAnsi="Arial"/>
          <w:color w:val="1C2331"/>
          <w:sz w:val="22"/>
          <w:szCs w:val="22"/>
        </w:rPr>
        <w:t xml:space="preserve">Personality Analysis is conducted through a 60-item Behavioral Situational Inventory (BSI). Unlike self-report questionnaires (which are vulnerable to social desirability bias), the BSI presents specific workplace and learning scenarios that require the candidate to choose between realistic behavioral options — extracting personality signals through revealed preferences rather than self-declaration.</w:t>
      </w:r>
    </w:p>
    <w:p>
      <w:pPr>
        <w:spacing w:before="6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Format: 60 situational items across 4 scenario categories — Team situations, Solo work situations, High-pressure situations, and Ambiguous situations</w:t>
      </w:r>
    </w:p>
    <w:p>
      <w:pPr>
        <w:pStyle w:val="ListParagraph"/>
        <w:numPr>
          <w:ilvl w:val="0"/>
          <w:numId w:val="2"/>
        </w:numPr>
        <w:spacing w:before="40" w:after="55"/>
      </w:pPr>
      <w:r>
        <w:rPr>
          <w:rFonts w:ascii="Arial" w:cs="Arial" w:eastAsia="Arial" w:hAnsi="Arial"/>
          <w:color w:val="1C2331"/>
          <w:sz w:val="22"/>
          <w:szCs w:val="22"/>
        </w:rPr>
        <w:t xml:space="preserve">Response format: 5-point Likert scale anchored to likelihood ('This is exactly what I would do' to 'I would never respond this way')</w:t>
      </w:r>
    </w:p>
    <w:p>
      <w:pPr>
        <w:pStyle w:val="ListParagraph"/>
        <w:numPr>
          <w:ilvl w:val="0"/>
          <w:numId w:val="2"/>
        </w:numPr>
        <w:spacing w:before="40" w:after="55"/>
      </w:pPr>
      <w:r>
        <w:rPr>
          <w:rFonts w:ascii="Arial" w:cs="Arial" w:eastAsia="Arial" w:hAnsi="Arial"/>
          <w:color w:val="1C2331"/>
          <w:sz w:val="22"/>
          <w:szCs w:val="22"/>
        </w:rPr>
        <w:t xml:space="preserve">Anti-faking detection: 8 validity scale items embedded to detect response inconsistency, social desirability inflation, and random responding</w:t>
      </w:r>
    </w:p>
    <w:p>
      <w:pPr>
        <w:pStyle w:val="ListParagraph"/>
        <w:numPr>
          <w:ilvl w:val="0"/>
          <w:numId w:val="2"/>
        </w:numPr>
        <w:spacing w:before="40" w:after="55"/>
      </w:pPr>
      <w:r>
        <w:rPr>
          <w:rFonts w:ascii="Arial" w:cs="Arial" w:eastAsia="Arial" w:hAnsi="Arial"/>
          <w:color w:val="1C2331"/>
          <w:sz w:val="22"/>
          <w:szCs w:val="22"/>
        </w:rPr>
        <w:t xml:space="preserve">Trait score computation: Each item contributes to 1–3 trait scores through a validated scoring key. Scores normalized to a 1–100 scale per trait</w:t>
      </w:r>
    </w:p>
    <w:p>
      <w:pPr>
        <w:pStyle w:val="ListParagraph"/>
        <w:numPr>
          <w:ilvl w:val="0"/>
          <w:numId w:val="2"/>
        </w:numPr>
        <w:spacing w:before="40" w:after="55"/>
      </w:pPr>
      <w:r>
        <w:rPr>
          <w:rFonts w:ascii="Arial" w:cs="Arial" w:eastAsia="Arial" w:hAnsi="Arial"/>
          <w:color w:val="1C2331"/>
          <w:sz w:val="22"/>
          <w:szCs w:val="22"/>
        </w:rPr>
        <w:t xml:space="preserve">Composite profile: Traits are combined into a named profile archetype (e.g., 'Analytical Innovator', 'Collaborative Builder', 'Independent Expert', 'Empathetic Leader') for intuitive candidate understanding</w:t>
      </w:r>
    </w:p>
    <w:p>
      <w:pPr>
        <w:pStyle w:val="ListParagraph"/>
        <w:numPr>
          <w:ilvl w:val="0"/>
          <w:numId w:val="2"/>
        </w:numPr>
        <w:spacing w:before="40" w:after="55"/>
      </w:pPr>
      <w:r>
        <w:rPr>
          <w:rFonts w:ascii="Arial" w:cs="Arial" w:eastAsia="Arial" w:hAnsi="Arial"/>
          <w:color w:val="1C2331"/>
          <w:sz w:val="22"/>
          <w:szCs w:val="22"/>
        </w:rPr>
        <w:t xml:space="preserve">Profile archetype assignment: The combination of scores across all 5 traits determines archetype. 32 distinct archetypes are defined in the EcoSkiller archetype library</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2.3 Personality Profile Outputs</w:t>
      </w:r>
    </w:p>
    <w:p>
      <w:pPr>
        <w:spacing w:before="40" w:after="0"/>
      </w:pPr>
      <w:r>
        <w:rPr>
          <w:rFonts w:ascii="Arial" w:cs="Arial" w:eastAsia="Arial" w:hAnsi="Arial"/>
          <w:color w:val="1C23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4A2882"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7160"/>
            <w:tcBorders>
              <w:top w:val="single" w:color="CCCCCC" w:sz="1"/>
              <w:left w:val="single" w:color="CCCCCC" w:sz="1"/>
              <w:bottom w:val="single" w:color="CCCCCC" w:sz="1"/>
              <w:right w:val="single" w:color="CCCCCC" w:sz="1"/>
            </w:tcBorders>
            <w:shd w:fill="DDE0F7" w:val="clear"/>
            <w:tcMar>
              <w:top w:type="dxa" w:w="80"/>
              <w:left w:type="dxa" w:w="140"/>
              <w:bottom w:type="dxa" w:w="80"/>
              <w:right w:type="dxa" w:w="120"/>
            </w:tcMar>
          </w:tcPr>
          <w:p>
            <w:r>
              <w:rPr>
                <w:rFonts w:ascii="Arial" w:cs="Arial" w:eastAsia="Arial" w:hAnsi="Arial"/>
                <w:color w:val="1C2331"/>
                <w:sz w:val="20"/>
                <w:szCs w:val="20"/>
              </w:rPr>
              <w:t xml:space="preserve">What the Candidate Receives</w:t>
            </w:r>
          </w:p>
        </w:tc>
      </w:tr>
      <w:tr>
        <w:tc>
          <w:tcPr>
            <w:tcW w:type="dxa" w:w="2200"/>
            <w:tcBorders>
              <w:top w:val="single" w:color="CCCCCC" w:sz="1"/>
              <w:left w:val="single" w:color="CCCCCC" w:sz="1"/>
              <w:bottom w:val="single" w:color="CCCCCC" w:sz="1"/>
              <w:right w:val="single" w:color="CCCCCC" w:sz="1"/>
            </w:tcBorders>
            <w:shd w:fill="E5DAFF" w:val="clear"/>
            <w:tcMar>
              <w:top w:type="dxa" w:w="80"/>
              <w:left w:type="dxa" w:w="120"/>
              <w:bottom w:type="dxa" w:w="80"/>
              <w:right w:type="dxa" w:w="120"/>
            </w:tcMar>
            <w:vAlign w:val="center"/>
          </w:tcPr>
          <w:p>
            <w:r>
              <w:rPr>
                <w:rFonts w:ascii="Arial" w:cs="Arial" w:eastAsia="Arial" w:hAnsi="Arial"/>
                <w:b/>
                <w:bCs/>
                <w:color w:val="4A2882"/>
                <w:sz w:val="20"/>
                <w:szCs w:val="20"/>
              </w:rPr>
              <w:t xml:space="preserve">Trait Score Chart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C2331"/>
                <w:sz w:val="20"/>
                <w:szCs w:val="20"/>
              </w:rPr>
              <w:t xml:space="preserve">A visual radar chart showing scores across all 5 traits — strengths and growth areas instantly visible</w:t>
            </w:r>
          </w:p>
        </w:tc>
      </w:tr>
      <w:tr>
        <w:tc>
          <w:tcPr>
            <w:tcW w:type="dxa" w:w="2200"/>
            <w:tcBorders>
              <w:top w:val="single" w:color="CCCCCC" w:sz="1"/>
              <w:left w:val="single" w:color="CCCCCC" w:sz="1"/>
              <w:bottom w:val="single" w:color="CCCCCC" w:sz="1"/>
              <w:right w:val="single" w:color="CCCCCC" w:sz="1"/>
            </w:tcBorders>
            <w:shd w:fill="E5DAFF" w:val="clear"/>
            <w:tcMar>
              <w:top w:type="dxa" w:w="80"/>
              <w:left w:type="dxa" w:w="120"/>
              <w:bottom w:type="dxa" w:w="80"/>
              <w:right w:type="dxa" w:w="120"/>
            </w:tcMar>
            <w:vAlign w:val="center"/>
          </w:tcPr>
          <w:p>
            <w:r>
              <w:rPr>
                <w:rFonts w:ascii="Arial" w:cs="Arial" w:eastAsia="Arial" w:hAnsi="Arial"/>
                <w:b/>
                <w:bCs/>
                <w:color w:val="4A2882"/>
                <w:sz w:val="20"/>
                <w:szCs w:val="20"/>
              </w:rPr>
              <w:t xml:space="preserve">Named Archetype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C2331"/>
                <w:sz w:val="20"/>
                <w:szCs w:val="20"/>
              </w:rPr>
              <w:t xml:space="preserve">A plain-language archetype label with a 3-paragraph description of natural working style, strengths, and typical career fit</w:t>
            </w:r>
          </w:p>
        </w:tc>
      </w:tr>
      <w:tr>
        <w:tc>
          <w:tcPr>
            <w:tcW w:type="dxa" w:w="2200"/>
            <w:tcBorders>
              <w:top w:val="single" w:color="CCCCCC" w:sz="1"/>
              <w:left w:val="single" w:color="CCCCCC" w:sz="1"/>
              <w:bottom w:val="single" w:color="CCCCCC" w:sz="1"/>
              <w:right w:val="single" w:color="CCCCCC" w:sz="1"/>
            </w:tcBorders>
            <w:shd w:fill="E5DAFF" w:val="clear"/>
            <w:tcMar>
              <w:top w:type="dxa" w:w="80"/>
              <w:left w:type="dxa" w:w="120"/>
              <w:bottom w:type="dxa" w:w="80"/>
              <w:right w:type="dxa" w:w="120"/>
            </w:tcMar>
            <w:vAlign w:val="center"/>
          </w:tcPr>
          <w:p>
            <w:r>
              <w:rPr>
                <w:rFonts w:ascii="Arial" w:cs="Arial" w:eastAsia="Arial" w:hAnsi="Arial"/>
                <w:b/>
                <w:bCs/>
                <w:color w:val="4A2882"/>
                <w:sz w:val="20"/>
                <w:szCs w:val="20"/>
              </w:rPr>
              <w:t xml:space="preserve">Workplace Preferences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C2331"/>
                <w:sz w:val="20"/>
                <w:szCs w:val="20"/>
              </w:rPr>
              <w:t xml:space="preserve">AI-generated list of work environments, team structures, and project types where the candidate will perform best</w:t>
            </w:r>
          </w:p>
        </w:tc>
      </w:tr>
      <w:tr>
        <w:tc>
          <w:tcPr>
            <w:tcW w:type="dxa" w:w="2200"/>
            <w:tcBorders>
              <w:top w:val="single" w:color="CCCCCC" w:sz="1"/>
              <w:left w:val="single" w:color="CCCCCC" w:sz="1"/>
              <w:bottom w:val="single" w:color="CCCCCC" w:sz="1"/>
              <w:right w:val="single" w:color="CCCCCC" w:sz="1"/>
            </w:tcBorders>
            <w:shd w:fill="E5DAFF" w:val="clear"/>
            <w:tcMar>
              <w:top w:type="dxa" w:w="80"/>
              <w:left w:type="dxa" w:w="120"/>
              <w:bottom w:type="dxa" w:w="80"/>
              <w:right w:type="dxa" w:w="120"/>
            </w:tcMar>
            <w:vAlign w:val="center"/>
          </w:tcPr>
          <w:p>
            <w:r>
              <w:rPr>
                <w:rFonts w:ascii="Arial" w:cs="Arial" w:eastAsia="Arial" w:hAnsi="Arial"/>
                <w:b/>
                <w:bCs/>
                <w:color w:val="4A2882"/>
                <w:sz w:val="20"/>
                <w:szCs w:val="20"/>
              </w:rPr>
              <w:t xml:space="preserve">Communication Style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C2331"/>
                <w:sz w:val="20"/>
                <w:szCs w:val="20"/>
              </w:rPr>
              <w:t xml:space="preserve">Natural communication style (direct, collaborative, analytical, inspirational) and how to leverage it professionally</w:t>
            </w:r>
          </w:p>
        </w:tc>
      </w:tr>
      <w:tr>
        <w:tc>
          <w:tcPr>
            <w:tcW w:type="dxa" w:w="2200"/>
            <w:tcBorders>
              <w:top w:val="single" w:color="CCCCCC" w:sz="1"/>
              <w:left w:val="single" w:color="CCCCCC" w:sz="1"/>
              <w:bottom w:val="single" w:color="CCCCCC" w:sz="1"/>
              <w:right w:val="single" w:color="CCCCCC" w:sz="1"/>
            </w:tcBorders>
            <w:shd w:fill="E5DAFF" w:val="clear"/>
            <w:tcMar>
              <w:top w:type="dxa" w:w="80"/>
              <w:left w:type="dxa" w:w="120"/>
              <w:bottom w:type="dxa" w:w="80"/>
              <w:right w:type="dxa" w:w="120"/>
            </w:tcMar>
            <w:vAlign w:val="center"/>
          </w:tcPr>
          <w:p>
            <w:r>
              <w:rPr>
                <w:rFonts w:ascii="Arial" w:cs="Arial" w:eastAsia="Arial" w:hAnsi="Arial"/>
                <w:b/>
                <w:bCs/>
                <w:color w:val="4A2882"/>
                <w:sz w:val="20"/>
                <w:szCs w:val="20"/>
              </w:rPr>
              <w:t xml:space="preserve">Stress Triggers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C2331"/>
                <w:sz w:val="20"/>
                <w:szCs w:val="20"/>
              </w:rPr>
              <w:t xml:space="preserve">Identified situations and environments that are likely to be stressful based on trait profile — with practical mitigation strategies</w:t>
            </w:r>
          </w:p>
        </w:tc>
      </w:tr>
      <w:tr>
        <w:tc>
          <w:tcPr>
            <w:tcW w:type="dxa" w:w="2200"/>
            <w:tcBorders>
              <w:top w:val="single" w:color="CCCCCC" w:sz="1"/>
              <w:left w:val="single" w:color="CCCCCC" w:sz="1"/>
              <w:bottom w:val="single" w:color="CCCCCC" w:sz="1"/>
              <w:right w:val="single" w:color="CCCCCC" w:sz="1"/>
            </w:tcBorders>
            <w:shd w:fill="E5DAFF" w:val="clear"/>
            <w:tcMar>
              <w:top w:type="dxa" w:w="80"/>
              <w:left w:type="dxa" w:w="120"/>
              <w:bottom w:type="dxa" w:w="80"/>
              <w:right w:type="dxa" w:w="120"/>
            </w:tcMar>
            <w:vAlign w:val="center"/>
          </w:tcPr>
          <w:p>
            <w:r>
              <w:rPr>
                <w:rFonts w:ascii="Arial" w:cs="Arial" w:eastAsia="Arial" w:hAnsi="Arial"/>
                <w:b/>
                <w:bCs/>
                <w:color w:val="4A2882"/>
                <w:sz w:val="20"/>
                <w:szCs w:val="20"/>
              </w:rPr>
              <w:t xml:space="preserve">Growth Areas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C2331"/>
                <w:sz w:val="20"/>
                <w:szCs w:val="20"/>
              </w:rPr>
              <w:t xml:space="preserve">Specific behavioral areas where development would expand career options — with recommended activities on the platform</w:t>
            </w:r>
          </w:p>
        </w:tc>
      </w:tr>
      <w:tr>
        <w:tc>
          <w:tcPr>
            <w:tcW w:type="dxa" w:w="2200"/>
            <w:tcBorders>
              <w:top w:val="single" w:color="CCCCCC" w:sz="1"/>
              <w:left w:val="single" w:color="CCCCCC" w:sz="1"/>
              <w:bottom w:val="single" w:color="CCCCCC" w:sz="1"/>
              <w:right w:val="single" w:color="CCCCCC" w:sz="1"/>
            </w:tcBorders>
            <w:shd w:fill="E5DAFF" w:val="clear"/>
            <w:tcMar>
              <w:top w:type="dxa" w:w="80"/>
              <w:left w:type="dxa" w:w="120"/>
              <w:bottom w:type="dxa" w:w="80"/>
              <w:right w:type="dxa" w:w="120"/>
            </w:tcMar>
            <w:vAlign w:val="center"/>
          </w:tcPr>
          <w:p>
            <w:r>
              <w:rPr>
                <w:rFonts w:ascii="Arial" w:cs="Arial" w:eastAsia="Arial" w:hAnsi="Arial"/>
                <w:b/>
                <w:bCs/>
                <w:color w:val="4A2882"/>
                <w:sz w:val="20"/>
                <w:szCs w:val="20"/>
              </w:rPr>
              <w:t xml:space="preserve">Career Fit Flags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C2331"/>
                <w:sz w:val="20"/>
                <w:szCs w:val="20"/>
              </w:rPr>
              <w:t xml:space="preserve">Career categories where the personality profile is a strong match, a moderate fit, or a potential challenge — with reasoning</w:t>
            </w:r>
          </w:p>
        </w:tc>
      </w:tr>
    </w:tbl>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2.4 Integration with Career Direction</w:t>
      </w:r>
    </w:p>
    <w:p>
      <w:pPr>
        <w:spacing w:before="60" w:after="80"/>
      </w:pPr>
      <w:r>
        <w:rPr>
          <w:rFonts w:ascii="Arial" w:cs="Arial" w:eastAsia="Arial" w:hAnsi="Arial"/>
          <w:color w:val="1C2331"/>
          <w:sz w:val="22"/>
          <w:szCs w:val="22"/>
        </w:rPr>
        <w:t xml:space="preserve">The Personality Profile is used alongside the Intelligence DNA Vector to refine career recommendations. Two candidates might both have high Logical-Mathematical intelligence, but one with high Extraversion and Agreeableness will thrive in consulting or product management, while one with high Introversion and Conscientiousness will thrive in deep technical research or architectural design. The combined profile produces far more accurate career direction than either dimension alone.</w:t>
      </w:r>
    </w:p>
    <w:p>
      <w:pPr>
        <w:spacing w:before="160" w:after="0"/>
      </w:pPr>
      <w:r>
        <w:rPr>
          <w:rFonts w:ascii="Arial" w:cs="Arial" w:eastAsia="Arial" w:hAnsi="Arial"/>
          <w:color w:val="1C2331"/>
          <w:sz w:val="22"/>
          <w:szCs w:val="22"/>
        </w:rPr>
        <w:t xml:space="preserve"/>
      </w:r>
    </w:p>
    <w:p>
      <w:r>
        <w:br w:type="page"/>
      </w:r>
    </w:p>
    <w:p>
      <w:pPr>
        <w:pStyle w:val="Heading1"/>
        <w:pBdr>
          <w:bottom w:val="single" w:color="0D2B55" w:sz="10" w:space="4"/>
        </w:pBdr>
        <w:spacing w:before="400" w:after="200"/>
      </w:pPr>
      <w:r>
        <w:rPr>
          <w:rFonts w:ascii="Arial" w:cs="Arial" w:eastAsia="Arial" w:hAnsi="Arial"/>
          <w:b/>
          <w:bCs/>
          <w:color w:val="0D2B55"/>
          <w:sz w:val="40"/>
          <w:szCs w:val="40"/>
        </w:rPr>
        <w:t xml:space="preserve">Feature 03 — Career Aptitude Test</w:t>
      </w:r>
    </w:p>
    <w:p>
      <w:pPr>
        <w:spacing w:before="60" w:after="80"/>
      </w:pPr>
      <w:r>
        <w:rPr>
          <w:rFonts w:ascii="Arial" w:cs="Arial" w:eastAsia="Arial" w:hAnsi="Arial"/>
          <w:color w:val="1C2331"/>
          <w:sz w:val="22"/>
          <w:szCs w:val="22"/>
        </w:rPr>
        <w:t xml:space="preserve">The Career Aptitude Test (CAT) identifies the types of work activities a candidate is naturally drawn to and competent at. It combines the Holland RIASEC (Realistic, Investigative, Artistic, Social, Enterprising, Conventional) model — the world's most validated career interest framework — with EcoSkiller's domain-specific aptitude modules to produce a precision career direction profile.</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3.1 The Holland RIASEC Model</w:t>
      </w:r>
    </w:p>
    <w:p>
      <w:pPr>
        <w:spacing w:before="60" w:after="80"/>
      </w:pPr>
      <w:r>
        <w:rPr>
          <w:rFonts w:ascii="Arial" w:cs="Arial" w:eastAsia="Arial" w:hAnsi="Arial"/>
          <w:color w:val="1C2331"/>
          <w:sz w:val="22"/>
          <w:szCs w:val="22"/>
        </w:rPr>
        <w:t xml:space="preserve">The RIASEC model categorizes both people and work environments into 6 types. Career satisfaction and success are highest when a person's type matches their work environment. The CAT identifies the candidate's top 2–3 Holland types, which define their 'interest zone' — the range of careers where natural motivation and competence intersect.</w:t>
      </w:r>
    </w:p>
    <w:p>
      <w:pPr>
        <w:spacing w:before="60" w:after="0"/>
      </w:pPr>
      <w:r>
        <w:rPr>
          <w:rFonts w:ascii="Arial" w:cs="Arial" w:eastAsia="Arial" w:hAnsi="Arial"/>
          <w:color w:val="1C23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3160"/>
        <w:gridCol w:w="3100"/>
      </w:tblGrid>
      <w:tr>
        <w:trPr>
          <w:tblHeader/>
        </w:trPr>
        <w:tc>
          <w:tcPr>
            <w:tcW w:type="dxa" w:w="14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17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Label</w:t>
            </w:r>
          </w:p>
        </w:tc>
        <w:tc>
          <w:tcPr>
            <w:tcW w:type="dxa" w:w="316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Core Characteristics</w:t>
            </w:r>
          </w:p>
        </w:tc>
        <w:tc>
          <w:tcPr>
            <w:tcW w:type="dxa" w:w="31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Career Domains</w:t>
            </w:r>
          </w:p>
        </w:tc>
      </w:tr>
      <w:tr>
        <w:tc>
          <w:tcPr>
            <w:tcW w:type="dxa" w:w="1400"/>
            <w:tcBorders>
              <w:top w:val="single" w:color="CCCCCC" w:sz="1"/>
              <w:left w:val="single" w:color="CCCCCC" w:sz="1"/>
              <w:bottom w:val="single" w:color="CCCCCC" w:sz="1"/>
              <w:right w:val="single" w:color="CCCCCC" w:sz="1"/>
            </w:tcBorders>
            <w:shd w:fill="D3EDD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R</w:t>
            </w:r>
          </w:p>
        </w:tc>
        <w:tc>
          <w:tcPr>
            <w:tcW w:type="dxa" w:w="1700"/>
            <w:tcBorders>
              <w:top w:val="single" w:color="CCCCCC" w:sz="1"/>
              <w:left w:val="single" w:color="CCCCCC" w:sz="1"/>
              <w:bottom w:val="single" w:color="CCCCCC" w:sz="1"/>
              <w:right w:val="single" w:color="CCCCCC" w:sz="1"/>
            </w:tcBorders>
            <w:shd w:fill="D3EDD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Realistic</w:t>
            </w:r>
          </w:p>
        </w:tc>
        <w:tc>
          <w:tcPr>
            <w:tcW w:type="dxa" w:w="3160"/>
            <w:tcBorders>
              <w:top w:val="single" w:color="CCCCCC" w:sz="1"/>
              <w:left w:val="single" w:color="CCCCCC" w:sz="1"/>
              <w:bottom w:val="single" w:color="CCCCCC" w:sz="1"/>
              <w:right w:val="single" w:color="CCCCCC" w:sz="1"/>
            </w:tcBorders>
            <w:shd w:fill="D3EDD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Works with physical tools, machines, or nature; prefers concrete tasks; technically minded; values practicality</w:t>
            </w:r>
          </w:p>
        </w:tc>
        <w:tc>
          <w:tcPr>
            <w:tcW w:type="dxa" w:w="3100"/>
            <w:tcBorders>
              <w:top w:val="single" w:color="CCCCCC" w:sz="1"/>
              <w:left w:val="single" w:color="CCCCCC" w:sz="1"/>
              <w:bottom w:val="single" w:color="CCCCCC" w:sz="1"/>
              <w:right w:val="single" w:color="CCCCCC" w:sz="1"/>
            </w:tcBorders>
            <w:shd w:fill="D3EDD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Engineering, Construction, IT Hardware, Agriculture, Manufacturing, Technical Trades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Investigative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Intellectual, analytical, curious; prefers to explore ideas; values precision; problem-solving orientation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Research, Data Science, Medicine, Physics, Computer Science, Academic Roles</w:t>
            </w:r>
          </w:p>
        </w:tc>
      </w:tr>
      <w:tr>
        <w:tc>
          <w:tcPr>
            <w:tcW w:type="dxa" w:w="1400"/>
            <w:tcBorders>
              <w:top w:val="single" w:color="CCCCCC" w:sz="1"/>
              <w:left w:val="single" w:color="CCCCCC" w:sz="1"/>
              <w:bottom w:val="single" w:color="CCCCCC" w:sz="1"/>
              <w:right w:val="single" w:color="CCCCCC" w:sz="1"/>
            </w:tcBorders>
            <w:shd w:fill="D3EDD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w:t>
            </w:r>
          </w:p>
        </w:tc>
        <w:tc>
          <w:tcPr>
            <w:tcW w:type="dxa" w:w="1700"/>
            <w:tcBorders>
              <w:top w:val="single" w:color="CCCCCC" w:sz="1"/>
              <w:left w:val="single" w:color="CCCCCC" w:sz="1"/>
              <w:bottom w:val="single" w:color="CCCCCC" w:sz="1"/>
              <w:right w:val="single" w:color="CCCCCC" w:sz="1"/>
            </w:tcBorders>
            <w:shd w:fill="D3EDD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Artistic</w:t>
            </w:r>
          </w:p>
        </w:tc>
        <w:tc>
          <w:tcPr>
            <w:tcW w:type="dxa" w:w="3160"/>
            <w:tcBorders>
              <w:top w:val="single" w:color="CCCCCC" w:sz="1"/>
              <w:left w:val="single" w:color="CCCCCC" w:sz="1"/>
              <w:bottom w:val="single" w:color="CCCCCC" w:sz="1"/>
              <w:right w:val="single" w:color="CCCCCC" w:sz="1"/>
            </w:tcBorders>
            <w:shd w:fill="D3EDD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Creative, expressive, imaginative; works with ideas, art, or performance; values originality; avoids convention</w:t>
            </w:r>
          </w:p>
        </w:tc>
        <w:tc>
          <w:tcPr>
            <w:tcW w:type="dxa" w:w="3100"/>
            <w:tcBorders>
              <w:top w:val="single" w:color="CCCCCC" w:sz="1"/>
              <w:left w:val="single" w:color="CCCCCC" w:sz="1"/>
              <w:bottom w:val="single" w:color="CCCCCC" w:sz="1"/>
              <w:right w:val="single" w:color="CCCCCC" w:sz="1"/>
            </w:tcBorders>
            <w:shd w:fill="D3EDD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Design, Music, Writing, Filmmaking, Marketing, Architecture, UX Design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Social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Works with and for people; helping, teaching, advising; high empathy; values service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Education, Healthcare, Social Work, Counseling, HR, Community Management, Training</w:t>
            </w:r>
          </w:p>
        </w:tc>
      </w:tr>
      <w:tr>
        <w:tc>
          <w:tcPr>
            <w:tcW w:type="dxa" w:w="1400"/>
            <w:tcBorders>
              <w:top w:val="single" w:color="CCCCCC" w:sz="1"/>
              <w:left w:val="single" w:color="CCCCCC" w:sz="1"/>
              <w:bottom w:val="single" w:color="CCCCCC" w:sz="1"/>
              <w:right w:val="single" w:color="CCCCCC" w:sz="1"/>
            </w:tcBorders>
            <w:shd w:fill="D3EDD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E</w:t>
            </w:r>
          </w:p>
        </w:tc>
        <w:tc>
          <w:tcPr>
            <w:tcW w:type="dxa" w:w="1700"/>
            <w:tcBorders>
              <w:top w:val="single" w:color="CCCCCC" w:sz="1"/>
              <w:left w:val="single" w:color="CCCCCC" w:sz="1"/>
              <w:bottom w:val="single" w:color="CCCCCC" w:sz="1"/>
              <w:right w:val="single" w:color="CCCCCC" w:sz="1"/>
            </w:tcBorders>
            <w:shd w:fill="D3EDD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Enterprising</w:t>
            </w:r>
          </w:p>
        </w:tc>
        <w:tc>
          <w:tcPr>
            <w:tcW w:type="dxa" w:w="3160"/>
            <w:tcBorders>
              <w:top w:val="single" w:color="CCCCCC" w:sz="1"/>
              <w:left w:val="single" w:color="CCCCCC" w:sz="1"/>
              <w:bottom w:val="single" w:color="CCCCCC" w:sz="1"/>
              <w:right w:val="single" w:color="CCCCCC" w:sz="1"/>
            </w:tcBorders>
            <w:shd w:fill="D3EDD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Leadership, persuasion, initiative; starts projects; high ambition; values influence and results</w:t>
            </w:r>
          </w:p>
        </w:tc>
        <w:tc>
          <w:tcPr>
            <w:tcW w:type="dxa" w:w="3100"/>
            <w:tcBorders>
              <w:top w:val="single" w:color="CCCCCC" w:sz="1"/>
              <w:left w:val="single" w:color="CCCCCC" w:sz="1"/>
              <w:bottom w:val="single" w:color="CCCCCC" w:sz="1"/>
              <w:right w:val="single" w:color="CCCCCC" w:sz="1"/>
            </w:tcBorders>
            <w:shd w:fill="D3EDD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Entrepreneurship, Sales, Management, Law, Politics, Business Development, Consulting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Conventional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Detail-oriented, organized, systematic; follows procedures; values accuracy and order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Accounting, Data Management, Administration, Compliance, Operations, Banking</w:t>
            </w:r>
          </w:p>
        </w:tc>
      </w:tr>
    </w:tbl>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3.2 CAT Assessment Structure</w:t>
      </w:r>
    </w:p>
    <w:p>
      <w:pPr>
        <w:spacing w:before="60" w:after="80"/>
      </w:pPr>
      <w:r>
        <w:rPr>
          <w:rFonts w:ascii="Arial" w:cs="Arial" w:eastAsia="Arial" w:hAnsi="Arial"/>
          <w:color w:val="1C2331"/>
          <w:sz w:val="22"/>
          <w:szCs w:val="22"/>
        </w:rPr>
        <w:t xml:space="preserve">The Career Aptitude Test is delivered in three stages, each measuring a different dimension of career aptitude:</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Stage 1 — Interest Inventory (36 items, ~15 minutes)</w:t>
      </w:r>
    </w:p>
    <w:p>
      <w:pPr>
        <w:spacing w:before="60" w:after="80"/>
      </w:pPr>
      <w:r>
        <w:rPr>
          <w:rFonts w:ascii="Arial" w:cs="Arial" w:eastAsia="Arial" w:hAnsi="Arial"/>
          <w:color w:val="1C2331"/>
          <w:sz w:val="22"/>
          <w:szCs w:val="22"/>
        </w:rPr>
        <w:t xml:space="preserve">Candidates rate their level of interest in 36 specific work activities (e.g., 'Analyzing statistical data', 'Counseling someone through a problem', 'Building a physical structure', 'Writing a persuasive article'). Each activity maps to a RIASEC type. Interest scores are computed per type and plotted on a RIASEC hexagon — the geometric shape that reveals which types are adjacent (compatible) and which are opposite (tension areas).</w:t>
      </w:r>
    </w:p>
    <w:p>
      <w:pPr>
        <w:spacing w:before="4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Each of the 6 RIASEC types is represented by 6 activities = 36 total items</w:t>
      </w:r>
    </w:p>
    <w:p>
      <w:pPr>
        <w:pStyle w:val="ListParagraph"/>
        <w:numPr>
          <w:ilvl w:val="0"/>
          <w:numId w:val="2"/>
        </w:numPr>
        <w:spacing w:before="40" w:after="55"/>
      </w:pPr>
      <w:r>
        <w:rPr>
          <w:rFonts w:ascii="Arial" w:cs="Arial" w:eastAsia="Arial" w:hAnsi="Arial"/>
          <w:color w:val="1C2331"/>
          <w:sz w:val="22"/>
          <w:szCs w:val="22"/>
        </w:rPr>
        <w:t xml:space="preserve">Response scale: 'Strongly Dislike → Dislike → Neutral → Like → Strongly Like'</w:t>
      </w:r>
    </w:p>
    <w:p>
      <w:pPr>
        <w:pStyle w:val="ListParagraph"/>
        <w:numPr>
          <w:ilvl w:val="0"/>
          <w:numId w:val="2"/>
        </w:numPr>
        <w:spacing w:before="40" w:after="55"/>
      </w:pPr>
      <w:r>
        <w:rPr>
          <w:rFonts w:ascii="Arial" w:cs="Arial" w:eastAsia="Arial" w:hAnsi="Arial"/>
          <w:color w:val="1C2331"/>
          <w:sz w:val="22"/>
          <w:szCs w:val="22"/>
        </w:rPr>
        <w:t xml:space="preserve">Adjacent types (e.g., Investigative + Realistic) indicate focused, coherent career profiles</w:t>
      </w:r>
    </w:p>
    <w:p>
      <w:pPr>
        <w:pStyle w:val="ListParagraph"/>
        <w:numPr>
          <w:ilvl w:val="0"/>
          <w:numId w:val="2"/>
        </w:numPr>
        <w:spacing w:before="40" w:after="55"/>
      </w:pPr>
      <w:r>
        <w:rPr>
          <w:rFonts w:ascii="Arial" w:cs="Arial" w:eastAsia="Arial" w:hAnsi="Arial"/>
          <w:color w:val="1C2331"/>
          <w:sz w:val="22"/>
          <w:szCs w:val="22"/>
        </w:rPr>
        <w:t xml:space="preserve">Opposite types (e.g., Artistic + Conventional) may indicate tension areas that need exploration</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Stage 2 — Aptitude Confidence Assessment (24 items, ~12 minutes)</w:t>
      </w:r>
    </w:p>
    <w:p>
      <w:pPr>
        <w:spacing w:before="60" w:after="80"/>
      </w:pPr>
      <w:r>
        <w:rPr>
          <w:rFonts w:ascii="Arial" w:cs="Arial" w:eastAsia="Arial" w:hAnsi="Arial"/>
          <w:color w:val="1C2331"/>
          <w:sz w:val="22"/>
          <w:szCs w:val="22"/>
        </w:rPr>
        <w:t xml:space="preserve">This stage assesses not just interest but self-assessed confidence in performing activities related to each RIASEC type. Interest without confidence identifies areas for development; confidence without interest identifies skills that may not be motivating. The intersection of high interest AND high confidence defines the candidate's strongest career direction.</w:t>
      </w:r>
    </w:p>
    <w:p>
      <w:pPr>
        <w:spacing w:before="4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For each of the 6 RIASEC types, 4 items assess confidence in domain-specific activities</w:t>
      </w:r>
    </w:p>
    <w:p>
      <w:pPr>
        <w:pStyle w:val="ListParagraph"/>
        <w:numPr>
          <w:ilvl w:val="0"/>
          <w:numId w:val="2"/>
        </w:numPr>
        <w:spacing w:before="40" w:after="55"/>
      </w:pPr>
      <w:r>
        <w:rPr>
          <w:rFonts w:ascii="Arial" w:cs="Arial" w:eastAsia="Arial" w:hAnsi="Arial"/>
          <w:color w:val="1C2331"/>
          <w:sz w:val="22"/>
          <w:szCs w:val="22"/>
        </w:rPr>
        <w:t xml:space="preserve">Confidence score combined with interest score to produce a Career Aptitude Index (CAI) per type</w:t>
      </w:r>
    </w:p>
    <w:p>
      <w:pPr>
        <w:pStyle w:val="ListParagraph"/>
        <w:numPr>
          <w:ilvl w:val="0"/>
          <w:numId w:val="2"/>
        </w:numPr>
        <w:spacing w:before="40" w:after="55"/>
      </w:pPr>
      <w:r>
        <w:rPr>
          <w:rFonts w:ascii="Arial" w:cs="Arial" w:eastAsia="Arial" w:hAnsi="Arial"/>
          <w:color w:val="1C2331"/>
          <w:sz w:val="22"/>
          <w:szCs w:val="22"/>
        </w:rPr>
        <w:t xml:space="preserve">CAI &gt; 75: Strong aptitude zone (priority career direction)</w:t>
      </w:r>
    </w:p>
    <w:p>
      <w:pPr>
        <w:pStyle w:val="ListParagraph"/>
        <w:numPr>
          <w:ilvl w:val="0"/>
          <w:numId w:val="2"/>
        </w:numPr>
        <w:spacing w:before="40" w:after="55"/>
      </w:pPr>
      <w:r>
        <w:rPr>
          <w:rFonts w:ascii="Arial" w:cs="Arial" w:eastAsia="Arial" w:hAnsi="Arial"/>
          <w:color w:val="1C2331"/>
          <w:sz w:val="22"/>
          <w:szCs w:val="22"/>
        </w:rPr>
        <w:t xml:space="preserve">CAI 50–74: Moderate aptitude zone (viable with development)</w:t>
      </w:r>
    </w:p>
    <w:p>
      <w:pPr>
        <w:pStyle w:val="ListParagraph"/>
        <w:numPr>
          <w:ilvl w:val="0"/>
          <w:numId w:val="2"/>
        </w:numPr>
        <w:spacing w:before="40" w:after="55"/>
      </w:pPr>
      <w:r>
        <w:rPr>
          <w:rFonts w:ascii="Arial" w:cs="Arial" w:eastAsia="Arial" w:hAnsi="Arial"/>
          <w:color w:val="1C2331"/>
          <w:sz w:val="22"/>
          <w:szCs w:val="22"/>
        </w:rPr>
        <w:t xml:space="preserve">CAI &lt; 50: Exploration zone (interest or confidence needs building first)</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Stage 3 — Domain Aptitude Modules (3 modules, ~20 minutes)</w:t>
      </w:r>
    </w:p>
    <w:p>
      <w:pPr>
        <w:spacing w:before="60" w:after="80"/>
      </w:pPr>
      <w:r>
        <w:rPr>
          <w:rFonts w:ascii="Arial" w:cs="Arial" w:eastAsia="Arial" w:hAnsi="Arial"/>
          <w:color w:val="1C2331"/>
          <w:sz w:val="22"/>
          <w:szCs w:val="22"/>
        </w:rPr>
        <w:t xml:space="preserve">Candidates complete 3 short domain-specific aptitude tasks corresponding to their top 2 RIASEC types. These are practical, non-knowledge tasks that assess natural aptitude: numerical reasoning, verbal reasoning, abstract pattern tasks, spatial visualization, or interpersonal scenario judgment — depending on which RIASEC types are dominant.</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3.3 RIASEC Profile Output</w:t>
      </w:r>
    </w:p>
    <w:p>
      <w:pPr>
        <w:spacing w:before="40" w:after="0"/>
      </w:pPr>
      <w:r>
        <w:rPr>
          <w:rFonts w:ascii="Arial" w:cs="Arial" w:eastAsia="Arial" w:hAnsi="Arial"/>
          <w:color w:val="1C23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6" w:sz="1"/>
              <w:left w:val="single" w:color="1A5C36" w:sz="20"/>
              <w:bottom w:val="single" w:color="1A5C36" w:sz="1"/>
              <w:right w:val="single" w:color="1A5C36" w:sz="1"/>
            </w:tcBorders>
            <w:shd w:fill="D3EDDF" w:val="clear"/>
            <w:tcMar>
              <w:top w:type="dxa" w:w="120"/>
              <w:left w:type="dxa" w:w="220"/>
              <w:bottom w:type="dxa" w:w="120"/>
              <w:right w:type="dxa" w:w="200"/>
            </w:tcMar>
          </w:tcPr>
          <w:p>
            <w:pPr>
              <w:spacing w:before="0" w:after="60"/>
            </w:pPr>
            <w:r>
              <w:rPr>
                <w:rFonts w:ascii="Arial" w:cs="Arial" w:eastAsia="Arial" w:hAnsi="Arial"/>
                <w:b/>
                <w:bCs/>
                <w:color w:val="1A5C36"/>
                <w:sz w:val="24"/>
                <w:szCs w:val="24"/>
              </w:rPr>
              <w:t xml:space="preserve">Career Aptitude Profile Deliverables</w:t>
            </w:r>
          </w:p>
          <w:p>
            <w:pPr>
              <w:pStyle w:val="ListParagraph"/>
              <w:numPr>
                <w:ilvl w:val="0"/>
                <w:numId w:val="2"/>
              </w:numPr>
              <w:spacing w:before="30" w:after="40"/>
            </w:pPr>
            <w:r>
              <w:rPr>
                <w:rFonts w:ascii="Arial" w:cs="Arial" w:eastAsia="Arial" w:hAnsi="Arial"/>
                <w:color w:val="1C2331"/>
                <w:sz w:val="21"/>
                <w:szCs w:val="21"/>
              </w:rPr>
              <w:t xml:space="preserve">RIASEC Hexagon: Visual hexagonal chart showing the candidate's scores across all 6 types — dominant types highlighted</w:t>
            </w:r>
          </w:p>
          <w:p>
            <w:pPr>
              <w:pStyle w:val="ListParagraph"/>
              <w:numPr>
                <w:ilvl w:val="0"/>
                <w:numId w:val="2"/>
              </w:numPr>
              <w:spacing w:before="30" w:after="40"/>
            </w:pPr>
            <w:r>
              <w:rPr>
                <w:rFonts w:ascii="Arial" w:cs="Arial" w:eastAsia="Arial" w:hAnsi="Arial"/>
                <w:color w:val="1C2331"/>
                <w:sz w:val="21"/>
                <w:szCs w:val="21"/>
              </w:rPr>
              <w:t xml:space="preserve">Top 3 Types: Explicitly named with plain-language descriptions of what the candidate is likely to enjoy and excel at</w:t>
            </w:r>
          </w:p>
          <w:p>
            <w:pPr>
              <w:pStyle w:val="ListParagraph"/>
              <w:numPr>
                <w:ilvl w:val="0"/>
                <w:numId w:val="2"/>
              </w:numPr>
              <w:spacing w:before="30" w:after="40"/>
            </w:pPr>
            <w:r>
              <w:rPr>
                <w:rFonts w:ascii="Arial" w:cs="Arial" w:eastAsia="Arial" w:hAnsi="Arial"/>
                <w:color w:val="1C2331"/>
                <w:sz w:val="21"/>
                <w:szCs w:val="21"/>
              </w:rPr>
              <w:t xml:space="preserve">Career Match List: Top 20 career categories ranked by RIASEC alignment — with brief descriptions of why each is a strong or moderate match</w:t>
            </w:r>
          </w:p>
          <w:p>
            <w:pPr>
              <w:pStyle w:val="ListParagraph"/>
              <w:numPr>
                <w:ilvl w:val="0"/>
                <w:numId w:val="2"/>
              </w:numPr>
              <w:spacing w:before="30" w:after="40"/>
            </w:pPr>
            <w:r>
              <w:rPr>
                <w:rFonts w:ascii="Arial" w:cs="Arial" w:eastAsia="Arial" w:hAnsi="Arial"/>
                <w:color w:val="1C2331"/>
                <w:sz w:val="21"/>
                <w:szCs w:val="21"/>
              </w:rPr>
              <w:t xml:space="preserve">Interest-Confidence Gap Map: Visual showing where interest and confidence diverge — indicating either underdeveloped skills or unexplored passions</w:t>
            </w:r>
          </w:p>
          <w:p>
            <w:pPr>
              <w:pStyle w:val="ListParagraph"/>
              <w:numPr>
                <w:ilvl w:val="0"/>
                <w:numId w:val="2"/>
              </w:numPr>
              <w:spacing w:before="30" w:after="40"/>
            </w:pPr>
            <w:r>
              <w:rPr>
                <w:rFonts w:ascii="Arial" w:cs="Arial" w:eastAsia="Arial" w:hAnsi="Arial"/>
                <w:color w:val="1C2331"/>
                <w:sz w:val="21"/>
                <w:szCs w:val="21"/>
              </w:rPr>
              <w:t xml:space="preserve">Domain Direction Recommendation: AI-generated recommendation for which of EcoSkiller's 5 domain tracks (Arts / Commerce / Science / Technology / Administration) best aligns with the RIASEC profile</w:t>
            </w:r>
          </w:p>
          <w:p>
            <w:pPr>
              <w:pStyle w:val="ListParagraph"/>
              <w:numPr>
                <w:ilvl w:val="0"/>
                <w:numId w:val="2"/>
              </w:numPr>
              <w:spacing w:before="30" w:after="40"/>
            </w:pPr>
            <w:r>
              <w:rPr>
                <w:rFonts w:ascii="Arial" w:cs="Arial" w:eastAsia="Arial" w:hAnsi="Arial"/>
                <w:color w:val="1C2331"/>
                <w:sz w:val="21"/>
                <w:szCs w:val="21"/>
              </w:rPr>
              <w:t xml:space="preserve">Adjacent Type Insight: An explanation of how the candidate's top 2–3 adjacent RIASEC types combine to define a unique career niche</w:t>
            </w:r>
          </w:p>
        </w:tc>
      </w:tr>
    </w:tbl>
    <w:p>
      <w:pPr>
        <w:spacing w:before="160" w:after="0"/>
      </w:pPr>
      <w:r>
        <w:rPr>
          <w:rFonts w:ascii="Arial" w:cs="Arial" w:eastAsia="Arial" w:hAnsi="Arial"/>
          <w:color w:val="1C2331"/>
          <w:sz w:val="22"/>
          <w:szCs w:val="22"/>
        </w:rPr>
        <w:t xml:space="preserve"/>
      </w:r>
    </w:p>
    <w:p>
      <w:r>
        <w:br w:type="page"/>
      </w:r>
    </w:p>
    <w:p>
      <w:pPr>
        <w:pStyle w:val="Heading1"/>
        <w:pBdr>
          <w:bottom w:val="single" w:color="0D2B55" w:sz="10" w:space="4"/>
        </w:pBdr>
        <w:spacing w:before="400" w:after="200"/>
      </w:pPr>
      <w:r>
        <w:rPr>
          <w:rFonts w:ascii="Arial" w:cs="Arial" w:eastAsia="Arial" w:hAnsi="Arial"/>
          <w:b/>
          <w:bCs/>
          <w:color w:val="0D2B55"/>
          <w:sz w:val="40"/>
          <w:szCs w:val="40"/>
        </w:rPr>
        <w:t xml:space="preserve">Feature 04 — Skill Discovery Questionnaire</w:t>
      </w:r>
    </w:p>
    <w:p>
      <w:pPr>
        <w:spacing w:before="60" w:after="80"/>
      </w:pPr>
      <w:r>
        <w:rPr>
          <w:rFonts w:ascii="Arial" w:cs="Arial" w:eastAsia="Arial" w:hAnsi="Arial"/>
          <w:color w:val="1C2331"/>
          <w:sz w:val="22"/>
          <w:szCs w:val="22"/>
        </w:rPr>
        <w:t xml:space="preserve">The Skill Discovery Questionnaire (SDQ) is a structured intake instrument that builds the initial version of the candidate's Skill Profile before any formal assessments or course completions have occurred. It captures self-reported skills, learning experiences, extracurricular activities, and informal competencies — then applies the EcoSkiller Skill Extraction Classifier (SEC) Agent to parse, validate, and map these inputs to the platform's locked skill taxonomy.</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4.1 Questionnaire Structure — 5 Sections</w:t>
      </w:r>
    </w:p>
    <w:p>
      <w:pPr>
        <w:spacing w:before="220" w:after="80"/>
      </w:pPr>
      <w:r>
        <w:rPr>
          <w:rFonts w:ascii="Arial" w:cs="Arial" w:eastAsia="Arial" w:hAnsi="Arial"/>
          <w:b/>
          <w:bCs/>
          <w:color w:val="0D2B55"/>
          <w:sz w:val="24"/>
          <w:szCs w:val="24"/>
        </w:rPr>
        <w:t xml:space="preserve">Section 1 — Academic &amp; Educational Background (15 items)</w:t>
      </w:r>
    </w:p>
    <w:p>
      <w:pPr>
        <w:spacing w:before="60" w:after="80"/>
      </w:pPr>
      <w:r>
        <w:rPr>
          <w:rFonts w:ascii="Arial" w:cs="Arial" w:eastAsia="Arial" w:hAnsi="Arial"/>
          <w:color w:val="1C2331"/>
          <w:sz w:val="22"/>
          <w:szCs w:val="22"/>
        </w:rPr>
        <w:t xml:space="preserve">Gathers structured information about the candidate's formal education: subjects studied with self-assessed proficiency levels, academic projects completed, courses taken outside the standard curriculum, and any formal certifications held. The SDQ does not accept self-declaration at face value — it follows up each skill claim with a 'how did you develop this?' question that provides evidence context for the SEC Agent to evaluate.</w:t>
      </w:r>
    </w:p>
    <w:p>
      <w:pPr>
        <w:spacing w:before="4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Subject proficiency grid: Candidate rates proficiency (Novice/Beginner/Intermediate/Advanced) for each subject in their curriculum</w:t>
      </w:r>
    </w:p>
    <w:p>
      <w:pPr>
        <w:pStyle w:val="ListParagraph"/>
        <w:numPr>
          <w:ilvl w:val="0"/>
          <w:numId w:val="2"/>
        </w:numPr>
        <w:spacing w:before="40" w:after="55"/>
      </w:pPr>
      <w:r>
        <w:rPr>
          <w:rFonts w:ascii="Arial" w:cs="Arial" w:eastAsia="Arial" w:hAnsi="Arial"/>
          <w:color w:val="1C2331"/>
          <w:sz w:val="22"/>
          <w:szCs w:val="22"/>
        </w:rPr>
        <w:t xml:space="preserve">Evidence probe: For each subject rated Intermediate or above, a follow-up question asks 'How have you demonstrated this level? (Select all that apply): Used in project / Achieved high grade / Received external recognition / Taught others / Used in extracurricular activity'</w:t>
      </w:r>
    </w:p>
    <w:p>
      <w:pPr>
        <w:pStyle w:val="ListParagraph"/>
        <w:numPr>
          <w:ilvl w:val="0"/>
          <w:numId w:val="2"/>
        </w:numPr>
        <w:spacing w:before="40" w:after="55"/>
      </w:pPr>
      <w:r>
        <w:rPr>
          <w:rFonts w:ascii="Arial" w:cs="Arial" w:eastAsia="Arial" w:hAnsi="Arial"/>
          <w:color w:val="1C2331"/>
          <w:sz w:val="22"/>
          <w:szCs w:val="22"/>
        </w:rPr>
        <w:t xml:space="preserve">Certification capture: Any formal certifications (school, government, private institution) are documented with issuing organization and year</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Section 2 — Extracurricular &amp; Leadership Activities (12 items)</w:t>
      </w:r>
    </w:p>
    <w:p>
      <w:pPr>
        <w:spacing w:before="60" w:after="80"/>
      </w:pPr>
      <w:r>
        <w:rPr>
          <w:rFonts w:ascii="Arial" w:cs="Arial" w:eastAsia="Arial" w:hAnsi="Arial"/>
          <w:color w:val="1C2331"/>
          <w:sz w:val="22"/>
          <w:szCs w:val="22"/>
        </w:rPr>
        <w:t xml:space="preserve">Captures clubs, societies, competitions, volunteer work, elected positions, and sports — all of which are rich sources of soft skills and competencies that formal education does not measure. Each activity is tagged to skill nodes in the taxonomy.</w:t>
      </w:r>
    </w:p>
    <w:p>
      <w:pPr>
        <w:spacing w:before="4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Activity type taxonomy: Sports, Cultural, Technical, Social, Academic, Entrepreneurial, Creative, Community Service — candidate selects all that apply</w:t>
      </w:r>
    </w:p>
    <w:p>
      <w:pPr>
        <w:pStyle w:val="ListParagraph"/>
        <w:numPr>
          <w:ilvl w:val="0"/>
          <w:numId w:val="2"/>
        </w:numPr>
        <w:spacing w:before="40" w:after="55"/>
      </w:pPr>
      <w:r>
        <w:rPr>
          <w:rFonts w:ascii="Arial" w:cs="Arial" w:eastAsia="Arial" w:hAnsi="Arial"/>
          <w:color w:val="1C2331"/>
          <w:sz w:val="22"/>
          <w:szCs w:val="22"/>
        </w:rPr>
        <w:t xml:space="preserve">Role clarification: For each activity, candidate selects role: Participant / Core Member / Team Leader / Founder / Captain — role determines skill evidence weight</w:t>
      </w:r>
    </w:p>
    <w:p>
      <w:pPr>
        <w:pStyle w:val="ListParagraph"/>
        <w:numPr>
          <w:ilvl w:val="0"/>
          <w:numId w:val="2"/>
        </w:numPr>
        <w:spacing w:before="40" w:after="55"/>
      </w:pPr>
      <w:r>
        <w:rPr>
          <w:rFonts w:ascii="Arial" w:cs="Arial" w:eastAsia="Arial" w:hAnsi="Arial"/>
          <w:color w:val="1C2331"/>
          <w:sz w:val="22"/>
          <w:szCs w:val="22"/>
        </w:rPr>
        <w:t xml:space="preserve">Duration and continuity: Activities pursued for 1+ years at leadership level receive higher skill evidence weight than one-time participation</w:t>
      </w:r>
    </w:p>
    <w:p>
      <w:pPr>
        <w:pStyle w:val="ListParagraph"/>
        <w:numPr>
          <w:ilvl w:val="0"/>
          <w:numId w:val="2"/>
        </w:numPr>
        <w:spacing w:before="40" w:after="55"/>
      </w:pPr>
      <w:r>
        <w:rPr>
          <w:rFonts w:ascii="Arial" w:cs="Arial" w:eastAsia="Arial" w:hAnsi="Arial"/>
          <w:color w:val="1C2331"/>
          <w:sz w:val="22"/>
          <w:szCs w:val="22"/>
        </w:rPr>
        <w:t xml:space="preserve">Competition level: If the activity involved competitive events, the level (local/district/state/national/international) is captured and maps directly to tournament achievement evidence</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Section 3 — Work &amp; Project Experience (10 items)</w:t>
      </w:r>
    </w:p>
    <w:p>
      <w:pPr>
        <w:spacing w:before="60" w:after="80"/>
      </w:pPr>
      <w:r>
        <w:rPr>
          <w:rFonts w:ascii="Arial" w:cs="Arial" w:eastAsia="Arial" w:hAnsi="Arial"/>
          <w:color w:val="1C2331"/>
          <w:sz w:val="22"/>
          <w:szCs w:val="22"/>
        </w:rPr>
        <w:t xml:space="preserve">For candidates with any prior work experience, internships, freelance work, or self-initiated projects, this section documents the nature of the work, tools and technologies used, and outcomes achieved. Even informal projects (e.g., 'I built a website for my uncle's shop') are captured — the SEC Agent evaluates whether they constitute credible skill evidence.</w:t>
      </w:r>
    </w:p>
    <w:p>
      <w:pPr>
        <w:spacing w:before="4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Project type: Academic / Personal / Commissioned / Internship / Freelance / Community</w:t>
      </w:r>
    </w:p>
    <w:p>
      <w:pPr>
        <w:pStyle w:val="ListParagraph"/>
        <w:numPr>
          <w:ilvl w:val="0"/>
          <w:numId w:val="2"/>
        </w:numPr>
        <w:spacing w:before="40" w:after="55"/>
      </w:pPr>
      <w:r>
        <w:rPr>
          <w:rFonts w:ascii="Arial" w:cs="Arial" w:eastAsia="Arial" w:hAnsi="Arial"/>
          <w:color w:val="1C2331"/>
          <w:sz w:val="22"/>
          <w:szCs w:val="22"/>
        </w:rPr>
        <w:t xml:space="preserve">Technology stack: Candidate selects from a structured list of technologies, tools, and frameworks — free-text option for unlisted items</w:t>
      </w:r>
    </w:p>
    <w:p>
      <w:pPr>
        <w:pStyle w:val="ListParagraph"/>
        <w:numPr>
          <w:ilvl w:val="0"/>
          <w:numId w:val="2"/>
        </w:numPr>
        <w:spacing w:before="40" w:after="55"/>
      </w:pPr>
      <w:r>
        <w:rPr>
          <w:rFonts w:ascii="Arial" w:cs="Arial" w:eastAsia="Arial" w:hAnsi="Arial"/>
          <w:color w:val="1C2331"/>
          <w:sz w:val="22"/>
          <w:szCs w:val="22"/>
        </w:rPr>
        <w:t xml:space="preserve">Outcome capture: 'What did you produce?' with structured options: Working software / Published content / Event organized / Research paper / Design artifact / Business process / Physical product</w:t>
      </w:r>
    </w:p>
    <w:p>
      <w:pPr>
        <w:pStyle w:val="ListParagraph"/>
        <w:numPr>
          <w:ilvl w:val="0"/>
          <w:numId w:val="2"/>
        </w:numPr>
        <w:spacing w:before="40" w:after="55"/>
      </w:pPr>
      <w:r>
        <w:rPr>
          <w:rFonts w:ascii="Arial" w:cs="Arial" w:eastAsia="Arial" w:hAnsi="Arial"/>
          <w:color w:val="1C2331"/>
          <w:sz w:val="22"/>
          <w:szCs w:val="22"/>
        </w:rPr>
        <w:t xml:space="preserve">Verification flag: Projects that can be verified (GitHub link, published URL, institution record) are flagged for higher evidence weight</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Section 4 — Learning Style &amp; Preferences (8 items)</w:t>
      </w:r>
    </w:p>
    <w:p>
      <w:pPr>
        <w:spacing w:before="60" w:after="80"/>
      </w:pPr>
      <w:r>
        <w:rPr>
          <w:rFonts w:ascii="Arial" w:cs="Arial" w:eastAsia="Arial" w:hAnsi="Arial"/>
          <w:color w:val="1C2331"/>
          <w:sz w:val="22"/>
          <w:szCs w:val="22"/>
        </w:rPr>
        <w:t xml:space="preserve">Identifies how the candidate learns most effectively — a key input for learning path construction. This section cross-validates with the intelligence type assessment, using behavioral preference data rather than self-report alone.</w:t>
      </w:r>
    </w:p>
    <w:p>
      <w:pPr>
        <w:spacing w:before="4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Preferred learning media: Video / Text / Interactive exercises / Peer discussion / Hands-on projects / Mentored sessions — candidate ranks all 6</w:t>
      </w:r>
    </w:p>
    <w:p>
      <w:pPr>
        <w:pStyle w:val="ListParagraph"/>
        <w:numPr>
          <w:ilvl w:val="0"/>
          <w:numId w:val="2"/>
        </w:numPr>
        <w:spacing w:before="40" w:after="55"/>
      </w:pPr>
      <w:r>
        <w:rPr>
          <w:rFonts w:ascii="Arial" w:cs="Arial" w:eastAsia="Arial" w:hAnsi="Arial"/>
          <w:color w:val="1C2331"/>
          <w:sz w:val="22"/>
          <w:szCs w:val="22"/>
        </w:rPr>
        <w:t xml:space="preserve">Session length preference: Sprint (15–30 min) / Standard (30–60 min) / Deep work (60–120 min)</w:t>
      </w:r>
    </w:p>
    <w:p>
      <w:pPr>
        <w:pStyle w:val="ListParagraph"/>
        <w:numPr>
          <w:ilvl w:val="0"/>
          <w:numId w:val="2"/>
        </w:numPr>
        <w:spacing w:before="40" w:after="55"/>
      </w:pPr>
      <w:r>
        <w:rPr>
          <w:rFonts w:ascii="Arial" w:cs="Arial" w:eastAsia="Arial" w:hAnsi="Arial"/>
          <w:color w:val="1C2331"/>
          <w:sz w:val="22"/>
          <w:szCs w:val="22"/>
        </w:rPr>
        <w:t xml:space="preserve">Feedback style preference: Immediate automated / Delayed detailed / Peer-compared / Mentor-reviewed</w:t>
      </w:r>
    </w:p>
    <w:p>
      <w:pPr>
        <w:pStyle w:val="ListParagraph"/>
        <w:numPr>
          <w:ilvl w:val="0"/>
          <w:numId w:val="2"/>
        </w:numPr>
        <w:spacing w:before="40" w:after="55"/>
      </w:pPr>
      <w:r>
        <w:rPr>
          <w:rFonts w:ascii="Arial" w:cs="Arial" w:eastAsia="Arial" w:hAnsi="Arial"/>
          <w:color w:val="1C2331"/>
          <w:sz w:val="22"/>
          <w:szCs w:val="22"/>
        </w:rPr>
        <w:t xml:space="preserve">Challenge appetite: 'I prefer tasks that are slightly outside my comfort zone' / 'I prefer tasks where I am confident of success' / 'I seek the hardest challenges available'</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Section 5 — Career Aspirations &amp; Constraints (10 items)</w:t>
      </w:r>
    </w:p>
    <w:p>
      <w:pPr>
        <w:spacing w:before="60" w:after="80"/>
      </w:pPr>
      <w:r>
        <w:rPr>
          <w:rFonts w:ascii="Arial" w:cs="Arial" w:eastAsia="Arial" w:hAnsi="Arial"/>
          <w:color w:val="1C2331"/>
          <w:sz w:val="22"/>
          <w:szCs w:val="22"/>
        </w:rPr>
        <w:t xml:space="preserve">Captures the candidate's conscious career goals, geographic preferences, industry interests, salary expectations, and any known constraints (family commitments, geographic limits, health considerations). These inputs anchor the career roadmap generation and are treated as soft constraints that guide but do not override AI recommendations.</w:t>
      </w:r>
    </w:p>
    <w:p>
      <w:pPr>
        <w:spacing w:before="4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Target industry: Multi-select from 20 industry categories — candidate selects top 3</w:t>
      </w:r>
    </w:p>
    <w:p>
      <w:pPr>
        <w:pStyle w:val="ListParagraph"/>
        <w:numPr>
          <w:ilvl w:val="0"/>
          <w:numId w:val="2"/>
        </w:numPr>
        <w:spacing w:before="40" w:after="55"/>
      </w:pPr>
      <w:r>
        <w:rPr>
          <w:rFonts w:ascii="Arial" w:cs="Arial" w:eastAsia="Arial" w:hAnsi="Arial"/>
          <w:color w:val="1C2331"/>
          <w:sz w:val="22"/>
          <w:szCs w:val="22"/>
        </w:rPr>
        <w:t xml:space="preserve">Target role type: Technical / Management / Creative / Research / Client-Facing / Operational — candidate selects top 2</w:t>
      </w:r>
    </w:p>
    <w:p>
      <w:pPr>
        <w:pStyle w:val="ListParagraph"/>
        <w:numPr>
          <w:ilvl w:val="0"/>
          <w:numId w:val="2"/>
        </w:numPr>
        <w:spacing w:before="40" w:after="55"/>
      </w:pPr>
      <w:r>
        <w:rPr>
          <w:rFonts w:ascii="Arial" w:cs="Arial" w:eastAsia="Arial" w:hAnsi="Arial"/>
          <w:color w:val="1C2331"/>
          <w:sz w:val="22"/>
          <w:szCs w:val="22"/>
        </w:rPr>
        <w:t xml:space="preserve">Geographic preference: Home city / State / National / International — affects recruiter matching radius</w:t>
      </w:r>
    </w:p>
    <w:p>
      <w:pPr>
        <w:pStyle w:val="ListParagraph"/>
        <w:numPr>
          <w:ilvl w:val="0"/>
          <w:numId w:val="2"/>
        </w:numPr>
        <w:spacing w:before="40" w:after="55"/>
      </w:pPr>
      <w:r>
        <w:rPr>
          <w:rFonts w:ascii="Arial" w:cs="Arial" w:eastAsia="Arial" w:hAnsi="Arial"/>
          <w:color w:val="1C2331"/>
          <w:sz w:val="22"/>
          <w:szCs w:val="22"/>
        </w:rPr>
        <w:t xml:space="preserve">Timeline: 'I want to be employed within': 6 months / 1 year / 2 years / 3+ years — affects urgency weighting in ASRA</w:t>
      </w:r>
    </w:p>
    <w:p>
      <w:pPr>
        <w:pStyle w:val="ListParagraph"/>
        <w:numPr>
          <w:ilvl w:val="0"/>
          <w:numId w:val="2"/>
        </w:numPr>
        <w:spacing w:before="40" w:after="55"/>
      </w:pPr>
      <w:r>
        <w:rPr>
          <w:rFonts w:ascii="Arial" w:cs="Arial" w:eastAsia="Arial" w:hAnsi="Arial"/>
          <w:color w:val="1C2331"/>
          <w:sz w:val="22"/>
          <w:szCs w:val="22"/>
        </w:rPr>
        <w:t xml:space="preserve">Constraint declaration: Optional — any known constraints that should influence recommendations (geographic, health, financial) are captured confidentially and used only for path personalization, never shared externally</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4.2 SEC Agent Processing — From Questionnaire to Skill Vector Seed</w:t>
      </w:r>
    </w:p>
    <w:p>
      <w:pPr>
        <w:spacing w:before="60" w:after="80"/>
      </w:pPr>
      <w:r>
        <w:rPr>
          <w:rFonts w:ascii="Arial" w:cs="Arial" w:eastAsia="Arial" w:hAnsi="Arial"/>
          <w:color w:val="1C2331"/>
          <w:sz w:val="22"/>
          <w:szCs w:val="22"/>
        </w:rPr>
        <w:t xml:space="preserve">Once the SDQ is submitted, the Skill Extraction Classifier (SEC) Agent processes all responses to generate the initial version of the candidate's Skill Vector — the starting point that all subsequent assessments will build upon.</w:t>
      </w:r>
    </w:p>
    <w:p>
      <w:pPr>
        <w:spacing w:before="6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NLP parsing: All free-text responses and tool/technology mentions are parsed and mapped to skill taxonomy nodes</w:t>
      </w:r>
    </w:p>
    <w:p>
      <w:pPr>
        <w:pStyle w:val="ListParagraph"/>
        <w:numPr>
          <w:ilvl w:val="0"/>
          <w:numId w:val="2"/>
        </w:numPr>
        <w:spacing w:before="40" w:after="55"/>
      </w:pPr>
      <w:r>
        <w:rPr>
          <w:rFonts w:ascii="Arial" w:cs="Arial" w:eastAsia="Arial" w:hAnsi="Arial"/>
          <w:color w:val="1C2331"/>
          <w:sz w:val="22"/>
          <w:szCs w:val="22"/>
        </w:rPr>
        <w:t xml:space="preserve">Confidence scoring: Each initial skill node assignment receives a confidence score: 0.3 (self-declared, no evidence) → 0.5 (self-declared with evidence context) → 0.7 (verified by institution or competition result) → 0.9–1.0 (platform-verified through assessment)</w:t>
      </w:r>
    </w:p>
    <w:p>
      <w:pPr>
        <w:pStyle w:val="ListParagraph"/>
        <w:numPr>
          <w:ilvl w:val="0"/>
          <w:numId w:val="2"/>
        </w:numPr>
        <w:spacing w:before="40" w:after="55"/>
      </w:pPr>
      <w:r>
        <w:rPr>
          <w:rFonts w:ascii="Arial" w:cs="Arial" w:eastAsia="Arial" w:hAnsi="Arial"/>
          <w:color w:val="1C2331"/>
          <w:sz w:val="22"/>
          <w:szCs w:val="22"/>
        </w:rPr>
        <w:t xml:space="preserve">Skill falsification detection: The SEC Agent cross-references claimed proficiency levels against stated evidence. If a candidate claims Advanced Python but has no projects, competitions, or courses involving Python, the claim is downgraded to self-declared with a 0.3 confidence score and flagged for verification through assessment</w:t>
      </w:r>
    </w:p>
    <w:p>
      <w:pPr>
        <w:pStyle w:val="ListParagraph"/>
        <w:numPr>
          <w:ilvl w:val="0"/>
          <w:numId w:val="2"/>
        </w:numPr>
        <w:spacing w:before="40" w:after="55"/>
      </w:pPr>
      <w:r>
        <w:rPr>
          <w:rFonts w:ascii="Arial" w:cs="Arial" w:eastAsia="Arial" w:hAnsi="Arial"/>
          <w:color w:val="1C2331"/>
          <w:sz w:val="22"/>
          <w:szCs w:val="22"/>
        </w:rPr>
        <w:t xml:space="preserve">Initial Skill Map: The processed questionnaire produces the first version of the candidate's Skill Map — visible on their dashboard — with confidence levels clearly indicated</w:t>
      </w:r>
    </w:p>
    <w:p>
      <w:pPr>
        <w:pStyle w:val="ListParagraph"/>
        <w:numPr>
          <w:ilvl w:val="0"/>
          <w:numId w:val="2"/>
        </w:numPr>
        <w:spacing w:before="40" w:after="55"/>
      </w:pPr>
      <w:r>
        <w:rPr>
          <w:rFonts w:ascii="Arial" w:cs="Arial" w:eastAsia="Arial" w:hAnsi="Arial"/>
          <w:color w:val="1C2331"/>
          <w:sz w:val="22"/>
          <w:szCs w:val="22"/>
        </w:rPr>
        <w:t xml:space="preserve">Priority assessment recommendations: Based on the initial skill vector, the platform recommends which formal assessments (GD, tournaments, Dojo challenges) the candidate should complete first to raise confidence scores on their key claimed skills</w:t>
      </w:r>
    </w:p>
    <w:p>
      <w:pPr>
        <w:spacing w:before="160" w:after="0"/>
      </w:pPr>
      <w:r>
        <w:rPr>
          <w:rFonts w:ascii="Arial" w:cs="Arial" w:eastAsia="Arial" w:hAnsi="Arial"/>
          <w:color w:val="1C2331"/>
          <w:sz w:val="22"/>
          <w:szCs w:val="22"/>
        </w:rPr>
        <w:t xml:space="preserve"/>
      </w:r>
    </w:p>
    <w:p>
      <w:r>
        <w:br w:type="page"/>
      </w:r>
    </w:p>
    <w:p>
      <w:pPr>
        <w:pStyle w:val="Heading1"/>
        <w:pBdr>
          <w:bottom w:val="single" w:color="0D2B55" w:sz="10" w:space="4"/>
        </w:pBdr>
        <w:spacing w:before="400" w:after="200"/>
      </w:pPr>
      <w:r>
        <w:rPr>
          <w:rFonts w:ascii="Arial" w:cs="Arial" w:eastAsia="Arial" w:hAnsi="Arial"/>
          <w:b/>
          <w:bCs/>
          <w:color w:val="0D2B55"/>
          <w:sz w:val="40"/>
          <w:szCs w:val="40"/>
        </w:rPr>
        <w:t xml:space="preserve">Feature 05 — AI-Based Career Recommendations</w:t>
      </w:r>
    </w:p>
    <w:p>
      <w:pPr>
        <w:spacing w:before="60" w:after="80"/>
      </w:pPr>
      <w:r>
        <w:rPr>
          <w:rFonts w:ascii="Arial" w:cs="Arial" w:eastAsia="Arial" w:hAnsi="Arial"/>
          <w:color w:val="1C2331"/>
          <w:sz w:val="22"/>
          <w:szCs w:val="22"/>
        </w:rPr>
        <w:t xml:space="preserve">The AI-Based Career Recommendation system is the ANTIGRAVITY intelligence engine working at full capacity. It synthesizes the Intelligence DNA Vector, Personality Profile, RIASEC Career Aptitude Profile, initial Skill Vector, platform behavioral data, and real-time market demand signals into a set of precise, evidence-backed career recommendations. This is not a 'you might like' suggestion engine — it is a data-driven prescription system that ranks career paths by fit, feasibility, and market opportunity.</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5.1 The ASRA Skill Gravity Score (SGS) — Recommendation Algorithm</w:t>
      </w:r>
    </w:p>
    <w:p>
      <w:pPr>
        <w:spacing w:before="60" w:after="80"/>
      </w:pPr>
      <w:r>
        <w:rPr>
          <w:rFonts w:ascii="Arial" w:cs="Arial" w:eastAsia="Arial" w:hAnsi="Arial"/>
          <w:color w:val="1C2331"/>
          <w:sz w:val="22"/>
          <w:szCs w:val="22"/>
        </w:rPr>
        <w:t xml:space="preserve">Every career recommendation is computed through the Skill Gravity Score (SGS) formula. SGS measures the strength of the recommendation push — how urgently the system believes a specific career direction should be pursued, based on the combined evidence from all available signals.</w:t>
      </w:r>
    </w:p>
    <w:p>
      <w:pPr>
        <w:spacing w:before="60" w:after="0"/>
      </w:pPr>
      <w:r>
        <w:rPr>
          <w:rFonts w:ascii="Arial" w:cs="Arial" w:eastAsia="Arial" w:hAnsi="Arial"/>
          <w:color w:val="1C23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560"/>
        <w:gridCol w:w="2400"/>
      </w:tblGrid>
      <w:tr>
        <w:trPr>
          <w:tblHeader/>
        </w:trPr>
        <w:tc>
          <w:tcPr>
            <w:tcW w:type="dxa" w:w="4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w:t>
            </w:r>
          </w:p>
        </w:tc>
        <w:tc>
          <w:tcPr>
            <w:tcW w:type="dxa" w:w="30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Signal Input</w:t>
            </w:r>
          </w:p>
        </w:tc>
        <w:tc>
          <w:tcPr>
            <w:tcW w:type="dxa" w:w="356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It Measures</w:t>
            </w:r>
          </w:p>
        </w:tc>
        <w:tc>
          <w:tcPr>
            <w:tcW w:type="dxa" w:w="24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Weight</w:t>
            </w:r>
          </w:p>
        </w:tc>
      </w:tr>
      <w:tr>
        <w:tc>
          <w:tcPr>
            <w:tcW w:type="dxa" w:w="4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W1</w:t>
            </w:r>
          </w:p>
        </w:tc>
        <w:tc>
          <w:tcPr>
            <w:tcW w:type="dxa" w:w="30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Intelligence Alignment Score (SIG-01)</w:t>
            </w:r>
          </w:p>
        </w:tc>
        <w:tc>
          <w:tcPr>
            <w:tcW w:type="dxa" w:w="356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How well the career category matches the candidate's dominant intelligence types</w:t>
            </w:r>
          </w:p>
        </w:tc>
        <w:tc>
          <w:tcPr>
            <w:tcW w:type="dxa" w:w="24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22% — highest weight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W2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Belt/Progression Proximity (SIG-02)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How close the candidate's current skill level is to the minimum requirement for entry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18%</w:t>
            </w:r>
          </w:p>
        </w:tc>
      </w:tr>
      <w:tr>
        <w:tc>
          <w:tcPr>
            <w:tcW w:type="dxa" w:w="4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W3</w:t>
            </w:r>
          </w:p>
        </w:tc>
        <w:tc>
          <w:tcPr>
            <w:tcW w:type="dxa" w:w="30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Learning Momentum (SIG-03)</w:t>
            </w:r>
          </w:p>
        </w:tc>
        <w:tc>
          <w:tcPr>
            <w:tcW w:type="dxa" w:w="356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How actively the candidate is building relevant skills — course velocity and streak data</w:t>
            </w:r>
          </w:p>
        </w:tc>
        <w:tc>
          <w:tcPr>
            <w:tcW w:type="dxa" w:w="24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15%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W4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Application Rejection Signal (SIG-04)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Skill gaps cited in real application feedback — direct industry signal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18% — career-critical</w:t>
            </w:r>
          </w:p>
        </w:tc>
      </w:tr>
      <w:tr>
        <w:tc>
          <w:tcPr>
            <w:tcW w:type="dxa" w:w="4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W5</w:t>
            </w:r>
          </w:p>
        </w:tc>
        <w:tc>
          <w:tcPr>
            <w:tcW w:type="dxa" w:w="30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Recruiter Demand Index (SIG-05)</w:t>
            </w:r>
          </w:p>
        </w:tc>
        <w:tc>
          <w:tcPr>
            <w:tcW w:type="dxa" w:w="356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How frequently recruiters are actively seeking candidates for this career direction</w:t>
            </w:r>
          </w:p>
        </w:tc>
        <w:tc>
          <w:tcPr>
            <w:tcW w:type="dxa" w:w="24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12%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W6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Market Trend Coefficient (SIG-06)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Whether demand for the career category is growing, stable, or declining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8%</w:t>
            </w:r>
          </w:p>
        </w:tc>
      </w:tr>
      <w:tr>
        <w:tc>
          <w:tcPr>
            <w:tcW w:type="dxa" w:w="4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W7</w:t>
            </w:r>
          </w:p>
        </w:tc>
        <w:tc>
          <w:tcPr>
            <w:tcW w:type="dxa" w:w="30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Peer Benchmark Gap (SIG-07)</w:t>
            </w:r>
          </w:p>
        </w:tc>
        <w:tc>
          <w:tcPr>
            <w:tcW w:type="dxa" w:w="356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How the candidate's current positioning compares to peers in similar career tracks</w:t>
            </w:r>
          </w:p>
        </w:tc>
        <w:tc>
          <w:tcPr>
            <w:tcW w:type="dxa" w:w="24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W8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Portfolio Gap Multiplier (SIG-08)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The distance between what the candidate has and what the career requires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3%</w:t>
            </w:r>
          </w:p>
        </w:tc>
      </w:tr>
    </w:tbl>
    <w:p>
      <w:pPr>
        <w:spacing w:before="60" w:after="0"/>
      </w:pPr>
      <w:r>
        <w:rPr>
          <w:rFonts w:ascii="Arial" w:cs="Arial" w:eastAsia="Arial" w:hAnsi="Arial"/>
          <w:color w:val="1C2331"/>
          <w:sz w:val="22"/>
          <w:szCs w:val="22"/>
        </w:rPr>
        <w:t xml:space="preserve"/>
      </w:r>
    </w:p>
    <w:p>
      <w:pPr>
        <w:spacing w:before="60" w:after="80"/>
      </w:pPr>
      <w:r>
        <w:rPr>
          <w:rFonts w:ascii="Arial" w:cs="Arial" w:eastAsia="Arial" w:hAnsi="Arial"/>
          <w:color w:val="1C2331"/>
          <w:sz w:val="22"/>
          <w:szCs w:val="22"/>
        </w:rPr>
        <w:t xml:space="preserve">Note: Weights sum to 100%. W1 is the highest weight because intelligence alignment is the most powerful predictor of long-term career satisfaction and sustainable performance — not just entry-level employability.</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5.2 Recommendation Priority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3160"/>
      </w:tblGrid>
      <w:tr>
        <w:trPr>
          <w:tblHeader/>
        </w:trPr>
        <w:tc>
          <w:tcPr>
            <w:tcW w:type="dxa" w:w="18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SGS Score</w:t>
            </w:r>
          </w:p>
        </w:tc>
        <w:tc>
          <w:tcPr>
            <w:tcW w:type="dxa" w:w="16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 Tier</w:t>
            </w:r>
          </w:p>
        </w:tc>
        <w:tc>
          <w:tcPr>
            <w:tcW w:type="dxa" w:w="28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Platform Action</w:t>
            </w:r>
          </w:p>
        </w:tc>
        <w:tc>
          <w:tcPr>
            <w:tcW w:type="dxa" w:w="316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Candidate Sees</w:t>
            </w:r>
          </w:p>
        </w:tc>
      </w:tr>
      <w:tr>
        <w:tc>
          <w:tcPr>
            <w:tcW w:type="dxa" w:w="18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 0.80</w:t>
            </w:r>
          </w:p>
        </w:tc>
        <w:tc>
          <w:tcPr>
            <w:tcW w:type="dxa" w:w="16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CRITICAL</w:t>
            </w:r>
          </w:p>
        </w:tc>
        <w:tc>
          <w:tcPr>
            <w:tcW w:type="dxa" w:w="28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Forced surface on dashboard; push notification; highlighted in roadmap</w:t>
            </w:r>
          </w:p>
        </w:tc>
        <w:tc>
          <w:tcPr>
            <w:tcW w:type="dxa" w:w="316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'This career direction is strongly aligned with your profile — immediate action recommended'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0.60–0.79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Top 3 recommendation cards on Intelligence Discovery screen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Detailed explanation of fit with specific next action to move toward this direction</w:t>
            </w:r>
          </w:p>
        </w:tc>
      </w:tr>
      <w:tr>
        <w:tc>
          <w:tcPr>
            <w:tcW w:type="dxa" w:w="18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0.40–0.59</w:t>
            </w:r>
          </w:p>
        </w:tc>
        <w:tc>
          <w:tcPr>
            <w:tcW w:type="dxa" w:w="16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MEDIUM</w:t>
            </w:r>
          </w:p>
        </w:tc>
        <w:tc>
          <w:tcPr>
            <w:tcW w:type="dxa" w:w="28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Listed in recommendation feed with full explanation</w:t>
            </w:r>
          </w:p>
        </w:tc>
        <w:tc>
          <w:tcPr>
            <w:tcW w:type="dxa" w:w="316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'This direction is a viable option — here's what you'd need to develop to make it your primary path'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0.20–0.39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Visible in 'Explore' section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'This is outside your current profile but could become relevant with specific development'</w:t>
            </w:r>
          </w:p>
        </w:tc>
      </w:tr>
      <w:tr>
        <w:tc>
          <w:tcPr>
            <w:tcW w:type="dxa" w:w="18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&lt; 0.20</w:t>
            </w:r>
          </w:p>
        </w:tc>
        <w:tc>
          <w:tcPr>
            <w:tcW w:type="dxa" w:w="16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SUPPRESSED</w:t>
            </w:r>
          </w:p>
        </w:tc>
        <w:tc>
          <w:tcPr>
            <w:tcW w:type="dxa" w:w="28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Not surfaced — logged but invisible</w:t>
            </w:r>
          </w:p>
        </w:tc>
        <w:tc>
          <w:tcPr>
            <w:tcW w:type="dxa" w:w="316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(Not shown — avoids overwhelming with low-relevance options)</w:t>
            </w:r>
          </w:p>
        </w:tc>
      </w:tr>
    </w:tbl>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5.3 Career Recommendation Card — What Each Recommendation Contains</w:t>
      </w:r>
    </w:p>
    <w:p>
      <w:pPr>
        <w:spacing w:before="60" w:after="80"/>
      </w:pPr>
      <w:r>
        <w:rPr>
          <w:rFonts w:ascii="Arial" w:cs="Arial" w:eastAsia="Arial" w:hAnsi="Arial"/>
          <w:color w:val="1C2331"/>
          <w:sz w:val="22"/>
          <w:szCs w:val="22"/>
        </w:rPr>
        <w:t xml:space="preserve">Every career recommendation that reaches the candidate is a fully structured card with specific, actionable information:</w:t>
      </w:r>
    </w:p>
    <w:p>
      <w:pPr>
        <w:spacing w:before="6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Career Direction Title: Specific and precise (e.g., 'Data Analyst — BFSI Sector', not just 'Data Analysis')</w:t>
      </w:r>
    </w:p>
    <w:p>
      <w:pPr>
        <w:pStyle w:val="ListParagraph"/>
        <w:numPr>
          <w:ilvl w:val="0"/>
          <w:numId w:val="2"/>
        </w:numPr>
        <w:spacing w:before="40" w:after="55"/>
      </w:pPr>
      <w:r>
        <w:rPr>
          <w:rFonts w:ascii="Arial" w:cs="Arial" w:eastAsia="Arial" w:hAnsi="Arial"/>
          <w:color w:val="1C2331"/>
          <w:sz w:val="22"/>
          <w:szCs w:val="22"/>
        </w:rPr>
        <w:t xml:space="preserve">Fit Score: The SGS expressed as a percentage with a plain-language 'why': 'This direction scores 84% because your Logical-Mathematical intelligence is dominant, your RIASEC profile is Investigative-Conventional, and Data Analyst roles in BFSI are among the 5 most-searched categories by recruiters in your target market'</w:t>
      </w:r>
    </w:p>
    <w:p>
      <w:pPr>
        <w:pStyle w:val="ListParagraph"/>
        <w:numPr>
          <w:ilvl w:val="0"/>
          <w:numId w:val="2"/>
        </w:numPr>
        <w:spacing w:before="40" w:after="55"/>
      </w:pPr>
      <w:r>
        <w:rPr>
          <w:rFonts w:ascii="Arial" w:cs="Arial" w:eastAsia="Arial" w:hAnsi="Arial"/>
          <w:color w:val="1C2331"/>
          <w:sz w:val="22"/>
          <w:szCs w:val="22"/>
        </w:rPr>
        <w:t xml:space="preserve">Skill Gap Summary: What the candidate currently has vs. what this career requires — visualized as a gap bar chart</w:t>
      </w:r>
    </w:p>
    <w:p>
      <w:pPr>
        <w:pStyle w:val="ListParagraph"/>
        <w:numPr>
          <w:ilvl w:val="0"/>
          <w:numId w:val="2"/>
        </w:numPr>
        <w:spacing w:before="40" w:after="55"/>
      </w:pPr>
      <w:r>
        <w:rPr>
          <w:rFonts w:ascii="Arial" w:cs="Arial" w:eastAsia="Arial" w:hAnsi="Arial"/>
          <w:color w:val="1C2331"/>
          <w:sz w:val="22"/>
          <w:szCs w:val="22"/>
        </w:rPr>
        <w:t xml:space="preserve">Time to Readiness: AI-estimated weeks to become placement-ready for this direction, based on the candidate's current skill velocity</w:t>
      </w:r>
    </w:p>
    <w:p>
      <w:pPr>
        <w:pStyle w:val="ListParagraph"/>
        <w:numPr>
          <w:ilvl w:val="0"/>
          <w:numId w:val="2"/>
        </w:numPr>
        <w:spacing w:before="40" w:after="55"/>
      </w:pPr>
      <w:r>
        <w:rPr>
          <w:rFonts w:ascii="Arial" w:cs="Arial" w:eastAsia="Arial" w:hAnsi="Arial"/>
          <w:color w:val="1C2331"/>
          <w:sz w:val="22"/>
          <w:szCs w:val="22"/>
        </w:rPr>
        <w:t xml:space="preserve">Salary Range: Market-benchmarked salary range for this direction in the candidate's target geography (entry, median, 90th percentile)</w:t>
      </w:r>
    </w:p>
    <w:p>
      <w:pPr>
        <w:pStyle w:val="ListParagraph"/>
        <w:numPr>
          <w:ilvl w:val="0"/>
          <w:numId w:val="2"/>
        </w:numPr>
        <w:spacing w:before="40" w:after="55"/>
      </w:pPr>
      <w:r>
        <w:rPr>
          <w:rFonts w:ascii="Arial" w:cs="Arial" w:eastAsia="Arial" w:hAnsi="Arial"/>
          <w:color w:val="1C2331"/>
          <w:sz w:val="22"/>
          <w:szCs w:val="22"/>
        </w:rPr>
        <w:t xml:space="preserve">Next Action Button: One specific, achievable action the candidate can take today — 'Enroll in SQL for Data Analysis course' or 'Complete the Data Analysis Dojo Challenge'</w:t>
      </w:r>
    </w:p>
    <w:p>
      <w:pPr>
        <w:pStyle w:val="ListParagraph"/>
        <w:numPr>
          <w:ilvl w:val="0"/>
          <w:numId w:val="2"/>
        </w:numPr>
        <w:spacing w:before="40" w:after="55"/>
      </w:pPr>
      <w:r>
        <w:rPr>
          <w:rFonts w:ascii="Arial" w:cs="Arial" w:eastAsia="Arial" w:hAnsi="Arial"/>
          <w:color w:val="1C2331"/>
          <w:sz w:val="22"/>
          <w:szCs w:val="22"/>
        </w:rPr>
        <w:t xml:space="preserve">Evidence Trail: A collapsible section showing exactly which signals drove this recommendation — transparency that prevents the AI from feeling like a black box</w:t>
      </w:r>
    </w:p>
    <w:p>
      <w:pPr>
        <w:pStyle w:val="ListParagraph"/>
        <w:numPr>
          <w:ilvl w:val="0"/>
          <w:numId w:val="2"/>
        </w:numPr>
        <w:spacing w:before="40" w:after="55"/>
      </w:pPr>
      <w:r>
        <w:rPr>
          <w:rFonts w:ascii="Arial" w:cs="Arial" w:eastAsia="Arial" w:hAnsi="Arial"/>
          <w:color w:val="1C2331"/>
          <w:sz w:val="22"/>
          <w:szCs w:val="22"/>
        </w:rPr>
        <w:t xml:space="preserve">Trust Gate Badge: Every recommendation carries a cryptographic trust signature confirming it passed the 10-law ASRA Trust Gate validation</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5.4 Recommendation Refresh Cycle</w:t>
      </w:r>
    </w:p>
    <w:p>
      <w:pPr>
        <w:pStyle w:val="ListParagraph"/>
        <w:numPr>
          <w:ilvl w:val="0"/>
          <w:numId w:val="2"/>
        </w:numPr>
        <w:spacing w:before="40" w:after="55"/>
      </w:pPr>
      <w:r>
        <w:rPr>
          <w:rFonts w:ascii="Arial" w:cs="Arial" w:eastAsia="Arial" w:hAnsi="Arial"/>
          <w:color w:val="1C2331"/>
          <w:sz w:val="22"/>
          <w:szCs w:val="22"/>
        </w:rPr>
        <w:t xml:space="preserve">Recruiter demand signals refresh every ≤24 hours — recommendations update when market demand shifts</w:t>
      </w:r>
    </w:p>
    <w:p>
      <w:pPr>
        <w:pStyle w:val="ListParagraph"/>
        <w:numPr>
          <w:ilvl w:val="0"/>
          <w:numId w:val="2"/>
        </w:numPr>
        <w:spacing w:before="40" w:after="55"/>
      </w:pPr>
      <w:r>
        <w:rPr>
          <w:rFonts w:ascii="Arial" w:cs="Arial" w:eastAsia="Arial" w:hAnsi="Arial"/>
          <w:color w:val="1C2331"/>
          <w:sz w:val="22"/>
          <w:szCs w:val="22"/>
        </w:rPr>
        <w:t xml:space="preserve">Intelligence DNA signal updates whenever the candidate retakes an assessment (90-day minimum interval, or after major platform milestone)</w:t>
      </w:r>
    </w:p>
    <w:p>
      <w:pPr>
        <w:pStyle w:val="ListParagraph"/>
        <w:numPr>
          <w:ilvl w:val="0"/>
          <w:numId w:val="2"/>
        </w:numPr>
        <w:spacing w:before="40" w:after="55"/>
      </w:pPr>
      <w:r>
        <w:rPr>
          <w:rFonts w:ascii="Arial" w:cs="Arial" w:eastAsia="Arial" w:hAnsi="Arial"/>
          <w:color w:val="1C2331"/>
          <w:sz w:val="22"/>
          <w:szCs w:val="22"/>
        </w:rPr>
        <w:t xml:space="preserve">Real-time events trigger immediate re-ranking: application rejection → W4 signal boosted for relevant career directions; belt advancement → W2 scores recalculated for all directions</w:t>
      </w:r>
    </w:p>
    <w:p>
      <w:pPr>
        <w:pStyle w:val="ListParagraph"/>
        <w:numPr>
          <w:ilvl w:val="0"/>
          <w:numId w:val="2"/>
        </w:numPr>
        <w:spacing w:before="40" w:after="55"/>
      </w:pPr>
      <w:r>
        <w:rPr>
          <w:rFonts w:ascii="Arial" w:cs="Arial" w:eastAsia="Arial" w:hAnsi="Arial"/>
          <w:color w:val="1C2331"/>
          <w:sz w:val="22"/>
          <w:szCs w:val="22"/>
        </w:rPr>
        <w:t xml:space="preserve">Monthly comprehensive recomputation: Full SGS recomputation for all career directions, incorporating new market data and 30 days of behavioral signals</w:t>
      </w:r>
    </w:p>
    <w:p>
      <w:pPr>
        <w:spacing w:before="160" w:after="0"/>
      </w:pPr>
      <w:r>
        <w:rPr>
          <w:rFonts w:ascii="Arial" w:cs="Arial" w:eastAsia="Arial" w:hAnsi="Arial"/>
          <w:color w:val="1C2331"/>
          <w:sz w:val="22"/>
          <w:szCs w:val="22"/>
        </w:rPr>
        <w:t xml:space="preserve"/>
      </w:r>
    </w:p>
    <w:p>
      <w:r>
        <w:br w:type="page"/>
      </w:r>
    </w:p>
    <w:p>
      <w:pPr>
        <w:pStyle w:val="Heading1"/>
        <w:pBdr>
          <w:bottom w:val="single" w:color="0D2B55" w:sz="10" w:space="4"/>
        </w:pBdr>
        <w:spacing w:before="400" w:after="200"/>
      </w:pPr>
      <w:r>
        <w:rPr>
          <w:rFonts w:ascii="Arial" w:cs="Arial" w:eastAsia="Arial" w:hAnsi="Arial"/>
          <w:b/>
          <w:bCs/>
          <w:color w:val="0D2B55"/>
          <w:sz w:val="40"/>
          <w:szCs w:val="40"/>
        </w:rPr>
        <w:t xml:space="preserve">Feature 06 — Strength and Weakness Analysis</w:t>
      </w:r>
    </w:p>
    <w:p>
      <w:pPr>
        <w:spacing w:before="60" w:after="80"/>
      </w:pPr>
      <w:r>
        <w:rPr>
          <w:rFonts w:ascii="Arial" w:cs="Arial" w:eastAsia="Arial" w:hAnsi="Arial"/>
          <w:color w:val="1C2331"/>
          <w:sz w:val="22"/>
          <w:szCs w:val="22"/>
        </w:rPr>
        <w:t xml:space="preserve">The Strength and Weakness Analysis synthesizes all Intelligence Discovery outputs — the Intelligence DNA Vector, Personality Profile, RIASEC Profile, Skill Vector, and platform behavioral data — into a structured, evidence-grounded summary of what the candidate does well and where development is most needed. This is not a self-reflection exercise; it is a data-derived, AI-computed analytical report that benchmarks the candidate against relevant peer populations and market requirements.</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6.1 Strength Classification Framework</w:t>
      </w:r>
    </w:p>
    <w:p>
      <w:pPr>
        <w:spacing w:before="60" w:after="80"/>
      </w:pPr>
      <w:r>
        <w:rPr>
          <w:rFonts w:ascii="Arial" w:cs="Arial" w:eastAsia="Arial" w:hAnsi="Arial"/>
          <w:color w:val="1C2331"/>
          <w:sz w:val="22"/>
          <w:szCs w:val="22"/>
        </w:rPr>
        <w:t xml:space="preserve">Strengths are identified across four dimensions, each drawing from different assessment sources:</w:t>
      </w:r>
    </w:p>
    <w:p>
      <w:pPr>
        <w:spacing w:before="60" w:after="0"/>
      </w:pPr>
      <w:r>
        <w:rPr>
          <w:rFonts w:ascii="Arial" w:cs="Arial" w:eastAsia="Arial" w:hAnsi="Arial"/>
          <w:color w:val="1C23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2400"/>
        <w:gridCol w:w="2400"/>
      </w:tblGrid>
      <w:tr>
        <w:trPr>
          <w:tblHeader/>
        </w:trPr>
        <w:tc>
          <w:tcPr>
            <w:tcW w:type="dxa" w:w="20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Strength Dimension</w:t>
            </w:r>
          </w:p>
        </w:tc>
        <w:tc>
          <w:tcPr>
            <w:tcW w:type="dxa" w:w="256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w:t>
            </w:r>
          </w:p>
        </w:tc>
        <w:tc>
          <w:tcPr>
            <w:tcW w:type="dxa" w:w="24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 Evidence</w:t>
            </w:r>
          </w:p>
        </w:tc>
        <w:tc>
          <w:tcPr>
            <w:tcW w:type="dxa" w:w="24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Platform Measurement</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Cognitive Strengths</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What the candidate naturally thinks about well — problem types where cognitive style produces superior output</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Intelligence DNA Vector — dominant types</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Logical-Math dominant: 83rd percentile in Dojo abstract reasoning scenarios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Behavioral Strengths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How the candidate characteristically acts in ways that produce positive outcomes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Personality Profile + GD performance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High Conscientiousness + High Extraversion: GD average score in top 22% of cohort</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Skill Strengths</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Verified competencies where performance is above the 70th percentile for the candidate's cohort</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Skill Vector + assessment scores</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Python proficiency at Blue belt; 3 completed projects with mentor rating ≥ 4.2/5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Interest Strengths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Areas where natural motivation and engagement are consistently high — a force multiplier for any skill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RIASEC Profile + platform activity patterns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Investigative type dominant; 87% LMS completion rate on data-related courses vs 62% platform average</w:t>
            </w:r>
          </w:p>
        </w:tc>
      </w:tr>
    </w:tbl>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6.2 Weakness Classification Framework</w:t>
      </w:r>
    </w:p>
    <w:p>
      <w:pPr>
        <w:spacing w:before="60" w:after="80"/>
      </w:pPr>
      <w:r>
        <w:rPr>
          <w:rFonts w:ascii="Arial" w:cs="Arial" w:eastAsia="Arial" w:hAnsi="Arial"/>
          <w:color w:val="1C2331"/>
          <w:sz w:val="22"/>
          <w:szCs w:val="22"/>
        </w:rPr>
        <w:t xml:space="preserve">Weaknesses are identified with the same rigor as strengths — evidence-based, benchmark-relative, and specific. The platform avoids generic weakness labels in favor of precise, actionable diagnoses.</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Performance Gap Weaknesses</w:t>
      </w:r>
    </w:p>
    <w:p>
      <w:pPr>
        <w:spacing w:before="60" w:after="80"/>
      </w:pPr>
      <w:r>
        <w:rPr>
          <w:rFonts w:ascii="Arial" w:cs="Arial" w:eastAsia="Arial" w:hAnsi="Arial"/>
          <w:color w:val="1C2331"/>
          <w:sz w:val="22"/>
          <w:szCs w:val="22"/>
        </w:rPr>
        <w:t xml:space="preserve">Skills where the candidate's verified performance is below the 40th percentile for their cohort. These are identified from GD score components (e.g., low rebuttal round scores indicate critical thinking gap), tournament outcomes (e.g., weak performance in algorithm questions indicates specific technical gap), or project milestone quality (e.g., mentor consistently citing weak documentation).</w:t>
      </w:r>
    </w:p>
    <w:p>
      <w:pPr>
        <w:spacing w:before="4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Each performance gap is classified as: Skill deficit (knowledge not yet acquired) / Practice deficit (skill known but not automated) / Confidence deficit (skill present but not deployed under pressure)</w:t>
      </w:r>
    </w:p>
    <w:p>
      <w:pPr>
        <w:pStyle w:val="ListParagraph"/>
        <w:numPr>
          <w:ilvl w:val="0"/>
          <w:numId w:val="2"/>
        </w:numPr>
        <w:spacing w:before="40" w:after="55"/>
      </w:pPr>
      <w:r>
        <w:rPr>
          <w:rFonts w:ascii="Arial" w:cs="Arial" w:eastAsia="Arial" w:hAnsi="Arial"/>
          <w:color w:val="1C2331"/>
          <w:sz w:val="22"/>
          <w:szCs w:val="22"/>
        </w:rPr>
        <w:t xml:space="preserve">The classification matters because the remediation is different: skill deficit → course; practice deficit → Dojo challenge; confidence deficit → GD rounds and tournament exposure</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Behavioral Risk Weaknesses</w:t>
      </w:r>
    </w:p>
    <w:p>
      <w:pPr>
        <w:spacing w:before="60" w:after="80"/>
      </w:pPr>
      <w:r>
        <w:rPr>
          <w:rFonts w:ascii="Arial" w:cs="Arial" w:eastAsia="Arial" w:hAnsi="Arial"/>
          <w:color w:val="1C2331"/>
          <w:sz w:val="22"/>
          <w:szCs w:val="22"/>
        </w:rPr>
        <w:t xml:space="preserve">Personality trait combinations that create predictable risk patterns in professional settings. These are identified from the Personality Profile and validated against behavioral data from platform activities.</w:t>
      </w:r>
    </w:p>
    <w:p>
      <w:pPr>
        <w:spacing w:before="4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Example: High Openness + Low Conscientiousness: Natural creativity and idea generation, but at risk of not following through on commitments. Platform risk data shows candidates with this profile have 40% higher project abandonment rates. Remediation: Milestone accountability structures, deadline commitment tools</w:t>
      </w:r>
    </w:p>
    <w:p>
      <w:pPr>
        <w:pStyle w:val="ListParagraph"/>
        <w:numPr>
          <w:ilvl w:val="0"/>
          <w:numId w:val="2"/>
        </w:numPr>
        <w:spacing w:before="40" w:after="55"/>
      </w:pPr>
      <w:r>
        <w:rPr>
          <w:rFonts w:ascii="Arial" w:cs="Arial" w:eastAsia="Arial" w:hAnsi="Arial"/>
          <w:color w:val="1C2331"/>
          <w:sz w:val="22"/>
          <w:szCs w:val="22"/>
        </w:rPr>
        <w:t xml:space="preserve">Example: High Agreeableness + Low Emotional Stability: Collaborative and empathetic, but at risk of conflict avoidance that creates problems in leadership roles. GD data shows avoidance of rebuttal rounds. Remediation: Structured debate practice, assertiveness-focused GD sessions</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Market Alignment Weaknesses</w:t>
      </w:r>
    </w:p>
    <w:p>
      <w:pPr>
        <w:spacing w:before="60" w:after="80"/>
      </w:pPr>
      <w:r>
        <w:rPr>
          <w:rFonts w:ascii="Arial" w:cs="Arial" w:eastAsia="Arial" w:hAnsi="Arial"/>
          <w:color w:val="1C2331"/>
          <w:sz w:val="22"/>
          <w:szCs w:val="22"/>
        </w:rPr>
        <w:t xml:space="preserve">Skills that the candidate lacks that are in high demand for their target career direction. These are the most actionable weaknesses because they have the clearest path to remediation and the most direct impact on placement outcomes.</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6.3 Comparative Benchmarking</w:t>
      </w:r>
    </w:p>
    <w:p>
      <w:pPr>
        <w:spacing w:before="60" w:after="80"/>
      </w:pPr>
      <w:r>
        <w:rPr>
          <w:rFonts w:ascii="Arial" w:cs="Arial" w:eastAsia="Arial" w:hAnsi="Arial"/>
          <w:color w:val="1C2331"/>
          <w:sz w:val="22"/>
          <w:szCs w:val="22"/>
        </w:rPr>
        <w:t xml:space="preserve">All strengths and weaknesses are benchmarked against three reference populations to provide context:</w:t>
      </w:r>
    </w:p>
    <w:p>
      <w:pPr>
        <w:spacing w:before="4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Cohort benchmark: Candidates of the same graduation year and department at the same institution</w:t>
      </w:r>
    </w:p>
    <w:p>
      <w:pPr>
        <w:pStyle w:val="ListParagraph"/>
        <w:numPr>
          <w:ilvl w:val="0"/>
          <w:numId w:val="2"/>
        </w:numPr>
        <w:spacing w:before="40" w:after="55"/>
      </w:pPr>
      <w:r>
        <w:rPr>
          <w:rFonts w:ascii="Arial" w:cs="Arial" w:eastAsia="Arial" w:hAnsi="Arial"/>
          <w:color w:val="1C2331"/>
          <w:sz w:val="22"/>
          <w:szCs w:val="22"/>
        </w:rPr>
        <w:t xml:space="preserve">Career-track benchmark: Candidates who are pursuing the same top career direction — 'You are in the 68th percentile for Python competency among all EcoSkiller candidates targeting Data Science roles'</w:t>
      </w:r>
    </w:p>
    <w:p>
      <w:pPr>
        <w:pStyle w:val="ListParagraph"/>
        <w:numPr>
          <w:ilvl w:val="0"/>
          <w:numId w:val="2"/>
        </w:numPr>
        <w:spacing w:before="40" w:after="55"/>
      </w:pPr>
      <w:r>
        <w:rPr>
          <w:rFonts w:ascii="Arial" w:cs="Arial" w:eastAsia="Arial" w:hAnsi="Arial"/>
          <w:color w:val="1C2331"/>
          <w:sz w:val="22"/>
          <w:szCs w:val="22"/>
        </w:rPr>
        <w:t xml:space="preserve">Placement benchmark: Candidates who have been successfully placed in target roles — 'Successfully placed Data Analysts had an average GD score of 74; yours is currently 68. Closing this gap is a high-priority action'</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6.4 Strength-Weakness Summary Card</w:t>
      </w:r>
    </w:p>
    <w:p>
      <w:pPr>
        <w:spacing w:before="60" w:after="80"/>
      </w:pPr>
      <w:r>
        <w:rPr>
          <w:rFonts w:ascii="Arial" w:cs="Arial" w:eastAsia="Arial" w:hAnsi="Arial"/>
          <w:color w:val="1C2331"/>
          <w:sz w:val="22"/>
          <w:szCs w:val="22"/>
        </w:rPr>
        <w:t xml:space="preserve">The Strength-Weakness Analysis produces a structured Summary Card with four quadrants:</w:t>
      </w:r>
    </w:p>
    <w:p>
      <w:pPr>
        <w:spacing w:before="4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Top Strengths (3–5): Precisely labeled, evidence-cited, with a 'leverage this' action note for each</w:t>
      </w:r>
    </w:p>
    <w:p>
      <w:pPr>
        <w:pStyle w:val="ListParagraph"/>
        <w:numPr>
          <w:ilvl w:val="0"/>
          <w:numId w:val="2"/>
        </w:numPr>
        <w:spacing w:before="40" w:after="55"/>
      </w:pPr>
      <w:r>
        <w:rPr>
          <w:rFonts w:ascii="Arial" w:cs="Arial" w:eastAsia="Arial" w:hAnsi="Arial"/>
          <w:color w:val="1C2331"/>
          <w:sz w:val="22"/>
          <w:szCs w:val="22"/>
        </w:rPr>
        <w:t xml:space="preserve">Key Weaknesses (3–5): Precisely labeled, evidence-cited, with a 'close this gap' action plan for each</w:t>
      </w:r>
    </w:p>
    <w:p>
      <w:pPr>
        <w:pStyle w:val="ListParagraph"/>
        <w:numPr>
          <w:ilvl w:val="0"/>
          <w:numId w:val="2"/>
        </w:numPr>
        <w:spacing w:before="40" w:after="55"/>
      </w:pPr>
      <w:r>
        <w:rPr>
          <w:rFonts w:ascii="Arial" w:cs="Arial" w:eastAsia="Arial" w:hAnsi="Arial"/>
          <w:color w:val="1C2331"/>
          <w:sz w:val="22"/>
          <w:szCs w:val="22"/>
        </w:rPr>
        <w:t xml:space="preserve">Blind Spots: Weaknesses the candidate is likely unaware of — cases where self-assessed skill is high but platform-verified performance is low</w:t>
      </w:r>
    </w:p>
    <w:p>
      <w:pPr>
        <w:pStyle w:val="ListParagraph"/>
        <w:numPr>
          <w:ilvl w:val="0"/>
          <w:numId w:val="2"/>
        </w:numPr>
        <w:spacing w:before="40" w:after="55"/>
      </w:pPr>
      <w:r>
        <w:rPr>
          <w:rFonts w:ascii="Arial" w:cs="Arial" w:eastAsia="Arial" w:hAnsi="Arial"/>
          <w:color w:val="1C2331"/>
          <w:sz w:val="22"/>
          <w:szCs w:val="22"/>
        </w:rPr>
        <w:t xml:space="preserve">Untapped Strengths: Cognitive or personality strengths that the candidate has not yet converted into verified platform performance — potential areas where focused attention would produce outsized results</w:t>
      </w:r>
    </w:p>
    <w:p>
      <w:pPr>
        <w:spacing w:before="160" w:after="0"/>
      </w:pPr>
      <w:r>
        <w:rPr>
          <w:rFonts w:ascii="Arial" w:cs="Arial" w:eastAsia="Arial" w:hAnsi="Arial"/>
          <w:color w:val="1C2331"/>
          <w:sz w:val="22"/>
          <w:szCs w:val="22"/>
        </w:rPr>
        <w:t xml:space="preserve"/>
      </w:r>
    </w:p>
    <w:p>
      <w:r>
        <w:br w:type="page"/>
      </w:r>
    </w:p>
    <w:p>
      <w:pPr>
        <w:pStyle w:val="Heading1"/>
        <w:pBdr>
          <w:bottom w:val="single" w:color="0D2B55" w:sz="10" w:space="4"/>
        </w:pBdr>
        <w:spacing w:before="400" w:after="200"/>
      </w:pPr>
      <w:r>
        <w:rPr>
          <w:rFonts w:ascii="Arial" w:cs="Arial" w:eastAsia="Arial" w:hAnsi="Arial"/>
          <w:b/>
          <w:bCs/>
          <w:color w:val="0D2B55"/>
          <w:sz w:val="40"/>
          <w:szCs w:val="40"/>
        </w:rPr>
        <w:t xml:space="preserve">Feature 07 — Learning Path Suggestions</w:t>
      </w:r>
    </w:p>
    <w:p>
      <w:pPr>
        <w:spacing w:before="60" w:after="80"/>
      </w:pPr>
      <w:r>
        <w:rPr>
          <w:rFonts w:ascii="Arial" w:cs="Arial" w:eastAsia="Arial" w:hAnsi="Arial"/>
          <w:color w:val="1C2331"/>
          <w:sz w:val="22"/>
          <w:szCs w:val="22"/>
        </w:rPr>
        <w:t xml:space="preserve">Learning Path Suggestions are generated by the Adaptive Learning Path Agent (ALPA) — one of EcoSkiller's most sophisticated AI systems. ALPA does not suggest a list of courses. It engineers a personalized, adaptive, time-sequenced curriculum modeled as a Directed Acyclic Graph (DAG). Every node in the path corresponds to a specific verified activity — a course, Dojo challenge, GD session, mentored session, project milestone, or belt gate — and every edge defines whether the next node is sequential, parallel, or conditional on the previous node's outcome.</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7.1 Path Construction — From Intelligence Signals to DAG</w:t>
      </w:r>
    </w:p>
    <w:p>
      <w:pPr>
        <w:spacing w:before="60" w:after="80"/>
      </w:pPr>
      <w:r>
        <w:rPr>
          <w:rFonts w:ascii="Arial" w:cs="Arial" w:eastAsia="Arial" w:hAnsi="Arial"/>
          <w:color w:val="1C2331"/>
          <w:sz w:val="22"/>
          <w:szCs w:val="22"/>
        </w:rPr>
        <w:t xml:space="preserve">ALPA constructs each candidate's learning path through a 10-step deterministic pipeline:</w:t>
      </w:r>
    </w:p>
    <w:p>
      <w:pPr>
        <w:spacing w:before="60" w:after="0"/>
      </w:pPr>
      <w:r>
        <w:rPr>
          <w:rFonts w:ascii="Arial" w:cs="Arial" w:eastAsia="Arial" w:hAnsi="Arial"/>
          <w:color w:val="1C2331"/>
          <w:sz w:val="22"/>
          <w:szCs w:val="22"/>
        </w:rPr>
        <w:t xml:space="preserve"/>
      </w:r>
    </w:p>
    <w:p>
      <w:pPr>
        <w:pStyle w:val="ListParagraph"/>
        <w:numPr>
          <w:ilvl w:val="0"/>
          <w:numId w:val="3"/>
        </w:numPr>
        <w:spacing w:before="50" w:after="60"/>
      </w:pPr>
      <w:r>
        <w:rPr>
          <w:rFonts w:ascii="Arial" w:cs="Arial" w:eastAsia="Arial" w:hAnsi="Arial"/>
          <w:color w:val="1C2331"/>
          <w:sz w:val="22"/>
          <w:szCs w:val="22"/>
        </w:rPr>
        <w:t xml:space="preserve">Signal Aggregation: Fetches all 10 path signals (PSIG-01 through PSIG-10) from the signal cache. Stale signals are refreshed from source services before proceeding</w:t>
      </w:r>
    </w:p>
    <w:p>
      <w:pPr>
        <w:pStyle w:val="ListParagraph"/>
        <w:numPr>
          <w:ilvl w:val="0"/>
          <w:numId w:val="3"/>
        </w:numPr>
        <w:spacing w:before="50" w:after="60"/>
      </w:pPr>
      <w:r>
        <w:rPr>
          <w:rFonts w:ascii="Arial" w:cs="Arial" w:eastAsia="Arial" w:hAnsi="Arial"/>
          <w:color w:val="1C2331"/>
          <w:sz w:val="22"/>
          <w:szCs w:val="22"/>
        </w:rPr>
        <w:t xml:space="preserve">Skill Gap Identification: Cross-references the candidate's current Skill Vector against the required skill vector for their top career direction. Identifies which skill nodes are missing, underdeveloped, or below the belt threshold required</w:t>
      </w:r>
    </w:p>
    <w:p>
      <w:pPr>
        <w:pStyle w:val="ListParagraph"/>
        <w:numPr>
          <w:ilvl w:val="0"/>
          <w:numId w:val="3"/>
        </w:numPr>
        <w:spacing w:before="50" w:after="60"/>
      </w:pPr>
      <w:r>
        <w:rPr>
          <w:rFonts w:ascii="Arial" w:cs="Arial" w:eastAsia="Arial" w:hAnsi="Arial"/>
          <w:color w:val="1C2331"/>
          <w:sz w:val="22"/>
          <w:szCs w:val="22"/>
        </w:rPr>
        <w:t xml:space="preserve">Belt State Integration: Identifies the candidate's current belt level, pending belt requirements, and which specific criteria are preventing advancement. Belt gate nodes are inserted as mandatory checkpoints in the path</w:t>
      </w:r>
    </w:p>
    <w:p>
      <w:pPr>
        <w:pStyle w:val="ListParagraph"/>
        <w:numPr>
          <w:ilvl w:val="0"/>
          <w:numId w:val="3"/>
        </w:numPr>
        <w:spacing w:before="50" w:after="60"/>
      </w:pPr>
      <w:r>
        <w:rPr>
          <w:rFonts w:ascii="Arial" w:cs="Arial" w:eastAsia="Arial" w:hAnsi="Arial"/>
          <w:color w:val="1C2331"/>
          <w:sz w:val="22"/>
          <w:szCs w:val="22"/>
        </w:rPr>
        <w:t xml:space="preserve">Intelligence Modality Weighting: Reads the Intelligence DNA Vector and applies the node type weight matrix. A Spatial dominant candidate's path will have significantly more PROJECT_SUBMISSION and DOJO_SCENARIO nodes; a Linguistic dominant candidate will have more GD_ROUND and COURSE nodes</w:t>
      </w:r>
    </w:p>
    <w:p>
      <w:pPr>
        <w:pStyle w:val="ListParagraph"/>
        <w:numPr>
          <w:ilvl w:val="0"/>
          <w:numId w:val="3"/>
        </w:numPr>
        <w:spacing w:before="50" w:after="60"/>
      </w:pPr>
      <w:r>
        <w:rPr>
          <w:rFonts w:ascii="Arial" w:cs="Arial" w:eastAsia="Arial" w:hAnsi="Arial"/>
          <w:color w:val="1C2331"/>
          <w:sz w:val="22"/>
          <w:szCs w:val="22"/>
        </w:rPr>
        <w:t xml:space="preserve">Recruiter Demand Alignment: Skill nodes with a recruiter demand rank of ≤ 10 are elevated to the critical path — these are the most market-relevant skills and must be addressed before lower-demand skills</w:t>
      </w:r>
    </w:p>
    <w:p>
      <w:pPr>
        <w:pStyle w:val="ListParagraph"/>
        <w:numPr>
          <w:ilvl w:val="0"/>
          <w:numId w:val="3"/>
        </w:numPr>
        <w:spacing w:before="50" w:after="60"/>
      </w:pPr>
      <w:r>
        <w:rPr>
          <w:rFonts w:ascii="Arial" w:cs="Arial" w:eastAsia="Arial" w:hAnsi="Arial"/>
          <w:color w:val="1C2331"/>
          <w:sz w:val="22"/>
          <w:szCs w:val="22"/>
        </w:rPr>
        <w:t xml:space="preserve">Dojo Performance Integration: If the candidate's match accuracy on any skill is &lt; 60%, a DOJO_SCENARIO remediation node is inserted before the next DOJO_MATCH for that skill. If accuracy ≥ 85%, foundational course nodes are skipped — earned advancement</w:t>
      </w:r>
    </w:p>
    <w:p>
      <w:pPr>
        <w:pStyle w:val="ListParagraph"/>
        <w:numPr>
          <w:ilvl w:val="0"/>
          <w:numId w:val="3"/>
        </w:numPr>
        <w:spacing w:before="50" w:after="60"/>
      </w:pPr>
      <w:r>
        <w:rPr>
          <w:rFonts w:ascii="Arial" w:cs="Arial" w:eastAsia="Arial" w:hAnsi="Arial"/>
          <w:color w:val="1C2331"/>
          <w:sz w:val="22"/>
          <w:szCs w:val="22"/>
        </w:rPr>
        <w:t xml:space="preserve">DAG Assembly: The full graph is built: root node → prerequisite nodes → core nodes → belt gate → advanced nodes. Parallel group IDs are assigned to nodes that can be completed concurrently</w:t>
      </w:r>
    </w:p>
    <w:p>
      <w:pPr>
        <w:pStyle w:val="ListParagraph"/>
        <w:numPr>
          <w:ilvl w:val="0"/>
          <w:numId w:val="3"/>
        </w:numPr>
        <w:spacing w:before="50" w:after="60"/>
      </w:pPr>
      <w:r>
        <w:rPr>
          <w:rFonts w:ascii="Arial" w:cs="Arial" w:eastAsia="Arial" w:hAnsi="Arial"/>
          <w:color w:val="1C2331"/>
          <w:sz w:val="22"/>
          <w:szCs w:val="22"/>
        </w:rPr>
        <w:t xml:space="preserve">Confidence Scoring: Path confidence = (signal_freshness × 0.35) + (skill gap coverage × 0.30) + (recruiter demand alignment × 0.20) + (belt feasibility × 0.15). Paths below 0.60 confidence are suppressed</w:t>
      </w:r>
    </w:p>
    <w:p>
      <w:pPr>
        <w:pStyle w:val="ListParagraph"/>
        <w:numPr>
          <w:ilvl w:val="0"/>
          <w:numId w:val="3"/>
        </w:numPr>
        <w:spacing w:before="50" w:after="60"/>
      </w:pPr>
      <w:r>
        <w:rPr>
          <w:rFonts w:ascii="Arial" w:cs="Arial" w:eastAsia="Arial" w:hAnsi="Arial"/>
          <w:color w:val="1C2331"/>
          <w:sz w:val="22"/>
          <w:szCs w:val="22"/>
        </w:rPr>
        <w:t xml:space="preserve">Trust Gate Validation: All 9 ALPA trust gates are run. Any hard failure aborts path construction and triggers a PATH_CONSTRUCTION_FAILED event with detailed logging</w:t>
      </w:r>
    </w:p>
    <w:p>
      <w:pPr>
        <w:pStyle w:val="ListParagraph"/>
        <w:numPr>
          <w:ilvl w:val="0"/>
          <w:numId w:val="3"/>
        </w:numPr>
        <w:spacing w:before="50" w:after="60"/>
      </w:pPr>
      <w:r>
        <w:rPr>
          <w:rFonts w:ascii="Arial" w:cs="Arial" w:eastAsia="Arial" w:hAnsi="Arial"/>
          <w:color w:val="1C2331"/>
          <w:sz w:val="22"/>
          <w:szCs w:val="22"/>
        </w:rPr>
        <w:t xml:space="preserve">Persist and Deliver: The complete PathGraph is written to the database, emitted to Kafka, and pushed to the candidate's Flutter dashboard via WebSocket</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7.2 Path Node Types — What Fills a Learning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rPr>
          <w:tblHeader/>
        </w:trPr>
        <w:tc>
          <w:tcPr>
            <w:tcW w:type="dxa" w:w="18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Node Type</w:t>
            </w:r>
          </w:p>
        </w:tc>
        <w:tc>
          <w:tcPr>
            <w:tcW w:type="dxa" w:w="348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408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Intelligence Types Weighted Higher</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COURSE</w:t>
            </w:r>
          </w:p>
        </w:tc>
        <w:tc>
          <w:tcPr>
            <w:tcW w:type="dxa" w:w="3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 specific LMS course with defined completion criteria (minimum passing score)</w:t>
            </w:r>
          </w:p>
        </w:tc>
        <w:tc>
          <w:tcPr>
            <w:tcW w:type="dxa" w:w="40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Linguistic (15%), Intrapersonal (20%), Musical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DOJO_MATCH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 competitive skill match against another candidate in a specific skill domain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Logical-Mathematical (20%), Bodily-Kinesthetic (15%)</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DOJO_SCENARIO</w:t>
            </w:r>
          </w:p>
        </w:tc>
        <w:tc>
          <w:tcPr>
            <w:tcW w:type="dxa" w:w="3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 non-competitive skill scenario — practice run without a live opponent</w:t>
            </w:r>
          </w:p>
        </w:tc>
        <w:tc>
          <w:tcPr>
            <w:tcW w:type="dxa" w:w="40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Logical-Mathematical (20%), Bodily-Kinesthetic (25%)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GD_ROUND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 scheduled Group Discussion session — structured or open format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Linguistic (25%), Interpersonal (20%)</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CERTIFICATION_EXAM</w:t>
            </w:r>
          </w:p>
        </w:tc>
        <w:tc>
          <w:tcPr>
            <w:tcW w:type="dxa" w:w="3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 formal belt-level certification examination — requires mentor confirmation</w:t>
            </w:r>
          </w:p>
        </w:tc>
        <w:tc>
          <w:tcPr>
            <w:tcW w:type="dxa" w:w="40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Logical-Mathematical (15%), Intrapersonal (15%)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MENTORED_SESSION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 1:1 or small-group session with a verified domain mentor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Interpersonal (25%), Musical (20%), Intrapersonal (15%)</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PEER_QUIZ</w:t>
            </w:r>
          </w:p>
        </w:tc>
        <w:tc>
          <w:tcPr>
            <w:tcW w:type="dxa" w:w="3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 peer-created quiz challenge — candidate challenges or is challenged by a peer</w:t>
            </w:r>
          </w:p>
        </w:tc>
        <w:tc>
          <w:tcPr>
            <w:tcW w:type="dxa" w:w="40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Interpersonal (15%), Linguistic (10%)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PROJECT_SUBMISSION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 milestone submission on the Project Marketplace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Spatial (25%), Bodily-Kinesthetic (25%), Naturalist (20%)</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BELT_GATE</w:t>
            </w:r>
          </w:p>
        </w:tc>
        <w:tc>
          <w:tcPr>
            <w:tcW w:type="dxa" w:w="3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 mandatory checkpoint requiring mentor confirmation before advancing to the next section of the path</w:t>
            </w:r>
          </w:p>
        </w:tc>
        <w:tc>
          <w:tcPr>
            <w:tcW w:type="dxa" w:w="40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All types — mandatory regardless of intelligence profile</w:t>
            </w:r>
          </w:p>
        </w:tc>
      </w:tr>
    </w:tbl>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7.3 Adaptive Mutation — Paths That Change Based on Performance</w:t>
      </w:r>
    </w:p>
    <w:p>
      <w:pPr>
        <w:spacing w:before="60" w:after="80"/>
      </w:pPr>
      <w:r>
        <w:rPr>
          <w:rFonts w:ascii="Arial" w:cs="Arial" w:eastAsia="Arial" w:hAnsi="Arial"/>
          <w:color w:val="1C2331"/>
          <w:sz w:val="22"/>
          <w:szCs w:val="22"/>
        </w:rPr>
        <w:t xml:space="preserve">What distinguishes ALPA from any static course recommendation system is adaptive mutation — the path changes in real time based on verified behavioral outcomes. Mutation is never triggered by user request alone; it always requires a verified event from an authorized engine.</w:t>
      </w:r>
    </w:p>
    <w:p>
      <w:pPr>
        <w:spacing w:before="6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Poor performance trigger (MT-01): If match accuracy &lt; 60%, a remediation node is immediately inserted before the failed skill's next competitive encounter</w:t>
      </w:r>
    </w:p>
    <w:p>
      <w:pPr>
        <w:pStyle w:val="ListParagraph"/>
        <w:numPr>
          <w:ilvl w:val="0"/>
          <w:numId w:val="2"/>
        </w:numPr>
        <w:spacing w:before="40" w:after="55"/>
      </w:pPr>
      <w:r>
        <w:rPr>
          <w:rFonts w:ascii="Arial" w:cs="Arial" w:eastAsia="Arial" w:hAnsi="Arial"/>
          <w:color w:val="1C2331"/>
          <w:sz w:val="22"/>
          <w:szCs w:val="22"/>
        </w:rPr>
        <w:t xml:space="preserve">High performance trigger (MT-02): If match accuracy ≥ 85%, foundational course nodes for that skill are removed — the candidate has already demonstrated mastery</w:t>
      </w:r>
    </w:p>
    <w:p>
      <w:pPr>
        <w:pStyle w:val="ListParagraph"/>
        <w:numPr>
          <w:ilvl w:val="0"/>
          <w:numId w:val="2"/>
        </w:numPr>
        <w:spacing w:before="40" w:after="55"/>
      </w:pPr>
      <w:r>
        <w:rPr>
          <w:rFonts w:ascii="Arial" w:cs="Arial" w:eastAsia="Arial" w:hAnsi="Arial"/>
          <w:color w:val="1C2331"/>
          <w:sz w:val="22"/>
          <w:szCs w:val="22"/>
        </w:rPr>
        <w:t xml:space="preserve">Belt eligibility trigger (MT-03): When a candidate meets belt criteria, the next belt-gated nodes are immediately unlocked and the BELT_GATE node is activated</w:t>
      </w:r>
    </w:p>
    <w:p>
      <w:pPr>
        <w:pStyle w:val="ListParagraph"/>
        <w:numPr>
          <w:ilvl w:val="0"/>
          <w:numId w:val="2"/>
        </w:numPr>
        <w:spacing w:before="40" w:after="55"/>
      </w:pPr>
      <w:r>
        <w:rPr>
          <w:rFonts w:ascii="Arial" w:cs="Arial" w:eastAsia="Arial" w:hAnsi="Arial"/>
          <w:color w:val="1C2331"/>
          <w:sz w:val="22"/>
          <w:szCs w:val="22"/>
        </w:rPr>
        <w:t xml:space="preserve">GD discipline trigger (MT-04): If GD interrupt attempts exceed 3, a targeted GD discipline round is inserted into the path</w:t>
      </w:r>
    </w:p>
    <w:p>
      <w:pPr>
        <w:pStyle w:val="ListParagraph"/>
        <w:numPr>
          <w:ilvl w:val="0"/>
          <w:numId w:val="2"/>
        </w:numPr>
        <w:spacing w:before="40" w:after="55"/>
      </w:pPr>
      <w:r>
        <w:rPr>
          <w:rFonts w:ascii="Arial" w:cs="Arial" w:eastAsia="Arial" w:hAnsi="Arial"/>
          <w:color w:val="1C2331"/>
          <w:sz w:val="22"/>
          <w:szCs w:val="22"/>
        </w:rPr>
        <w:t xml:space="preserve">Course abandonment trigger (MT-06): If a course node has no progress for 7 days, it is replaced with a lighter-weight peer quiz equivalent — reducing friction</w:t>
      </w:r>
    </w:p>
    <w:p>
      <w:pPr>
        <w:pStyle w:val="ListParagraph"/>
        <w:numPr>
          <w:ilvl w:val="0"/>
          <w:numId w:val="2"/>
        </w:numPr>
        <w:spacing w:before="40" w:after="55"/>
      </w:pPr>
      <w:r>
        <w:rPr>
          <w:rFonts w:ascii="Arial" w:cs="Arial" w:eastAsia="Arial" w:hAnsi="Arial"/>
          <w:color w:val="1C2331"/>
          <w:sz w:val="22"/>
          <w:szCs w:val="22"/>
        </w:rPr>
        <w:t xml:space="preserve">Job rejection trigger (MT-07): If an application is rejected citing a specific skill gap, the corresponding path node is immediately elevated to PRIORITY_CRITICAL</w:t>
      </w:r>
    </w:p>
    <w:p>
      <w:pPr>
        <w:pStyle w:val="ListParagraph"/>
        <w:numPr>
          <w:ilvl w:val="0"/>
          <w:numId w:val="2"/>
        </w:numPr>
        <w:spacing w:before="40" w:after="55"/>
      </w:pPr>
      <w:r>
        <w:rPr>
          <w:rFonts w:ascii="Arial" w:cs="Arial" w:eastAsia="Arial" w:hAnsi="Arial"/>
          <w:color w:val="1C2331"/>
          <w:sz w:val="22"/>
          <w:szCs w:val="22"/>
        </w:rPr>
        <w:t xml:space="preserve">Streak break trigger (MT-08): A streak break of &gt;3 days inserts a 30-minute re-engagement micro-node — low friction, high-completion re-entry</w:t>
      </w:r>
    </w:p>
    <w:p>
      <w:pPr>
        <w:pStyle w:val="ListParagraph"/>
        <w:numPr>
          <w:ilvl w:val="0"/>
          <w:numId w:val="2"/>
        </w:numPr>
        <w:spacing w:before="40" w:after="55"/>
      </w:pPr>
      <w:r>
        <w:rPr>
          <w:rFonts w:ascii="Arial" w:cs="Arial" w:eastAsia="Arial" w:hAnsi="Arial"/>
          <w:color w:val="1C2331"/>
          <w:sz w:val="22"/>
          <w:szCs w:val="22"/>
        </w:rPr>
        <w:t xml:space="preserve">Intelligence mutation (MT-11): If the candidate completes a reassessment and their dominant intelligence type shifts, path node type weights are re-computed and the path is restructured accordingly</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7.4 Path Staleness and Expiry Rules</w:t>
      </w:r>
    </w:p>
    <w:p>
      <w:pPr>
        <w:pStyle w:val="ListParagraph"/>
        <w:numPr>
          <w:ilvl w:val="0"/>
          <w:numId w:val="2"/>
        </w:numPr>
        <w:spacing w:before="40" w:after="55"/>
      </w:pPr>
      <w:r>
        <w:rPr>
          <w:rFonts w:ascii="Arial" w:cs="Arial" w:eastAsia="Arial" w:hAnsi="Arial"/>
          <w:color w:val="1C2331"/>
          <w:sz w:val="22"/>
          <w:szCs w:val="22"/>
        </w:rPr>
        <w:t xml:space="preserve">Path staleness: A path with no progress for 14 days is flagged STALE — the candidate receives a notification with a single, achievable re-entry node</w:t>
      </w:r>
    </w:p>
    <w:p>
      <w:pPr>
        <w:pStyle w:val="ListParagraph"/>
        <w:numPr>
          <w:ilvl w:val="0"/>
          <w:numId w:val="2"/>
        </w:numPr>
        <w:spacing w:before="40" w:after="55"/>
      </w:pPr>
      <w:r>
        <w:rPr>
          <w:rFonts w:ascii="Arial" w:cs="Arial" w:eastAsia="Arial" w:hAnsi="Arial"/>
          <w:color w:val="1C2331"/>
          <w:sz w:val="22"/>
          <w:szCs w:val="22"/>
        </w:rPr>
        <w:t xml:space="preserve">Path expiry: Paths that remain stale for 90 days are archived. A new path is constructed from fresh signals when the candidate next engages</w:t>
      </w:r>
    </w:p>
    <w:p>
      <w:pPr>
        <w:pStyle w:val="ListParagraph"/>
        <w:numPr>
          <w:ilvl w:val="0"/>
          <w:numId w:val="2"/>
        </w:numPr>
        <w:spacing w:before="40" w:after="55"/>
      </w:pPr>
      <w:r>
        <w:rPr>
          <w:rFonts w:ascii="Arial" w:cs="Arial" w:eastAsia="Arial" w:hAnsi="Arial"/>
          <w:color w:val="1C2331"/>
          <w:sz w:val="22"/>
          <w:szCs w:val="22"/>
        </w:rPr>
        <w:t xml:space="preserve">Path velocity tracking: ALPA computes a Path Velocity Index (nodes completed per week, rolling 30-day average) per candidate. Velocity data is fed back to the Intelligence Profile Service — a high-velocity candidate may trigger reassessment of their time-to-readiness estimate</w:t>
      </w:r>
    </w:p>
    <w:p>
      <w:pPr>
        <w:spacing w:before="160" w:after="0"/>
      </w:pPr>
      <w:r>
        <w:rPr>
          <w:rFonts w:ascii="Arial" w:cs="Arial" w:eastAsia="Arial" w:hAnsi="Arial"/>
          <w:color w:val="1C2331"/>
          <w:sz w:val="22"/>
          <w:szCs w:val="22"/>
        </w:rPr>
        <w:t xml:space="preserve"/>
      </w:r>
    </w:p>
    <w:p>
      <w:r>
        <w:br w:type="page"/>
      </w:r>
    </w:p>
    <w:p>
      <w:pPr>
        <w:pStyle w:val="Heading1"/>
        <w:pBdr>
          <w:bottom w:val="single" w:color="0D2B55" w:sz="10" w:space="4"/>
        </w:pBdr>
        <w:spacing w:before="400" w:after="200"/>
      </w:pPr>
      <w:r>
        <w:rPr>
          <w:rFonts w:ascii="Arial" w:cs="Arial" w:eastAsia="Arial" w:hAnsi="Arial"/>
          <w:b/>
          <w:bCs/>
          <w:color w:val="0D2B55"/>
          <w:sz w:val="40"/>
          <w:szCs w:val="40"/>
        </w:rPr>
        <w:t xml:space="preserve">Feature 08 — Personalized Career Roadmap</w:t>
      </w:r>
    </w:p>
    <w:p>
      <w:pPr>
        <w:spacing w:before="60" w:after="80"/>
      </w:pPr>
      <w:r>
        <w:rPr>
          <w:rFonts w:ascii="Arial" w:cs="Arial" w:eastAsia="Arial" w:hAnsi="Arial"/>
          <w:color w:val="1C2331"/>
          <w:sz w:val="22"/>
          <w:szCs w:val="22"/>
        </w:rPr>
        <w:t xml:space="preserve">The Personalized Career Roadmap is the highest-level strategic planning output of the Intelligence Discovery module. It takes everything the platform knows about the candidate — their intelligence profile, personality, career aptitude, skill vector, learning velocity, market benchmarks, and aspirations — and produces a multi-horizon career trajectory plan. The roadmap answers not just 'what should I do next?' but 'where should I be in 12 months, 3 years, and 5 years?'</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8.1 Four Planning Horizons</w:t>
      </w:r>
    </w:p>
    <w:p>
      <w:pPr>
        <w:spacing w:before="60" w:after="80"/>
      </w:pPr>
      <w:r>
        <w:rPr>
          <w:rFonts w:ascii="Arial" w:cs="Arial" w:eastAsia="Arial" w:hAnsi="Arial"/>
          <w:color w:val="1C2331"/>
          <w:sz w:val="22"/>
          <w:szCs w:val="22"/>
        </w:rPr>
        <w:t xml:space="preserve">The Career Roadmap is structured across four time horizons, each serving a different planning purpose. All timelines are computed from the candidate's actual historical learning velocity — not generic estimates.</w:t>
      </w:r>
    </w:p>
    <w:p>
      <w:pPr>
        <w:spacing w:before="60" w:after="0"/>
      </w:pPr>
      <w:r>
        <w:rPr>
          <w:rFonts w:ascii="Arial" w:cs="Arial" w:eastAsia="Arial" w:hAnsi="Arial"/>
          <w:color w:val="1C23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480"/>
        <w:gridCol w:w="2680"/>
      </w:tblGrid>
      <w:tr>
        <w:trPr>
          <w:tblHeader/>
        </w:trPr>
        <w:tc>
          <w:tcPr>
            <w:tcW w:type="dxa" w:w="16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Horizon</w:t>
            </w:r>
          </w:p>
        </w:tc>
        <w:tc>
          <w:tcPr>
            <w:tcW w:type="dxa" w:w="16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Timeframe</w:t>
            </w:r>
          </w:p>
        </w:tc>
        <w:tc>
          <w:tcPr>
            <w:tcW w:type="dxa" w:w="348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Focus &amp; Content</w:t>
            </w:r>
          </w:p>
        </w:tc>
        <w:tc>
          <w:tcPr>
            <w:tcW w:type="dxa" w:w="268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Output</w:t>
            </w:r>
          </w:p>
        </w:tc>
      </w:tr>
      <w:tr>
        <w:tc>
          <w:tcPr>
            <w:tcW w:type="dxa" w:w="1600"/>
            <w:tcBorders>
              <w:top w:val="single" w:color="CCCCCC" w:sz="1"/>
              <w:left w:val="single" w:color="CCCCCC" w:sz="1"/>
              <w:bottom w:val="single" w:color="CCCCCC" w:sz="1"/>
              <w:right w:val="single" w:color="CCCCCC" w:sz="1"/>
            </w:tcBorders>
            <w:shd w:fill="F3E4CC"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Sprint Plan</w:t>
            </w:r>
          </w:p>
        </w:tc>
        <w:tc>
          <w:tcPr>
            <w:tcW w:type="dxa" w:w="1600"/>
            <w:tcBorders>
              <w:top w:val="single" w:color="CCCCCC" w:sz="1"/>
              <w:left w:val="single" w:color="CCCCCC" w:sz="1"/>
              <w:bottom w:val="single" w:color="CCCCCC" w:sz="1"/>
              <w:right w:val="single" w:color="CCCCCC" w:sz="1"/>
            </w:tcBorders>
            <w:shd w:fill="F3E4CC"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2 weeks</w:t>
            </w:r>
          </w:p>
        </w:tc>
        <w:tc>
          <w:tcPr>
            <w:tcW w:type="dxa" w:w="3480"/>
            <w:tcBorders>
              <w:top w:val="single" w:color="CCCCCC" w:sz="1"/>
              <w:left w:val="single" w:color="CCCCCC" w:sz="1"/>
              <w:bottom w:val="single" w:color="CCCCCC" w:sz="1"/>
              <w:right w:val="single" w:color="CCCCCC" w:sz="1"/>
            </w:tcBorders>
            <w:shd w:fill="F3E4CC"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Immediate focused actions derived from top 3 identified skill gaps. 3–5 specific tasks with success criteria, time estimates, and confidence bounds for completion</w:t>
            </w:r>
          </w:p>
        </w:tc>
        <w:tc>
          <w:tcPr>
            <w:tcW w:type="dxa" w:w="2680"/>
            <w:tcBorders>
              <w:top w:val="single" w:color="CCCCCC" w:sz="1"/>
              <w:left w:val="single" w:color="CCCCCC" w:sz="1"/>
              <w:bottom w:val="single" w:color="CCCCCC" w:sz="1"/>
              <w:right w:val="single" w:color="CCCCCC" w:sz="1"/>
            </w:tcBorders>
            <w:shd w:fill="F3E4CC"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Weekly checklist with direct platform links to recommended activities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Quarterly Plan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3 months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Bridge from current state to next career milestone: specific belt requirements, tournament registrations, projects to apply for, and first recruiter-visible achievement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 milestone calendar with 8–12 specific dated objectives</w:t>
            </w:r>
          </w:p>
        </w:tc>
      </w:tr>
      <w:tr>
        <w:tc>
          <w:tcPr>
            <w:tcW w:type="dxa" w:w="1600"/>
            <w:tcBorders>
              <w:top w:val="single" w:color="CCCCCC" w:sz="1"/>
              <w:left w:val="single" w:color="CCCCCC" w:sz="1"/>
              <w:bottom w:val="single" w:color="CCCCCC" w:sz="1"/>
              <w:right w:val="single" w:color="CCCCCC" w:sz="1"/>
            </w:tcBorders>
            <w:shd w:fill="F3E4CC"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Semi-Annual Plan</w:t>
            </w:r>
          </w:p>
        </w:tc>
        <w:tc>
          <w:tcPr>
            <w:tcW w:type="dxa" w:w="1600"/>
            <w:tcBorders>
              <w:top w:val="single" w:color="CCCCCC" w:sz="1"/>
              <w:left w:val="single" w:color="CCCCCC" w:sz="1"/>
              <w:bottom w:val="single" w:color="CCCCCC" w:sz="1"/>
              <w:right w:val="single" w:color="CCCCCC" w:sz="1"/>
            </w:tcBorders>
            <w:shd w:fill="F3E4CC"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6 months</w:t>
            </w:r>
          </w:p>
        </w:tc>
        <w:tc>
          <w:tcPr>
            <w:tcW w:type="dxa" w:w="3480"/>
            <w:tcBorders>
              <w:top w:val="single" w:color="CCCCCC" w:sz="1"/>
              <w:left w:val="single" w:color="CCCCCC" w:sz="1"/>
              <w:bottom w:val="single" w:color="CCCCCC" w:sz="1"/>
              <w:right w:val="single" w:color="CCCCCC" w:sz="1"/>
            </w:tcBorders>
            <w:shd w:fill="F3E4CC"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Career positioning goals: target job categories, salary band alignment, geographic market considerations, and 2–3 high-impact skill certifications to earn</w:t>
            </w:r>
          </w:p>
        </w:tc>
        <w:tc>
          <w:tcPr>
            <w:tcW w:type="dxa" w:w="2680"/>
            <w:tcBorders>
              <w:top w:val="single" w:color="CCCCCC" w:sz="1"/>
              <w:left w:val="single" w:color="CCCCCC" w:sz="1"/>
              <w:bottom w:val="single" w:color="CCCCCC" w:sz="1"/>
              <w:right w:val="single" w:color="CCCCCC" w:sz="1"/>
            </w:tcBorders>
            <w:shd w:fill="F3E4CC"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Career position statement: 'At 6 months, you should be applying for [role X] with [skill Y at belt Z]'</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Annual Vision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12 months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Long-term career trajectory: where the candidate should be in their career by year-end, what competencies unlock that, and what alternative pathways exist if the primary path is not achievable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 narrative career vision with 3 pathway options: Primary / Accelerated / Alternative</w:t>
            </w:r>
          </w:p>
        </w:tc>
      </w:tr>
    </w:tbl>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8.2 Roadmap Content — Deep Dive</w:t>
      </w:r>
    </w:p>
    <w:p>
      <w:pPr>
        <w:spacing w:before="220" w:after="80"/>
      </w:pPr>
      <w:r>
        <w:rPr>
          <w:rFonts w:ascii="Arial" w:cs="Arial" w:eastAsia="Arial" w:hAnsi="Arial"/>
          <w:b/>
          <w:bCs/>
          <w:color w:val="0D2B55"/>
          <w:sz w:val="24"/>
          <w:szCs w:val="24"/>
        </w:rPr>
        <w:t xml:space="preserve">Sprint Plan Construction</w:t>
      </w:r>
    </w:p>
    <w:p>
      <w:pPr>
        <w:spacing w:before="60" w:after="80"/>
      </w:pPr>
      <w:r>
        <w:rPr>
          <w:rFonts w:ascii="Arial" w:cs="Arial" w:eastAsia="Arial" w:hAnsi="Arial"/>
          <w:color w:val="1C2331"/>
          <w:sz w:val="22"/>
          <w:szCs w:val="22"/>
        </w:rPr>
        <w:t xml:space="preserve">The Sprint Plan is rebuilt automatically every two weeks based on the latest platform behavioral data. It never shows the same set of actions twice — as the candidate completes activities, the plan advances. Each sprint contains:</w:t>
      </w:r>
    </w:p>
    <w:p>
      <w:pPr>
        <w:spacing w:before="4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Priority Action (1): The single highest-SGS action — must be attempted in the next 7 days. Linked directly to the relevant platform feature</w:t>
      </w:r>
    </w:p>
    <w:p>
      <w:pPr>
        <w:pStyle w:val="ListParagraph"/>
        <w:numPr>
          <w:ilvl w:val="0"/>
          <w:numId w:val="2"/>
        </w:numPr>
        <w:spacing w:before="40" w:after="55"/>
      </w:pPr>
      <w:r>
        <w:rPr>
          <w:rFonts w:ascii="Arial" w:cs="Arial" w:eastAsia="Arial" w:hAnsi="Arial"/>
          <w:color w:val="1C2331"/>
          <w:sz w:val="22"/>
          <w:szCs w:val="22"/>
        </w:rPr>
        <w:t xml:space="preserve">Supporting Actions (2–4): Secondary actions that build context for the priority action or address parallel skill gaps</w:t>
      </w:r>
    </w:p>
    <w:p>
      <w:pPr>
        <w:pStyle w:val="ListParagraph"/>
        <w:numPr>
          <w:ilvl w:val="0"/>
          <w:numId w:val="2"/>
        </w:numPr>
        <w:spacing w:before="40" w:after="55"/>
      </w:pPr>
      <w:r>
        <w:rPr>
          <w:rFonts w:ascii="Arial" w:cs="Arial" w:eastAsia="Arial" w:hAnsi="Arial"/>
          <w:color w:val="1C2331"/>
          <w:sz w:val="22"/>
          <w:szCs w:val="22"/>
        </w:rPr>
        <w:t xml:space="preserve">Weekly Check-in Trigger: Mid-sprint notification that reviews progress against the sprint plan and adjusts if any action has been completed early or skipped</w:t>
      </w:r>
    </w:p>
    <w:p>
      <w:pPr>
        <w:pStyle w:val="ListParagraph"/>
        <w:numPr>
          <w:ilvl w:val="0"/>
          <w:numId w:val="2"/>
        </w:numPr>
        <w:spacing w:before="40" w:after="55"/>
      </w:pPr>
      <w:r>
        <w:rPr>
          <w:rFonts w:ascii="Arial" w:cs="Arial" w:eastAsia="Arial" w:hAnsi="Arial"/>
          <w:color w:val="1C2331"/>
          <w:sz w:val="22"/>
          <w:szCs w:val="22"/>
        </w:rPr>
        <w:t xml:space="preserve">Sprint Completion Certificate: On completing all sprint actions, a sprint badge is awarded — visible on the candidate's profile timeline</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Milestone Gate System</w:t>
      </w:r>
    </w:p>
    <w:p>
      <w:pPr>
        <w:spacing w:before="60" w:after="80"/>
      </w:pPr>
      <w:r>
        <w:rPr>
          <w:rFonts w:ascii="Arial" w:cs="Arial" w:eastAsia="Arial" w:hAnsi="Arial"/>
          <w:color w:val="1C2331"/>
          <w:sz w:val="22"/>
          <w:szCs w:val="22"/>
        </w:rPr>
        <w:t xml:space="preserve">The quarterly and semi-annual plans are structured around formal milestone gates — checkpoints where the candidate's progress is reviewed and the next phase of the roadmap is unlocked or adjusted:</w:t>
      </w:r>
    </w:p>
    <w:p>
      <w:pPr>
        <w:spacing w:before="4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Belt Gate: Achieving a target belt unlocks the next phase of the roadmap — without this, the roadmap shows the current phase only</w:t>
      </w:r>
    </w:p>
    <w:p>
      <w:pPr>
        <w:pStyle w:val="ListParagraph"/>
        <w:numPr>
          <w:ilvl w:val="0"/>
          <w:numId w:val="2"/>
        </w:numPr>
        <w:spacing w:before="40" w:after="55"/>
      </w:pPr>
      <w:r>
        <w:rPr>
          <w:rFonts w:ascii="Arial" w:cs="Arial" w:eastAsia="Arial" w:hAnsi="Arial"/>
          <w:color w:val="1C2331"/>
          <w:sz w:val="22"/>
          <w:szCs w:val="22"/>
        </w:rPr>
        <w:t xml:space="preserve">Placement Readiness Gate: When Eligibility Score crosses the 75/100 threshold, the roadmap transitions from 'Preparation Phase' to 'Active Application Phase'</w:t>
      </w:r>
    </w:p>
    <w:p>
      <w:pPr>
        <w:pStyle w:val="ListParagraph"/>
        <w:numPr>
          <w:ilvl w:val="0"/>
          <w:numId w:val="2"/>
        </w:numPr>
        <w:spacing w:before="40" w:after="55"/>
      </w:pPr>
      <w:r>
        <w:rPr>
          <w:rFonts w:ascii="Arial" w:cs="Arial" w:eastAsia="Arial" w:hAnsi="Arial"/>
          <w:color w:val="1C2331"/>
          <w:sz w:val="22"/>
          <w:szCs w:val="22"/>
        </w:rPr>
        <w:t xml:space="preserve">Market Alignment Gate: When the candidate achieves verified proficiency in all CRITICAL-priority skills for their target career direction, the roadmap transitions to 'Differentiation Phase' — pursuing achievements that go above baseline requirements</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Alternative Pathway Planning</w:t>
      </w:r>
    </w:p>
    <w:p>
      <w:pPr>
        <w:spacing w:before="60" w:after="80"/>
      </w:pPr>
      <w:r>
        <w:rPr>
          <w:rFonts w:ascii="Arial" w:cs="Arial" w:eastAsia="Arial" w:hAnsi="Arial"/>
          <w:color w:val="1C2331"/>
          <w:sz w:val="22"/>
          <w:szCs w:val="22"/>
        </w:rPr>
        <w:t xml:space="preserve">The annual vision always includes 3 pathway options — not just one. This prevents the roadmap from becoming a pressure source and acknowledges that careers rarely follow a single linear trajectory:</w:t>
      </w:r>
    </w:p>
    <w:p>
      <w:pPr>
        <w:spacing w:before="4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Primary Pathway: The highest-SGS career direction with the most direct route from current state to target role</w:t>
      </w:r>
    </w:p>
    <w:p>
      <w:pPr>
        <w:pStyle w:val="ListParagraph"/>
        <w:numPr>
          <w:ilvl w:val="0"/>
          <w:numId w:val="2"/>
        </w:numPr>
        <w:spacing w:before="40" w:after="55"/>
      </w:pPr>
      <w:r>
        <w:rPr>
          <w:rFonts w:ascii="Arial" w:cs="Arial" w:eastAsia="Arial" w:hAnsi="Arial"/>
          <w:color w:val="1C2331"/>
          <w:sz w:val="22"/>
          <w:szCs w:val="22"/>
        </w:rPr>
        <w:t xml:space="preserve">Accelerated Pathway: A shorter route to a role that is not the ideal fit but is achievable faster — useful if the candidate needs employment within a shorter timeframe</w:t>
      </w:r>
    </w:p>
    <w:p>
      <w:pPr>
        <w:pStyle w:val="ListParagraph"/>
        <w:numPr>
          <w:ilvl w:val="0"/>
          <w:numId w:val="2"/>
        </w:numPr>
        <w:spacing w:before="40" w:after="55"/>
      </w:pPr>
      <w:r>
        <w:rPr>
          <w:rFonts w:ascii="Arial" w:cs="Arial" w:eastAsia="Arial" w:hAnsi="Arial"/>
          <w:color w:val="1C2331"/>
          <w:sz w:val="22"/>
          <w:szCs w:val="22"/>
        </w:rPr>
        <w:t xml:space="preserve">Alternative Pathway: A career direction that shares many of the same skills as the primary pathway but serves a different market — a hedge against market changes</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8.3 Burnout Prevention Design</w:t>
      </w:r>
    </w:p>
    <w:p>
      <w:pPr>
        <w:spacing w:before="60" w:after="80"/>
      </w:pPr>
      <w:r>
        <w:rPr>
          <w:rFonts w:ascii="Arial" w:cs="Arial" w:eastAsia="Arial" w:hAnsi="Arial"/>
          <w:color w:val="1C2331"/>
          <w:sz w:val="22"/>
          <w:szCs w:val="22"/>
        </w:rPr>
        <w:t xml:space="preserve">The Career Roadmap is explicitly designed to avoid creating burnout — a risk when AI planning systems optimize purely for speed to goal without accounting for human sustainability.</w:t>
      </w:r>
    </w:p>
    <w:p>
      <w:pPr>
        <w:spacing w:before="4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Mandatory recovery periods: Every 6-week sprint cycle includes one 'reflection week' where no new activities are assigned — only consolidation and review</w:t>
      </w:r>
    </w:p>
    <w:p>
      <w:pPr>
        <w:pStyle w:val="ListParagraph"/>
        <w:numPr>
          <w:ilvl w:val="0"/>
          <w:numId w:val="2"/>
        </w:numPr>
        <w:spacing w:before="40" w:after="55"/>
      </w:pPr>
      <w:r>
        <w:rPr>
          <w:rFonts w:ascii="Arial" w:cs="Arial" w:eastAsia="Arial" w:hAnsi="Arial"/>
          <w:color w:val="1C2331"/>
          <w:sz w:val="22"/>
          <w:szCs w:val="22"/>
        </w:rPr>
        <w:t xml:space="preserve">Effort calibration: The platform learns the candidate's typical weekly hours from historical activity data and uses this to size sprint plans — never assigning more than 110% of the candidate's demonstrated capacity</w:t>
      </w:r>
    </w:p>
    <w:p>
      <w:pPr>
        <w:pStyle w:val="ListParagraph"/>
        <w:numPr>
          <w:ilvl w:val="0"/>
          <w:numId w:val="2"/>
        </w:numPr>
        <w:spacing w:before="40" w:after="55"/>
      </w:pPr>
      <w:r>
        <w:rPr>
          <w:rFonts w:ascii="Arial" w:cs="Arial" w:eastAsia="Arial" w:hAnsi="Arial"/>
          <w:color w:val="1C2331"/>
          <w:sz w:val="22"/>
          <w:szCs w:val="22"/>
        </w:rPr>
        <w:t xml:space="preserve">Psychological framing: Progress notifications use growth mindset language — milestones missed are framed as 'path adjustment opportunities', not failures</w:t>
      </w:r>
    </w:p>
    <w:p>
      <w:pPr>
        <w:pStyle w:val="ListParagraph"/>
        <w:numPr>
          <w:ilvl w:val="0"/>
          <w:numId w:val="2"/>
        </w:numPr>
        <w:spacing w:before="40" w:after="55"/>
      </w:pPr>
      <w:r>
        <w:rPr>
          <w:rFonts w:ascii="Arial" w:cs="Arial" w:eastAsia="Arial" w:hAnsi="Arial"/>
          <w:color w:val="1C2331"/>
          <w:sz w:val="22"/>
          <w:szCs w:val="22"/>
        </w:rPr>
        <w:t xml:space="preserve">Course correction triggers: Defined thresholds that flag when the roadmap needs human mentor review: 3 consecutive sprint plans with &lt;50% completion; Eligibility Score declining for 2 consecutive months; GD scores declining for 3 sessions</w:t>
      </w:r>
    </w:p>
    <w:p>
      <w:pPr>
        <w:spacing w:before="160" w:after="0"/>
      </w:pPr>
      <w:r>
        <w:rPr>
          <w:rFonts w:ascii="Arial" w:cs="Arial" w:eastAsia="Arial" w:hAnsi="Arial"/>
          <w:color w:val="1C2331"/>
          <w:sz w:val="22"/>
          <w:szCs w:val="22"/>
        </w:rPr>
        <w:t xml:space="preserve"/>
      </w:r>
    </w:p>
    <w:p>
      <w:r>
        <w:br w:type="page"/>
      </w:r>
    </w:p>
    <w:p>
      <w:pPr>
        <w:pStyle w:val="Heading1"/>
        <w:pBdr>
          <w:bottom w:val="single" w:color="0D2B55" w:sz="10" w:space="4"/>
        </w:pBdr>
        <w:spacing w:before="400" w:after="200"/>
      </w:pPr>
      <w:r>
        <w:rPr>
          <w:rFonts w:ascii="Arial" w:cs="Arial" w:eastAsia="Arial" w:hAnsi="Arial"/>
          <w:b/>
          <w:bCs/>
          <w:color w:val="0D2B55"/>
          <w:sz w:val="40"/>
          <w:szCs w:val="40"/>
        </w:rPr>
        <w:t xml:space="preserve">Feature 09 — Intelligence Report Generation</w:t>
      </w:r>
    </w:p>
    <w:p>
      <w:pPr>
        <w:spacing w:before="60" w:after="80"/>
      </w:pPr>
      <w:r>
        <w:rPr>
          <w:rFonts w:ascii="Arial" w:cs="Arial" w:eastAsia="Arial" w:hAnsi="Arial"/>
          <w:color w:val="1C2331"/>
          <w:sz w:val="22"/>
          <w:szCs w:val="22"/>
        </w:rPr>
        <w:t xml:space="preserve">The Intelligence Report is a comprehensive, professionally formatted PDF document that synthesizes all Intelligence Discovery outputs into a shareable, verifiable credential. It is the candidate's most complete self-knowledge document — suitable for sharing with mentors, counselors, parents, educational advisors, and trusted employers. The report is generated automatically upon completion of all Intelligence Discovery assessments.</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9.1 Report Sections — Complete Document Structure</w:t>
      </w:r>
    </w:p>
    <w:p>
      <w:pPr>
        <w:spacing w:before="220" w:after="80"/>
      </w:pPr>
      <w:r>
        <w:rPr>
          <w:rFonts w:ascii="Arial" w:cs="Arial" w:eastAsia="Arial" w:hAnsi="Arial"/>
          <w:b/>
          <w:bCs/>
          <w:color w:val="0D2B55"/>
          <w:sz w:val="24"/>
          <w:szCs w:val="24"/>
        </w:rPr>
        <w:t xml:space="preserve">Section 1 — Executive Summary (1 page)</w:t>
      </w:r>
    </w:p>
    <w:p>
      <w:pPr>
        <w:spacing w:before="60" w:after="80"/>
      </w:pPr>
      <w:r>
        <w:rPr>
          <w:rFonts w:ascii="Arial" w:cs="Arial" w:eastAsia="Arial" w:hAnsi="Arial"/>
          <w:color w:val="1C2331"/>
          <w:sz w:val="22"/>
          <w:szCs w:val="22"/>
        </w:rPr>
        <w:t xml:space="preserve">A plain-language narrative of the candidate's complete intelligence profile: who they are, how they learn, what they are naturally suited to, and what the data recommends as their career direction. Written in accessible language, not technical jargon. Designed to be readable by parents, teachers, and the candidate themselves.</w:t>
      </w:r>
    </w:p>
    <w:p>
      <w:pPr>
        <w:spacing w:before="4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One-paragraph profile narrative: 'Based on your complete Intelligence Discovery assessment, you demonstrate a dominant Logical-Mathematical and Intrapersonal intelligence profile, combined with an Investigative-Enterprising RIASEC orientation and a highly conscientious personality style. This combination is most commonly associated with success in analytical leadership, data-driven entrepreneurship, and research-based product development roles...'</w:t>
      </w:r>
    </w:p>
    <w:p>
      <w:pPr>
        <w:pStyle w:val="ListParagraph"/>
        <w:numPr>
          <w:ilvl w:val="0"/>
          <w:numId w:val="2"/>
        </w:numPr>
        <w:spacing w:before="40" w:after="55"/>
      </w:pPr>
      <w:r>
        <w:rPr>
          <w:rFonts w:ascii="Arial" w:cs="Arial" w:eastAsia="Arial" w:hAnsi="Arial"/>
          <w:color w:val="1C2331"/>
          <w:sz w:val="22"/>
          <w:szCs w:val="22"/>
        </w:rPr>
        <w:t xml:space="preserve">Top 3 career directions with fit percentages</w:t>
      </w:r>
    </w:p>
    <w:p>
      <w:pPr>
        <w:pStyle w:val="ListParagraph"/>
        <w:numPr>
          <w:ilvl w:val="0"/>
          <w:numId w:val="2"/>
        </w:numPr>
        <w:spacing w:before="40" w:after="55"/>
      </w:pPr>
      <w:r>
        <w:rPr>
          <w:rFonts w:ascii="Arial" w:cs="Arial" w:eastAsia="Arial" w:hAnsi="Arial"/>
          <w:color w:val="1C2331"/>
          <w:sz w:val="22"/>
          <w:szCs w:val="22"/>
        </w:rPr>
        <w:t xml:space="preserve">Top 3 strengths and top 3 development priorities</w:t>
      </w:r>
    </w:p>
    <w:p>
      <w:pPr>
        <w:pStyle w:val="ListParagraph"/>
        <w:numPr>
          <w:ilvl w:val="0"/>
          <w:numId w:val="2"/>
        </w:numPr>
        <w:spacing w:before="40" w:after="55"/>
      </w:pPr>
      <w:r>
        <w:rPr>
          <w:rFonts w:ascii="Arial" w:cs="Arial" w:eastAsia="Arial" w:hAnsi="Arial"/>
          <w:color w:val="1C2331"/>
          <w:sz w:val="22"/>
          <w:szCs w:val="22"/>
        </w:rPr>
        <w:t xml:space="preserve">Recommended next action (specific and achievable)</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Section 2 — Intelligence DNA Profile (2 pages)</w:t>
      </w:r>
    </w:p>
    <w:p>
      <w:pPr>
        <w:spacing w:before="60" w:after="80"/>
      </w:pPr>
      <w:r>
        <w:rPr>
          <w:rFonts w:ascii="Arial" w:cs="Arial" w:eastAsia="Arial" w:hAnsi="Arial"/>
          <w:color w:val="1C2331"/>
          <w:sz w:val="22"/>
          <w:szCs w:val="22"/>
        </w:rPr>
        <w:t xml:space="preserve">Full graphical presentation of the 8-intelligence profile with radar chart, score table, confidence intervals, and plain-language interpretation of each type's significance for the candidate.</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Section 3 — Personality Analysis Report (2 pages)</w:t>
      </w:r>
    </w:p>
    <w:p>
      <w:pPr>
        <w:spacing w:before="60" w:after="80"/>
      </w:pPr>
      <w:r>
        <w:rPr>
          <w:rFonts w:ascii="Arial" w:cs="Arial" w:eastAsia="Arial" w:hAnsi="Arial"/>
          <w:color w:val="1C2331"/>
          <w:sz w:val="22"/>
          <w:szCs w:val="22"/>
        </w:rPr>
        <w:t xml:space="preserve">The Personality Profile with trait scores displayed as a bar chart, archetype label and description, workplace preference summary, communication style guide, and behavioral risk identification.</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Section 4 — Career Aptitude Assessment (2 pages)</w:t>
      </w:r>
    </w:p>
    <w:p>
      <w:pPr>
        <w:spacing w:before="60" w:after="80"/>
      </w:pPr>
      <w:r>
        <w:rPr>
          <w:rFonts w:ascii="Arial" w:cs="Arial" w:eastAsia="Arial" w:hAnsi="Arial"/>
          <w:color w:val="1C2331"/>
          <w:sz w:val="22"/>
          <w:szCs w:val="22"/>
        </w:rPr>
        <w:t xml:space="preserve">The RIASEC hexagon visualization, interest score table, confidence-interest intersection analysis, top 20 career match list, and domain direction recommendation.</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Section 5 — Skill Discovery Summary (1–2 pages)</w:t>
      </w:r>
    </w:p>
    <w:p>
      <w:pPr>
        <w:spacing w:before="60" w:after="80"/>
      </w:pPr>
      <w:r>
        <w:rPr>
          <w:rFonts w:ascii="Arial" w:cs="Arial" w:eastAsia="Arial" w:hAnsi="Arial"/>
          <w:color w:val="1C2331"/>
          <w:sz w:val="22"/>
          <w:szCs w:val="22"/>
        </w:rPr>
        <w:t xml:space="preserve">The initial Skill Map with confidence levels clearly indicated, evidence strength per skill, identified skill gaps relative to target career direction, and SEC Agent's initial validation findings.</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Section 6 — AI Career Recommendation Detail (2 pages)</w:t>
      </w:r>
    </w:p>
    <w:p>
      <w:pPr>
        <w:spacing w:before="60" w:after="80"/>
      </w:pPr>
      <w:r>
        <w:rPr>
          <w:rFonts w:ascii="Arial" w:cs="Arial" w:eastAsia="Arial" w:hAnsi="Arial"/>
          <w:color w:val="1C2331"/>
          <w:sz w:val="22"/>
          <w:szCs w:val="22"/>
        </w:rPr>
        <w:t xml:space="preserve">Full detail of the top 5 AI career recommendations with SGS scores, gap analysis charts, time-to-readiness estimates, salary benchmarks, and next-action plans.</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Section 7 — Strength-Weakness Analysis (2 pages)</w:t>
      </w:r>
    </w:p>
    <w:p>
      <w:pPr>
        <w:spacing w:before="60" w:after="80"/>
      </w:pPr>
      <w:r>
        <w:rPr>
          <w:rFonts w:ascii="Arial" w:cs="Arial" w:eastAsia="Arial" w:hAnsi="Arial"/>
          <w:color w:val="1C2331"/>
          <w:sz w:val="22"/>
          <w:szCs w:val="22"/>
        </w:rPr>
        <w:t xml:space="preserve">The four-quadrant Strength-Weakness Summary Card with evidence citations, benchmark comparisons, and remediation action plans for each identified weakness.</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Section 8 — Personalized Career Roadmap (2 pages)</w:t>
      </w:r>
    </w:p>
    <w:p>
      <w:pPr>
        <w:spacing w:before="60" w:after="80"/>
      </w:pPr>
      <w:r>
        <w:rPr>
          <w:rFonts w:ascii="Arial" w:cs="Arial" w:eastAsia="Arial" w:hAnsi="Arial"/>
          <w:color w:val="1C2331"/>
          <w:sz w:val="22"/>
          <w:szCs w:val="22"/>
        </w:rPr>
        <w:t xml:space="preserve">The four-horizon roadmap in visual timeline format, milestone gate positions, the three pathway options (Primary / Accelerated / Alternative), and the current sprint plan.</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Section 9 — Learning Path Preview (1 page)</w:t>
      </w:r>
    </w:p>
    <w:p>
      <w:pPr>
        <w:spacing w:before="60" w:after="80"/>
      </w:pPr>
      <w:r>
        <w:rPr>
          <w:rFonts w:ascii="Arial" w:cs="Arial" w:eastAsia="Arial" w:hAnsi="Arial"/>
          <w:color w:val="1C2331"/>
          <w:sz w:val="22"/>
          <w:szCs w:val="22"/>
        </w:rPr>
        <w:t xml:space="preserve">A visual preview of the candidate's current ALPA-generated learning path — showing the first 10 nodes of the DAG in a flow chart format, with estimated completion dates.</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Section 10 — Mentor Recommendations (1 page)</w:t>
      </w:r>
    </w:p>
    <w:p>
      <w:pPr>
        <w:spacing w:before="60" w:after="80"/>
      </w:pPr>
      <w:r>
        <w:rPr>
          <w:rFonts w:ascii="Arial" w:cs="Arial" w:eastAsia="Arial" w:hAnsi="Arial"/>
          <w:color w:val="1C2331"/>
          <w:sz w:val="22"/>
          <w:szCs w:val="22"/>
        </w:rPr>
        <w:t xml:space="preserve">The top 3 mentor recommendations from the Mentor Matching Agent with mentor profile summaries, domain alignment scores, and a direct request link.</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9.2 Report Generation Engine</w:t>
      </w:r>
    </w:p>
    <w:p>
      <w:pPr>
        <w:pStyle w:val="ListParagraph"/>
        <w:numPr>
          <w:ilvl w:val="0"/>
          <w:numId w:val="2"/>
        </w:numPr>
        <w:spacing w:before="40" w:after="55"/>
      </w:pPr>
      <w:r>
        <w:rPr>
          <w:rFonts w:ascii="Arial" w:cs="Arial" w:eastAsia="Arial" w:hAnsi="Arial"/>
          <w:color w:val="1C2331"/>
          <w:sz w:val="22"/>
          <w:szCs w:val="22"/>
        </w:rPr>
        <w:t xml:space="preserve">Trigger: Report is auto-generated within 60 minutes of all 5 assessment types (Intelligence Test + Personality Analysis + Career Aptitude Test + Skill Discovery Questionnaire + one platform activity) being completed</w:t>
      </w:r>
    </w:p>
    <w:p>
      <w:pPr>
        <w:pStyle w:val="ListParagraph"/>
        <w:numPr>
          <w:ilvl w:val="0"/>
          <w:numId w:val="2"/>
        </w:numPr>
        <w:spacing w:before="40" w:after="55"/>
      </w:pPr>
      <w:r>
        <w:rPr>
          <w:rFonts w:ascii="Arial" w:cs="Arial" w:eastAsia="Arial" w:hAnsi="Arial"/>
          <w:color w:val="1C2331"/>
          <w:sz w:val="22"/>
          <w:szCs w:val="22"/>
        </w:rPr>
        <w:t xml:space="preserve">Format: High-resolution PDF — EcoSkiller branded template with candidate's name, institution, report date, and a unique Report ID</w:t>
      </w:r>
    </w:p>
    <w:p>
      <w:pPr>
        <w:pStyle w:val="ListParagraph"/>
        <w:numPr>
          <w:ilvl w:val="0"/>
          <w:numId w:val="2"/>
        </w:numPr>
        <w:spacing w:before="40" w:after="55"/>
      </w:pPr>
      <w:r>
        <w:rPr>
          <w:rFonts w:ascii="Arial" w:cs="Arial" w:eastAsia="Arial" w:hAnsi="Arial"/>
          <w:color w:val="1C2331"/>
          <w:sz w:val="22"/>
          <w:szCs w:val="22"/>
        </w:rPr>
        <w:t xml:space="preserve">Unique Report ID: Each report carries a cryptographic ID (e.g., ECO-IDR-2026-08524) verifiable at EcoSkiller's public verification portal — employers and advisors can confirm authenticity</w:t>
      </w:r>
    </w:p>
    <w:p>
      <w:pPr>
        <w:pStyle w:val="ListParagraph"/>
        <w:numPr>
          <w:ilvl w:val="0"/>
          <w:numId w:val="2"/>
        </w:numPr>
        <w:spacing w:before="40" w:after="55"/>
      </w:pPr>
      <w:r>
        <w:rPr>
          <w:rFonts w:ascii="Arial" w:cs="Arial" w:eastAsia="Arial" w:hAnsi="Arial"/>
          <w:color w:val="1C2331"/>
          <w:sz w:val="22"/>
          <w:szCs w:val="22"/>
        </w:rPr>
        <w:t xml:space="preserve">Dynamic content: All charts and scores are generated fresh at report creation — not stored templates. Each report is a live snapshot of the candidate's state at generation time</w:t>
      </w:r>
    </w:p>
    <w:p>
      <w:pPr>
        <w:pStyle w:val="ListParagraph"/>
        <w:numPr>
          <w:ilvl w:val="0"/>
          <w:numId w:val="2"/>
        </w:numPr>
        <w:spacing w:before="40" w:after="55"/>
      </w:pPr>
      <w:r>
        <w:rPr>
          <w:rFonts w:ascii="Arial" w:cs="Arial" w:eastAsia="Arial" w:hAnsi="Arial"/>
          <w:color w:val="1C2331"/>
          <w:sz w:val="22"/>
          <w:szCs w:val="22"/>
        </w:rPr>
        <w:t xml:space="preserve">DigiLocker push: The Intelligence Report is pushed to the candidate's DigiLocker account within 24 hours of generation</w:t>
      </w:r>
    </w:p>
    <w:p>
      <w:pPr>
        <w:pStyle w:val="ListParagraph"/>
        <w:numPr>
          <w:ilvl w:val="0"/>
          <w:numId w:val="2"/>
        </w:numPr>
        <w:spacing w:before="40" w:after="55"/>
      </w:pPr>
      <w:r>
        <w:rPr>
          <w:rFonts w:ascii="Arial" w:cs="Arial" w:eastAsia="Arial" w:hAnsi="Arial"/>
          <w:color w:val="1C2331"/>
          <w:sz w:val="22"/>
          <w:szCs w:val="22"/>
        </w:rPr>
        <w:t xml:space="preserve">Version history: Every time the report is regenerated (after reassessment), the previous version is archived. Candidates and authorized parties can view historical report versions</w:t>
      </w:r>
    </w:p>
    <w:p>
      <w:pPr>
        <w:pStyle w:val="ListParagraph"/>
        <w:numPr>
          <w:ilvl w:val="0"/>
          <w:numId w:val="2"/>
        </w:numPr>
        <w:spacing w:before="40" w:after="55"/>
      </w:pPr>
      <w:r>
        <w:rPr>
          <w:rFonts w:ascii="Arial" w:cs="Arial" w:eastAsia="Arial" w:hAnsi="Arial"/>
          <w:color w:val="1C2331"/>
          <w:sz w:val="22"/>
          <w:szCs w:val="22"/>
        </w:rPr>
        <w:t xml:space="preserve">Privacy controls: Candidate controls which sections are included in the shareable version — the full internal report always retains all sections, but the shareable export can omit sections the candidate prefers to keep private</w:t>
      </w:r>
    </w:p>
    <w:p>
      <w:pPr>
        <w:pStyle w:val="ListParagraph"/>
        <w:numPr>
          <w:ilvl w:val="0"/>
          <w:numId w:val="2"/>
        </w:numPr>
        <w:spacing w:before="40" w:after="55"/>
      </w:pPr>
      <w:r>
        <w:rPr>
          <w:rFonts w:ascii="Arial" w:cs="Arial" w:eastAsia="Arial" w:hAnsi="Arial"/>
          <w:color w:val="1C2331"/>
          <w:sz w:val="22"/>
          <w:szCs w:val="22"/>
        </w:rPr>
        <w:t xml:space="preserve">Mentor-access version: When a candidate connects with a mentor, the mentor receives a specialized version of the report with additional technical detail and specific mentoring recommendations</w:t>
      </w:r>
    </w:p>
    <w:p>
      <w:pPr>
        <w:spacing w:before="160" w:after="0"/>
      </w:pPr>
      <w:r>
        <w:rPr>
          <w:rFonts w:ascii="Arial" w:cs="Arial" w:eastAsia="Arial" w:hAnsi="Arial"/>
          <w:color w:val="1C2331"/>
          <w:sz w:val="22"/>
          <w:szCs w:val="22"/>
        </w:rPr>
        <w:t xml:space="preserve"/>
      </w:r>
    </w:p>
    <w:p>
      <w:r>
        <w:br w:type="page"/>
      </w:r>
    </w:p>
    <w:p>
      <w:pPr>
        <w:pStyle w:val="Heading1"/>
        <w:pBdr>
          <w:bottom w:val="single" w:color="0D2B55" w:sz="10" w:space="4"/>
        </w:pBdr>
        <w:spacing w:before="400" w:after="200"/>
      </w:pPr>
      <w:r>
        <w:rPr>
          <w:rFonts w:ascii="Arial" w:cs="Arial" w:eastAsia="Arial" w:hAnsi="Arial"/>
          <w:b/>
          <w:bCs/>
          <w:color w:val="0D2B55"/>
          <w:sz w:val="40"/>
          <w:szCs w:val="40"/>
        </w:rPr>
        <w:t xml:space="preserve">Feature 10 — Mentor Recommendations Based on Intelligence Results</w:t>
      </w:r>
    </w:p>
    <w:p>
      <w:pPr>
        <w:spacing w:before="60" w:after="80"/>
      </w:pPr>
      <w:r>
        <w:rPr>
          <w:rFonts w:ascii="Arial" w:cs="Arial" w:eastAsia="Arial" w:hAnsi="Arial"/>
          <w:color w:val="1C2331"/>
          <w:sz w:val="22"/>
          <w:szCs w:val="22"/>
        </w:rPr>
        <w:t xml:space="preserve">Mentor Recommendations are generated by the Mentor Matching Agent (MMA) — a trust-gated, deterministic AI system that identifies the best-fit verified mentors for each candidate based on the outputs of the Intelligence Discovery module. Unlike informal mentor suggestion systems that rely on availability or self-selection, the MMA uses a multi-criteria eligibility engine to match candidates with mentors who have the specific domain expertise, verified credentials, available capacity, and domain alignment that the candidate's intelligence profile indicates they need most.</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10.1 Mentor Types Available for Intelligence Discovery Graduates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rPr>
          <w:tblHeader/>
        </w:trPr>
        <w:tc>
          <w:tcPr>
            <w:tcW w:type="dxa" w:w="22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Mentor Type</w:t>
            </w:r>
          </w:p>
        </w:tc>
        <w:tc>
          <w:tcPr>
            <w:tcW w:type="dxa" w:w="388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Specialization</w:t>
            </w:r>
          </w:p>
        </w:tc>
        <w:tc>
          <w:tcPr>
            <w:tcW w:type="dxa" w:w="328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When Recommended</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Career Mentor</w:t>
            </w:r>
          </w:p>
        </w:tc>
        <w:tc>
          <w:tcPr>
            <w:tcW w:type="dxa" w:w="38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General career lifecycle guidance — goal-setting, industry navigation, job search strategy</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When RIASEC profile is broad or candidate is undecided between top career directions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Startup Mentor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Entrepreneurship and venture building tracks — business model, funding, team building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When RIASEC Enterprising type is dominant and Intrapersonal intelligence is in top 3</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Industry Expert Mentor</w:t>
            </w:r>
          </w:p>
        </w:tc>
        <w:tc>
          <w:tcPr>
            <w:tcW w:type="dxa" w:w="38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Deep domain expertise in a specific vertical — Technology, Finance, Healthcare, etc.</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When candidate has a clear top career direction with a specific industry 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Corporate Mentor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Enterprise skill alignment — navigating large organizations, corporate communication, career progression within enterprise structures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When candidate's target roles are at enterprise companies and Interpersonal intelligence is high</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Research Coordinator</w:t>
            </w:r>
          </w:p>
        </w:tc>
        <w:tc>
          <w:tcPr>
            <w:tcW w:type="dxa" w:w="38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Academic mentorship — research methodology, paper writing, academic career paths</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When Investigative RIASEC type is dominant and candidate's goal is graduate study or research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Project Mentor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Milestone-based real-world project oversight — technical and delivery skills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When Skill Vector has significant gaps in applied skills and portfolio is underdeveloped</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Internship Coordinator</w:t>
            </w:r>
          </w:p>
        </w:tc>
        <w:tc>
          <w:tcPr>
            <w:tcW w:type="dxa" w:w="38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Industry internship pipeline management — placement, networking, first job transition</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When candidate is within 12 months of graduation and placement readiness score ≥ 60</w:t>
            </w:r>
          </w:p>
        </w:tc>
      </w:tr>
    </w:tbl>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10.2 Mentor Matching Algorithm — Selection Criteria</w:t>
      </w:r>
    </w:p>
    <w:p>
      <w:pPr>
        <w:spacing w:before="60" w:after="80"/>
      </w:pPr>
      <w:r>
        <w:rPr>
          <w:rFonts w:ascii="Arial" w:cs="Arial" w:eastAsia="Arial" w:hAnsi="Arial"/>
          <w:color w:val="1C2331"/>
          <w:sz w:val="22"/>
          <w:szCs w:val="22"/>
        </w:rPr>
        <w:t xml:space="preserve">The MMA does not use subjective criteria like 'mentorship style' or personality compatibility. It uses a deterministic, auditable matching model based on verifiable attributes only:</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Eligibility Gate (All criteria must pass before a mentor enters the matching pool)</w:t>
      </w:r>
    </w:p>
    <w:p>
      <w:pPr>
        <w:pStyle w:val="ListParagraph"/>
        <w:numPr>
          <w:ilvl w:val="0"/>
          <w:numId w:val="2"/>
        </w:numPr>
        <w:spacing w:before="40" w:after="55"/>
      </w:pPr>
      <w:r>
        <w:rPr>
          <w:rFonts w:ascii="Arial" w:cs="Arial" w:eastAsia="Arial" w:hAnsi="Arial"/>
          <w:color w:val="1C2331"/>
          <w:sz w:val="22"/>
          <w:szCs w:val="22"/>
        </w:rPr>
        <w:t xml:space="preserve">Verified Identity: Keycloak-confirmed — not just email-verified. The mentor's identity is tied to a verified professional credential or institutional affiliation</w:t>
      </w:r>
    </w:p>
    <w:p>
      <w:pPr>
        <w:pStyle w:val="ListParagraph"/>
        <w:numPr>
          <w:ilvl w:val="0"/>
          <w:numId w:val="2"/>
        </w:numPr>
        <w:spacing w:before="40" w:after="55"/>
      </w:pPr>
      <w:r>
        <w:rPr>
          <w:rFonts w:ascii="Arial" w:cs="Arial" w:eastAsia="Arial" w:hAnsi="Arial"/>
          <w:color w:val="1C2331"/>
          <w:sz w:val="22"/>
          <w:szCs w:val="22"/>
        </w:rPr>
        <w:t xml:space="preserve">Active Certification: Mentor's certification must not be expired or suspended. Certification is tied to domain tracks — a Technology mentor cannot be matched to an Arts candidate</w:t>
      </w:r>
    </w:p>
    <w:p>
      <w:pPr>
        <w:pStyle w:val="ListParagraph"/>
        <w:numPr>
          <w:ilvl w:val="0"/>
          <w:numId w:val="2"/>
        </w:numPr>
        <w:spacing w:before="40" w:after="55"/>
      </w:pPr>
      <w:r>
        <w:rPr>
          <w:rFonts w:ascii="Arial" w:cs="Arial" w:eastAsia="Arial" w:hAnsi="Arial"/>
          <w:color w:val="1C2331"/>
          <w:sz w:val="22"/>
          <w:szCs w:val="22"/>
        </w:rPr>
        <w:t xml:space="preserve">Tenant Approval: The mentor must be explicitly approved by the candidate's institute admin for involvement with that institute's candidate pool</w:t>
      </w:r>
    </w:p>
    <w:p>
      <w:pPr>
        <w:pStyle w:val="ListParagraph"/>
        <w:numPr>
          <w:ilvl w:val="0"/>
          <w:numId w:val="2"/>
        </w:numPr>
        <w:spacing w:before="40" w:after="55"/>
      </w:pPr>
      <w:r>
        <w:rPr>
          <w:rFonts w:ascii="Arial" w:cs="Arial" w:eastAsia="Arial" w:hAnsi="Arial"/>
          <w:color w:val="1C2331"/>
          <w:sz w:val="22"/>
          <w:szCs w:val="22"/>
        </w:rPr>
        <w:t xml:space="preserve">Domain Alignment: The mentor's certified domain must match the candidate's target domain — domain isolation is hard-enforced. A Commerce track mentor cannot be matched to a Technology track candidate</w:t>
      </w:r>
    </w:p>
    <w:p>
      <w:pPr>
        <w:pStyle w:val="ListParagraph"/>
        <w:numPr>
          <w:ilvl w:val="0"/>
          <w:numId w:val="2"/>
        </w:numPr>
        <w:spacing w:before="40" w:after="55"/>
      </w:pPr>
      <w:r>
        <w:rPr>
          <w:rFonts w:ascii="Arial" w:cs="Arial" w:eastAsia="Arial" w:hAnsi="Arial"/>
          <w:color w:val="1C2331"/>
          <w:sz w:val="22"/>
          <w:szCs w:val="22"/>
        </w:rPr>
        <w:t xml:space="preserve">Calibration Validity: The mentor must be within their calibration validity window — mentors who have not recently been calibrated (scored on consistency and bias metrics) are excluded from active matching</w:t>
      </w:r>
    </w:p>
    <w:p>
      <w:pPr>
        <w:pStyle w:val="ListParagraph"/>
        <w:numPr>
          <w:ilvl w:val="0"/>
          <w:numId w:val="2"/>
        </w:numPr>
        <w:spacing w:before="40" w:after="55"/>
      </w:pPr>
      <w:r>
        <w:rPr>
          <w:rFonts w:ascii="Arial" w:cs="Arial" w:eastAsia="Arial" w:hAnsi="Arial"/>
          <w:color w:val="1C2331"/>
          <w:sz w:val="22"/>
          <w:szCs w:val="22"/>
        </w:rPr>
        <w:t xml:space="preserve">Available Capacity: The MMA reads the mentor's declared capacity and current active mentee count from the Redis slot lock. Mentors at capacity are excluded from matching</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Scoring Formula (for eligible mentors)</w:t>
      </w:r>
    </w:p>
    <w:p>
      <w:pPr>
        <w:spacing w:before="60" w:after="80"/>
      </w:pPr>
      <w:r>
        <w:rPr>
          <w:rFonts w:ascii="Arial" w:cs="Arial" w:eastAsia="Arial" w:hAnsi="Arial"/>
          <w:color w:val="1C2331"/>
          <w:sz w:val="22"/>
          <w:szCs w:val="22"/>
        </w:rPr>
        <w:t xml:space="preserve">Among eligible mentors, a Mentor Fit Score (MFS) is computed for each candidate-mentor pair:</w:t>
      </w:r>
    </w:p>
    <w:p>
      <w:pPr>
        <w:spacing w:before="4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Domain expertise alignment (40% weight): Match between mentor's verified expertise areas and the skill nodes identified as priority in the candidate's roadmap</w:t>
      </w:r>
    </w:p>
    <w:p>
      <w:pPr>
        <w:pStyle w:val="ListParagraph"/>
        <w:numPr>
          <w:ilvl w:val="0"/>
          <w:numId w:val="2"/>
        </w:numPr>
        <w:spacing w:before="40" w:after="55"/>
      </w:pPr>
      <w:r>
        <w:rPr>
          <w:rFonts w:ascii="Arial" w:cs="Arial" w:eastAsia="Arial" w:hAnsi="Arial"/>
          <w:color w:val="1C2331"/>
          <w:sz w:val="22"/>
          <w:szCs w:val="22"/>
        </w:rPr>
        <w:t xml:space="preserve">Intelligence profile compatibility (25% weight): How well the mentor's documented teaching style maps to the candidate's dominant intelligence types — Linguistic-dominant candidates matched with mentors who excel in discussion-based guidance; Spatial-dominant candidates matched with project-oriented mentors</w:t>
      </w:r>
    </w:p>
    <w:p>
      <w:pPr>
        <w:pStyle w:val="ListParagraph"/>
        <w:numPr>
          <w:ilvl w:val="0"/>
          <w:numId w:val="2"/>
        </w:numPr>
        <w:spacing w:before="40" w:after="55"/>
      </w:pPr>
      <w:r>
        <w:rPr>
          <w:rFonts w:ascii="Arial" w:cs="Arial" w:eastAsia="Arial" w:hAnsi="Arial"/>
          <w:color w:val="1C2331"/>
          <w:sz w:val="22"/>
          <w:szCs w:val="22"/>
        </w:rPr>
        <w:t xml:space="preserve">Career direction alignment (20% weight): Mentor's career history and professional track record in the candidate's target career direction</w:t>
      </w:r>
    </w:p>
    <w:p>
      <w:pPr>
        <w:pStyle w:val="ListParagraph"/>
        <w:numPr>
          <w:ilvl w:val="0"/>
          <w:numId w:val="2"/>
        </w:numPr>
        <w:spacing w:before="40" w:after="55"/>
      </w:pPr>
      <w:r>
        <w:rPr>
          <w:rFonts w:ascii="Arial" w:cs="Arial" w:eastAsia="Arial" w:hAnsi="Arial"/>
          <w:color w:val="1C2331"/>
          <w:sz w:val="22"/>
          <w:szCs w:val="22"/>
        </w:rPr>
        <w:t xml:space="preserve">Reputation score (15% weight): Mentor's weighted reputation score computed from: session completion rate, average candidate rating, calibration score consistency, and bias index (mentors with high bias index are penalized)</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Bias Detection in Mentor Matching</w:t>
      </w:r>
    </w:p>
    <w:p>
      <w:pPr>
        <w:spacing w:before="60" w:after="80"/>
      </w:pPr>
      <w:r>
        <w:rPr>
          <w:rFonts w:ascii="Arial" w:cs="Arial" w:eastAsia="Arial" w:hAnsi="Arial"/>
          <w:color w:val="1C2331"/>
          <w:sz w:val="22"/>
          <w:szCs w:val="22"/>
        </w:rPr>
        <w:t xml:space="preserve">The MMA continuously computes a Mentor Bias Index — a statistical measure of whether a mentor's scoring patterns show systematic bias toward or against specific demographic groups. Mentors with high bias index scores receive reduced weighting in the matching algorithm and are flagged for recalibration. This ensures that mentor recommendations do not perpetuate existing inequalities in career access.</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10.3 Mentor Recommendation Card — What the Candidate Sees</w:t>
      </w:r>
    </w:p>
    <w:p>
      <w:pPr>
        <w:pStyle w:val="ListParagraph"/>
        <w:numPr>
          <w:ilvl w:val="0"/>
          <w:numId w:val="2"/>
        </w:numPr>
        <w:spacing w:before="40" w:after="55"/>
      </w:pPr>
      <w:r>
        <w:rPr>
          <w:rFonts w:ascii="Arial" w:cs="Arial" w:eastAsia="Arial" w:hAnsi="Arial"/>
          <w:color w:val="1C2331"/>
          <w:sz w:val="22"/>
          <w:szCs w:val="22"/>
        </w:rPr>
        <w:t xml:space="preserve">Mentor Name, Photo, and Verified Badge: Clearly marked as a platform-certified mentor with their domain certifications listed</w:t>
      </w:r>
    </w:p>
    <w:p>
      <w:pPr>
        <w:pStyle w:val="ListParagraph"/>
        <w:numPr>
          <w:ilvl w:val="0"/>
          <w:numId w:val="2"/>
        </w:numPr>
        <w:spacing w:before="40" w:after="55"/>
      </w:pPr>
      <w:r>
        <w:rPr>
          <w:rFonts w:ascii="Arial" w:cs="Arial" w:eastAsia="Arial" w:hAnsi="Arial"/>
          <w:color w:val="1C2331"/>
          <w:sz w:val="22"/>
          <w:szCs w:val="22"/>
        </w:rPr>
        <w:t xml:space="preserve">Expertise Summary: A concise, plain-language summary of the mentor's professional background and the specific areas where they are most qualified to guide this candidate</w:t>
      </w:r>
    </w:p>
    <w:p>
      <w:pPr>
        <w:pStyle w:val="ListParagraph"/>
        <w:numPr>
          <w:ilvl w:val="0"/>
          <w:numId w:val="2"/>
        </w:numPr>
        <w:spacing w:before="40" w:after="55"/>
      </w:pPr>
      <w:r>
        <w:rPr>
          <w:rFonts w:ascii="Arial" w:cs="Arial" w:eastAsia="Arial" w:hAnsi="Arial"/>
          <w:color w:val="1C2331"/>
          <w:sz w:val="22"/>
          <w:szCs w:val="22"/>
        </w:rPr>
        <w:t xml:space="preserve">Fit Score: The Mentor Fit Score expressed as a percentage with a 'why this mentor' explanation: 'This mentor scores 88% fit because they have 12 years of experience in Data Science roles at BFSI companies — your top target industry — and their guidance style is documented as project-oriented, which aligns with your Spatial-Kinesthetic intelligence profile'</w:t>
      </w:r>
    </w:p>
    <w:p>
      <w:pPr>
        <w:pStyle w:val="ListParagraph"/>
        <w:numPr>
          <w:ilvl w:val="0"/>
          <w:numId w:val="2"/>
        </w:numPr>
        <w:spacing w:before="40" w:after="55"/>
      </w:pPr>
      <w:r>
        <w:rPr>
          <w:rFonts w:ascii="Arial" w:cs="Arial" w:eastAsia="Arial" w:hAnsi="Arial"/>
          <w:color w:val="1C2331"/>
          <w:sz w:val="22"/>
          <w:szCs w:val="22"/>
        </w:rPr>
        <w:t xml:space="preserve">Availability: Next available session dates and format options (video call, voice call, async text)</w:t>
      </w:r>
    </w:p>
    <w:p>
      <w:pPr>
        <w:pStyle w:val="ListParagraph"/>
        <w:numPr>
          <w:ilvl w:val="0"/>
          <w:numId w:val="2"/>
        </w:numPr>
        <w:spacing w:before="40" w:after="55"/>
      </w:pPr>
      <w:r>
        <w:rPr>
          <w:rFonts w:ascii="Arial" w:cs="Arial" w:eastAsia="Arial" w:hAnsi="Arial"/>
          <w:color w:val="1C2331"/>
          <w:sz w:val="22"/>
          <w:szCs w:val="22"/>
        </w:rPr>
        <w:t xml:space="preserve">Request Session Button: One-click session request that enters the mentor queue — the MMA enforces the capacity lock, so candidates cannot double-book a mentor who is at capacity</w:t>
      </w:r>
    </w:p>
    <w:p>
      <w:pPr>
        <w:pStyle w:val="ListParagraph"/>
        <w:numPr>
          <w:ilvl w:val="0"/>
          <w:numId w:val="2"/>
        </w:numPr>
        <w:spacing w:before="40" w:after="55"/>
      </w:pPr>
      <w:r>
        <w:rPr>
          <w:rFonts w:ascii="Arial" w:cs="Arial" w:eastAsia="Arial" w:hAnsi="Arial"/>
          <w:color w:val="1C2331"/>
          <w:sz w:val="22"/>
          <w:szCs w:val="22"/>
        </w:rPr>
        <w:t xml:space="preserve">Student Reviews: Aggregated ratings from previous mentees — anonymized, not attributable to specific individuals</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10.4 Mentor Safety Guardrails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2E" w:sz="1"/>
              <w:left w:val="single" w:color="7A1A2E" w:sz="20"/>
              <w:bottom w:val="single" w:color="7A1A2E" w:sz="1"/>
              <w:right w:val="single" w:color="7A1A2E" w:sz="1"/>
            </w:tcBorders>
            <w:shd w:fill="F5D8DF" w:val="clear"/>
            <w:tcMar>
              <w:top w:type="dxa" w:w="120"/>
              <w:left w:type="dxa" w:w="220"/>
              <w:bottom w:type="dxa" w:w="120"/>
              <w:right w:type="dxa" w:w="200"/>
            </w:tcMar>
          </w:tcPr>
          <w:p>
            <w:pPr>
              <w:spacing w:before="0" w:after="60"/>
            </w:pPr>
            <w:r>
              <w:rPr>
                <w:rFonts w:ascii="Arial" w:cs="Arial" w:eastAsia="Arial" w:hAnsi="Arial"/>
                <w:b/>
                <w:bCs/>
                <w:color w:val="7A1A2E"/>
                <w:sz w:val="24"/>
                <w:szCs w:val="24"/>
              </w:rPr>
              <w:t xml:space="preserve">Mentor Safety Rules — Absolute Enforcement</w:t>
            </w:r>
          </w:p>
          <w:p>
            <w:pPr>
              <w:pStyle w:val="ListParagraph"/>
              <w:numPr>
                <w:ilvl w:val="0"/>
                <w:numId w:val="2"/>
              </w:numPr>
              <w:spacing w:before="30" w:after="40"/>
            </w:pPr>
            <w:r>
              <w:rPr>
                <w:rFonts w:ascii="Arial" w:cs="Arial" w:eastAsia="Arial" w:hAnsi="Arial"/>
                <w:color w:val="1C2331"/>
                <w:sz w:val="21"/>
                <w:szCs w:val="21"/>
              </w:rPr>
              <w:t xml:space="preserve">No self-evaluation: Mentors cannot score their own mentees in formal assessment contexts</w:t>
            </w:r>
          </w:p>
          <w:p>
            <w:pPr>
              <w:pStyle w:val="ListParagraph"/>
              <w:numPr>
                <w:ilvl w:val="0"/>
                <w:numId w:val="2"/>
              </w:numPr>
              <w:spacing w:before="30" w:after="40"/>
            </w:pPr>
            <w:r>
              <w:rPr>
                <w:rFonts w:ascii="Arial" w:cs="Arial" w:eastAsia="Arial" w:hAnsi="Arial"/>
                <w:color w:val="1C2331"/>
                <w:sz w:val="21"/>
                <w:szCs w:val="21"/>
              </w:rPr>
              <w:t xml:space="preserve">No direct DMs to minor students: All communication with students under 18 goes through the platform's monitored messaging layer (AUTHZ-J enforcement)</w:t>
            </w:r>
          </w:p>
          <w:p>
            <w:pPr>
              <w:pStyle w:val="ListParagraph"/>
              <w:numPr>
                <w:ilvl w:val="0"/>
                <w:numId w:val="2"/>
              </w:numPr>
              <w:spacing w:before="30" w:after="40"/>
            </w:pPr>
            <w:r>
              <w:rPr>
                <w:rFonts w:ascii="Arial" w:cs="Arial" w:eastAsia="Arial" w:hAnsi="Arial"/>
                <w:color w:val="1C2331"/>
                <w:sz w:val="21"/>
                <w:szCs w:val="21"/>
              </w:rPr>
              <w:t xml:space="preserve">No anonymous sessions: All mentor-supervised sessions require verified identity for both parties</w:t>
            </w:r>
          </w:p>
          <w:p>
            <w:pPr>
              <w:pStyle w:val="ListParagraph"/>
              <w:numPr>
                <w:ilvl w:val="0"/>
                <w:numId w:val="2"/>
              </w:numPr>
              <w:spacing w:before="30" w:after="40"/>
            </w:pPr>
            <w:r>
              <w:rPr>
                <w:rFonts w:ascii="Arial" w:cs="Arial" w:eastAsia="Arial" w:hAnsi="Arial"/>
                <w:color w:val="1C2331"/>
                <w:sz w:val="21"/>
                <w:szCs w:val="21"/>
              </w:rPr>
              <w:t xml:space="preserve">No off-platform contact sharing: Mentors cannot share personal contact details with students through the platform's messaging system</w:t>
            </w:r>
          </w:p>
          <w:p>
            <w:pPr>
              <w:pStyle w:val="ListParagraph"/>
              <w:numPr>
                <w:ilvl w:val="0"/>
                <w:numId w:val="2"/>
              </w:numPr>
              <w:spacing w:before="30" w:after="40"/>
            </w:pPr>
            <w:r>
              <w:rPr>
                <w:rFonts w:ascii="Arial" w:cs="Arial" w:eastAsia="Arial" w:hAnsi="Arial"/>
                <w:color w:val="1C2331"/>
                <w:sz w:val="21"/>
                <w:szCs w:val="21"/>
              </w:rPr>
              <w:t xml:space="preserve">No unilateral score overrides: Any adjustment to an assessed score requires dual-approval from two Tier-2+ mentors with a mandatory reason documentation</w:t>
            </w:r>
          </w:p>
          <w:p>
            <w:pPr>
              <w:pStyle w:val="ListParagraph"/>
              <w:numPr>
                <w:ilvl w:val="0"/>
                <w:numId w:val="2"/>
              </w:numPr>
              <w:spacing w:before="30" w:after="40"/>
            </w:pPr>
            <w:r>
              <w:rPr>
                <w:rFonts w:ascii="Arial" w:cs="Arial" w:eastAsia="Arial" w:hAnsi="Arial"/>
                <w:color w:val="1C2331"/>
                <w:sz w:val="21"/>
                <w:szCs w:val="21"/>
              </w:rPr>
              <w:t xml:space="preserve">No cross-domain authority: A mentor certified in Technology cannot supervise or override assessments in Arts or Commerce domains</w:t>
            </w:r>
          </w:p>
        </w:tc>
      </w:tr>
    </w:tbl>
    <w:p>
      <w:pPr>
        <w:spacing w:before="160" w:after="0"/>
      </w:pPr>
      <w:r>
        <w:rPr>
          <w:rFonts w:ascii="Arial" w:cs="Arial" w:eastAsia="Arial" w:hAnsi="Arial"/>
          <w:color w:val="1C2331"/>
          <w:sz w:val="22"/>
          <w:szCs w:val="22"/>
        </w:rPr>
        <w:t xml:space="preserve"/>
      </w:r>
    </w:p>
    <w:p>
      <w:r>
        <w:br w:type="page"/>
      </w:r>
    </w:p>
    <w:p>
      <w:pPr>
        <w:pStyle w:val="Heading1"/>
        <w:pBdr>
          <w:bottom w:val="single" w:color="0D2B55" w:sz="10" w:space="4"/>
        </w:pBdr>
        <w:spacing w:before="400" w:after="200"/>
      </w:pPr>
      <w:r>
        <w:rPr>
          <w:rFonts w:ascii="Arial" w:cs="Arial" w:eastAsia="Arial" w:hAnsi="Arial"/>
          <w:b/>
          <w:bCs/>
          <w:color w:val="0D2B55"/>
          <w:sz w:val="40"/>
          <w:szCs w:val="40"/>
        </w:rPr>
        <w:t xml:space="preserve">System Integration — How Intelligence Discovery Connects to the Platform</w:t>
      </w:r>
    </w:p>
    <w:p>
      <w:pPr>
        <w:spacing w:before="60" w:after="80"/>
      </w:pPr>
      <w:r>
        <w:rPr>
          <w:rFonts w:ascii="Arial" w:cs="Arial" w:eastAsia="Arial" w:hAnsi="Arial"/>
          <w:color w:val="1C2331"/>
          <w:sz w:val="22"/>
          <w:szCs w:val="22"/>
        </w:rPr>
        <w:t xml:space="preserve">Intelligence Discovery is not an isolated onboarding exercise. Its outputs are living signals that power every AI system on the platform and are continuously refreshed as the candidate accumulates more behavioral evidence.</w:t>
      </w:r>
    </w:p>
    <w:p>
      <w:pPr>
        <w:spacing w:before="80" w:after="0"/>
      </w:pPr>
      <w:r>
        <w:rPr>
          <w:rFonts w:ascii="Arial" w:cs="Arial" w:eastAsia="Arial" w:hAnsi="Arial"/>
          <w:color w:val="1C23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Intelligence Discovery Output</w:t>
            </w:r>
          </w:p>
        </w:tc>
        <w:tc>
          <w:tcPr>
            <w:tcW w:type="dxa" w:w="22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Consumed By</w:t>
            </w:r>
          </w:p>
        </w:tc>
        <w:tc>
          <w:tcPr>
            <w:tcW w:type="dxa" w:w="476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 on Downstream System</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Intelligence DNA Vector</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ASRA (Signal SIG-01, W1=22%)</w:t>
            </w:r>
          </w:p>
        </w:tc>
        <w:tc>
          <w:tcPr>
            <w:tcW w:type="dxa" w:w="4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Highest-weight input in all skill recommendations — dominant intelligence types drive which skills are recommended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Intelligence DNA Vector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ALPA (Signal PSIG-02)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Determines learning modality weights — restructures the entire learning path DAG based on intelligence type</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Personality Profile</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Mentor Matching Agent</w:t>
            </w:r>
          </w:p>
        </w:tc>
        <w:tc>
          <w:tcPr>
            <w:tcW w:type="dxa" w:w="4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Guides mentor type selection and teaching style compatibility — Interpersonal dominant matched with discussion-oriented mentors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RIASEC Career Profile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Career Roadmap Engine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Anchors career direction selection — top RIASEC types define which career direction options are shown in the roadmap</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Skill Discovery Vector Seed</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Skill Vector (starting point)</w:t>
            </w:r>
          </w:p>
        </w:tc>
        <w:tc>
          <w:tcPr>
            <w:tcW w:type="dxa" w:w="4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All subsequent assessments build on the SEC Agent's initial classification — establishes the baseline for all gap analysis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Career Aspirations Constraints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Job Matching Engine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Geographic preferences and career timeline affect urgency weighting and recruiter matching radius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Strength-Weakness Analysis</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AI Feedback System</w:t>
            </w:r>
          </w:p>
        </w:tc>
        <w:tc>
          <w:tcPr>
            <w:tcW w:type="dxa" w:w="4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Coaching feedback references strength and weakness profile — celebrates strength demonstrations and targets known development areas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Intelligence Report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DigiLocker / External Sharing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Pushed to DigiLocker within 24 hours; shareable with mentors, parents, and career advisors via public report link</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Learning Path (ALPA output)</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Student Dashboard</w:t>
            </w:r>
          </w:p>
        </w:tc>
        <w:tc>
          <w:tcPr>
            <w:tcW w:type="dxa" w:w="4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Rendered as the primary guidance widget on the candidate's home screen — always showing the next 3 recommended actions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Mentor Recommendations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Mentor Session Booking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Direct integration with mentor capacity system — session requests go live immediately, capacity enforced automatically</w:t>
            </w:r>
          </w:p>
        </w:tc>
      </w:tr>
    </w:tbl>
    <w:p>
      <w:pPr>
        <w:spacing w:before="160" w:after="0"/>
      </w:pPr>
      <w:r>
        <w:rPr>
          <w:rFonts w:ascii="Arial" w:cs="Arial" w:eastAsia="Arial" w:hAnsi="Arial"/>
          <w:color w:val="1C2331"/>
          <w:sz w:val="22"/>
          <w:szCs w:val="22"/>
        </w:rPr>
        <w:t xml:space="preserve"/>
      </w:r>
    </w:p>
    <w:p>
      <w:r>
        <w:br w:type="page"/>
      </w:r>
    </w:p>
    <w:p>
      <w:pPr>
        <w:pStyle w:val="Heading1"/>
        <w:pBdr>
          <w:bottom w:val="single" w:color="0D2B55" w:sz="10" w:space="4"/>
        </w:pBdr>
        <w:spacing w:before="400" w:after="200"/>
      </w:pPr>
      <w:r>
        <w:rPr>
          <w:rFonts w:ascii="Arial" w:cs="Arial" w:eastAsia="Arial" w:hAnsi="Arial"/>
          <w:b/>
          <w:bCs/>
          <w:color w:val="0D2B55"/>
          <w:sz w:val="40"/>
          <w:szCs w:val="40"/>
        </w:rPr>
        <w:t xml:space="preserve">Governance, Privacy &amp; Candidate Rights</w:t>
      </w:r>
    </w:p>
    <w:p>
      <w:pPr>
        <w:spacing w:before="60" w:after="80"/>
      </w:pPr>
      <w:r>
        <w:rPr>
          <w:rFonts w:ascii="Arial" w:cs="Arial" w:eastAsia="Arial" w:hAnsi="Arial"/>
          <w:color w:val="1C2331"/>
          <w:sz w:val="22"/>
          <w:szCs w:val="22"/>
        </w:rPr>
        <w:t xml:space="preserve">The Intelligence Discovery module handles the most sensitive personal data on the EcoSkiller platform — psychometric profiles, personality assessments, and career aspirations. The platform applies its highest data governance standards to this module.</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Data Sovereignty &amp; Candidate Control</w:t>
      </w:r>
    </w:p>
    <w:p>
      <w:pPr>
        <w:pStyle w:val="ListParagraph"/>
        <w:numPr>
          <w:ilvl w:val="0"/>
          <w:numId w:val="2"/>
        </w:numPr>
        <w:spacing w:before="40" w:after="55"/>
      </w:pPr>
      <w:r>
        <w:rPr>
          <w:rFonts w:ascii="Arial" w:cs="Arial" w:eastAsia="Arial" w:hAnsi="Arial"/>
          <w:color w:val="1C2331"/>
          <w:sz w:val="22"/>
          <w:szCs w:val="22"/>
        </w:rPr>
        <w:t xml:space="preserve">Candidate ownership: Intelligence Discovery data is owned by the candidate, not the institution. The institution can see aggregated cohort analytics but cannot access individual psychometric data without candidate consent</w:t>
      </w:r>
    </w:p>
    <w:p>
      <w:pPr>
        <w:pStyle w:val="ListParagraph"/>
        <w:numPr>
          <w:ilvl w:val="0"/>
          <w:numId w:val="2"/>
        </w:numPr>
        <w:spacing w:before="40" w:after="55"/>
      </w:pPr>
      <w:r>
        <w:rPr>
          <w:rFonts w:ascii="Arial" w:cs="Arial" w:eastAsia="Arial" w:hAnsi="Arial"/>
          <w:color w:val="1C2331"/>
          <w:sz w:val="22"/>
          <w:szCs w:val="22"/>
        </w:rPr>
        <w:t xml:space="preserve">Consent required for sharing: The Intelligence Report and any section of it cannot be shared with recruiters or external parties without explicit candidate consent — granted per report section, not as a blanket approval</w:t>
      </w:r>
    </w:p>
    <w:p>
      <w:pPr>
        <w:pStyle w:val="ListParagraph"/>
        <w:numPr>
          <w:ilvl w:val="0"/>
          <w:numId w:val="2"/>
        </w:numPr>
        <w:spacing w:before="40" w:after="55"/>
      </w:pPr>
      <w:r>
        <w:rPr>
          <w:rFonts w:ascii="Arial" w:cs="Arial" w:eastAsia="Arial" w:hAnsi="Arial"/>
          <w:color w:val="1C2331"/>
          <w:sz w:val="22"/>
          <w:szCs w:val="22"/>
        </w:rPr>
        <w:t xml:space="preserve">Right to reassessment: Candidates can request reassessment of any Intelligence Discovery component after 90 days. The previous assessment is archived but remains accessible</w:t>
      </w:r>
    </w:p>
    <w:p>
      <w:pPr>
        <w:pStyle w:val="ListParagraph"/>
        <w:numPr>
          <w:ilvl w:val="0"/>
          <w:numId w:val="2"/>
        </w:numPr>
        <w:spacing w:before="40" w:after="55"/>
      </w:pPr>
      <w:r>
        <w:rPr>
          <w:rFonts w:ascii="Arial" w:cs="Arial" w:eastAsia="Arial" w:hAnsi="Arial"/>
          <w:color w:val="1C2331"/>
          <w:sz w:val="22"/>
          <w:szCs w:val="22"/>
        </w:rPr>
        <w:t xml:space="preserve">Right to deletion: Candidates can request deletion of Intelligence Discovery data. This removes the data from active use but retains a minimal audit record per GDPR/DPDP requirements</w:t>
      </w:r>
    </w:p>
    <w:p>
      <w:pPr>
        <w:pStyle w:val="ListParagraph"/>
        <w:numPr>
          <w:ilvl w:val="0"/>
          <w:numId w:val="2"/>
        </w:numPr>
        <w:spacing w:before="40" w:after="55"/>
      </w:pPr>
      <w:r>
        <w:rPr>
          <w:rFonts w:ascii="Arial" w:cs="Arial" w:eastAsia="Arial" w:hAnsi="Arial"/>
          <w:color w:val="1C2331"/>
          <w:sz w:val="22"/>
          <w:szCs w:val="22"/>
        </w:rPr>
        <w:t xml:space="preserve">Parent access for minors: Parents of candidates under 18 receive a summarized, developmentally appropriate version of the Intelligence Report. The full psychometric data is not accessible to parents without candidate consent</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Assessment Integrity Controls</w:t>
      </w:r>
    </w:p>
    <w:p>
      <w:pPr>
        <w:pStyle w:val="ListParagraph"/>
        <w:numPr>
          <w:ilvl w:val="0"/>
          <w:numId w:val="2"/>
        </w:numPr>
        <w:spacing w:before="40" w:after="55"/>
      </w:pPr>
      <w:r>
        <w:rPr>
          <w:rFonts w:ascii="Arial" w:cs="Arial" w:eastAsia="Arial" w:hAnsi="Arial"/>
          <w:color w:val="1C2331"/>
          <w:sz w:val="22"/>
          <w:szCs w:val="22"/>
        </w:rPr>
        <w:t xml:space="preserve">Assessment environment: Each assessment session requires a verified session token — preventing reuse, sharing, or completion by proxy</w:t>
      </w:r>
    </w:p>
    <w:p>
      <w:pPr>
        <w:pStyle w:val="ListParagraph"/>
        <w:numPr>
          <w:ilvl w:val="0"/>
          <w:numId w:val="2"/>
        </w:numPr>
        <w:spacing w:before="40" w:after="55"/>
      </w:pPr>
      <w:r>
        <w:rPr>
          <w:rFonts w:ascii="Arial" w:cs="Arial" w:eastAsia="Arial" w:hAnsi="Arial"/>
          <w:color w:val="1C2331"/>
          <w:sz w:val="22"/>
          <w:szCs w:val="22"/>
        </w:rPr>
        <w:t xml:space="preserve">Validity scale protection: Embedded validity items in each assessment detect and flag random responding, social desirability inflation, and pattern gaming</w:t>
      </w:r>
    </w:p>
    <w:p>
      <w:pPr>
        <w:pStyle w:val="ListParagraph"/>
        <w:numPr>
          <w:ilvl w:val="0"/>
          <w:numId w:val="2"/>
        </w:numPr>
        <w:spacing w:before="40" w:after="55"/>
      </w:pPr>
      <w:r>
        <w:rPr>
          <w:rFonts w:ascii="Arial" w:cs="Arial" w:eastAsia="Arial" w:hAnsi="Arial"/>
          <w:color w:val="1C2331"/>
          <w:sz w:val="22"/>
          <w:szCs w:val="22"/>
        </w:rPr>
        <w:t xml:space="preserve">Minimum engagement requirement: The system detects and flags assessments completed in implausibly short times (e.g., 40-item scenario battery completed in under 4 minutes)</w:t>
      </w:r>
    </w:p>
    <w:p>
      <w:pPr>
        <w:pStyle w:val="ListParagraph"/>
        <w:numPr>
          <w:ilvl w:val="0"/>
          <w:numId w:val="2"/>
        </w:numPr>
        <w:spacing w:before="40" w:after="55"/>
      </w:pPr>
      <w:r>
        <w:rPr>
          <w:rFonts w:ascii="Arial" w:cs="Arial" w:eastAsia="Arial" w:hAnsi="Arial"/>
          <w:color w:val="1C2331"/>
          <w:sz w:val="22"/>
          <w:szCs w:val="22"/>
        </w:rPr>
        <w:t xml:space="preserve">Reassessment window: 90-day minimum between reassessments prevents gaming through repeated attempts. The system accepts the more recent score but flags large score discrepancies for review</w:t>
      </w:r>
    </w:p>
    <w:p>
      <w:pPr>
        <w:pStyle w:val="ListParagraph"/>
        <w:numPr>
          <w:ilvl w:val="0"/>
          <w:numId w:val="2"/>
        </w:numPr>
        <w:spacing w:before="40" w:after="55"/>
      </w:pPr>
      <w:r>
        <w:rPr>
          <w:rFonts w:ascii="Arial" w:cs="Arial" w:eastAsia="Arial" w:hAnsi="Arial"/>
          <w:color w:val="1C2331"/>
          <w:sz w:val="22"/>
          <w:szCs w:val="22"/>
        </w:rPr>
        <w:t xml:space="preserve">Immutable assessment record: Once an assessment session is completed and scored, the results are immutable. The raw responses and computed scores are stored with hash signatures</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AI Explainability Mandate</w:t>
      </w:r>
    </w:p>
    <w:p>
      <w:pPr>
        <w:pStyle w:val="ListParagraph"/>
        <w:numPr>
          <w:ilvl w:val="0"/>
          <w:numId w:val="2"/>
        </w:numPr>
        <w:spacing w:before="40" w:after="55"/>
      </w:pPr>
      <w:r>
        <w:rPr>
          <w:rFonts w:ascii="Arial" w:cs="Arial" w:eastAsia="Arial" w:hAnsi="Arial"/>
          <w:color w:val="1C2331"/>
          <w:sz w:val="22"/>
          <w:szCs w:val="22"/>
        </w:rPr>
        <w:t xml:space="preserve">Every career recommendation is explained: The SGS component breakdown is always visible to the candidate — they can see exactly why each career direction was recommended</w:t>
      </w:r>
    </w:p>
    <w:p>
      <w:pPr>
        <w:pStyle w:val="ListParagraph"/>
        <w:numPr>
          <w:ilvl w:val="0"/>
          <w:numId w:val="2"/>
        </w:numPr>
        <w:spacing w:before="40" w:after="55"/>
      </w:pPr>
      <w:r>
        <w:rPr>
          <w:rFonts w:ascii="Arial" w:cs="Arial" w:eastAsia="Arial" w:hAnsi="Arial"/>
          <w:color w:val="1C2331"/>
          <w:sz w:val="22"/>
          <w:szCs w:val="22"/>
        </w:rPr>
        <w:t xml:space="preserve">Every learning path node is explained: Candidates can tap any path node to see why it was included, what skill it addresses, and what evidence triggered its inclusion</w:t>
      </w:r>
    </w:p>
    <w:p>
      <w:pPr>
        <w:pStyle w:val="ListParagraph"/>
        <w:numPr>
          <w:ilvl w:val="0"/>
          <w:numId w:val="2"/>
        </w:numPr>
        <w:spacing w:before="40" w:after="55"/>
      </w:pPr>
      <w:r>
        <w:rPr>
          <w:rFonts w:ascii="Arial" w:cs="Arial" w:eastAsia="Arial" w:hAnsi="Arial"/>
          <w:color w:val="1C2331"/>
          <w:sz w:val="22"/>
          <w:szCs w:val="22"/>
        </w:rPr>
        <w:t xml:space="preserve">Every mentor recommendation is explained: The Mentor Fit Score breakdown shows domain alignment, intelligence compatibility, career alignment, and reputation contributions</w:t>
      </w:r>
    </w:p>
    <w:p>
      <w:pPr>
        <w:pStyle w:val="ListParagraph"/>
        <w:numPr>
          <w:ilvl w:val="0"/>
          <w:numId w:val="2"/>
        </w:numPr>
        <w:spacing w:before="40" w:after="55"/>
      </w:pPr>
      <w:r>
        <w:rPr>
          <w:rFonts w:ascii="Arial" w:cs="Arial" w:eastAsia="Arial" w:hAnsi="Arial"/>
          <w:color w:val="1C2331"/>
          <w:sz w:val="22"/>
          <w:szCs w:val="22"/>
        </w:rPr>
        <w:t xml:space="preserve">Bias transparency: If any AI recommendation was influenced by demographic factors (not permitted), the bias detection system flags it and the recommendation is held for human review</w:t>
      </w:r>
    </w:p>
    <w:p>
      <w:pPr>
        <w:pStyle w:val="ListParagraph"/>
        <w:numPr>
          <w:ilvl w:val="0"/>
          <w:numId w:val="2"/>
        </w:numPr>
        <w:spacing w:before="40" w:after="55"/>
      </w:pPr>
      <w:r>
        <w:rPr>
          <w:rFonts w:ascii="Arial" w:cs="Arial" w:eastAsia="Arial" w:hAnsi="Arial"/>
          <w:color w:val="1C2331"/>
          <w:sz w:val="22"/>
          <w:szCs w:val="22"/>
        </w:rPr>
        <w:t xml:space="preserve">No hallucination tolerance: All skill nodes, mentor profiles, course references, and career categories in AI outputs must exist in the live platform registry. The platform cannot recommend resources that do not exist</w:t>
      </w:r>
    </w:p>
    <w:p>
      <w:pPr>
        <w:spacing w:before="160" w:after="0"/>
      </w:pPr>
      <w:r>
        <w:rPr>
          <w:rFonts w:ascii="Arial" w:cs="Arial" w:eastAsia="Arial" w:hAnsi="Arial"/>
          <w:color w:val="1C2331"/>
          <w:sz w:val="22"/>
          <w:szCs w:val="22"/>
        </w:rPr>
        <w:t xml:space="preserve"/>
      </w:r>
    </w:p>
    <w:p>
      <w:r>
        <w:br w:type="page"/>
      </w:r>
    </w:p>
    <w:p>
      <w:pPr>
        <w:pStyle w:val="Heading1"/>
        <w:pBdr>
          <w:bottom w:val="single" w:color="0D2B55" w:sz="10" w:space="4"/>
        </w:pBdr>
        <w:spacing w:before="400" w:after="200"/>
      </w:pPr>
      <w:r>
        <w:rPr>
          <w:rFonts w:ascii="Arial" w:cs="Arial" w:eastAsia="Arial" w:hAnsi="Arial"/>
          <w:b/>
          <w:bCs/>
          <w:color w:val="0D2B55"/>
          <w:sz w:val="40"/>
          <w:szCs w:val="40"/>
        </w:rPr>
        <w:t xml:space="preserve">Module 11 — Feature Summary Reference</w:t>
      </w:r>
    </w:p>
    <w:p>
      <w:pPr>
        <w:spacing w:before="60" w:after="0"/>
      </w:pPr>
      <w:r>
        <w:rPr>
          <w:rFonts w:ascii="Arial" w:cs="Arial" w:eastAsia="Arial" w:hAnsi="Arial"/>
          <w:color w:val="1C23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rPr>
          <w:tblHeader/>
        </w:trPr>
        <w:tc>
          <w:tcPr>
            <w:tcW w:type="dxa" w:w="5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666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In-Depth Summary</w:t>
            </w:r>
          </w:p>
        </w:tc>
      </w:tr>
      <w:tr>
        <w:tc>
          <w:tcPr>
            <w:tcW w:type="dxa" w:w="5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01</w:t>
            </w:r>
          </w:p>
        </w:tc>
        <w:tc>
          <w:tcPr>
            <w:tcW w:type="dxa" w:w="22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Intelligence Assessment Tests</w:t>
            </w:r>
          </w:p>
        </w:tc>
        <w:tc>
          <w:tcPr>
            <w:tcW w:type="dxa" w:w="666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Howard Gardner 8-type intelligence evaluation via 3 modules (scenario battery, cognitive tasks, preference inventory). Produces Intelligence DNA Vector — the highest-weight input (22%) in all AI recommendation engines. Directly drives learning path node type weighting matrix.</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Personality Analysis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60-item Behavioral Situational Inventory measuring 5 professional traits. Anti-faking validity scales embedded. 32 named archetypes. Produces workplace preferences, communication style guide, stress triggers, and behavioral risk map. Feeds mentor style matching.</w:t>
            </w:r>
          </w:p>
        </w:tc>
      </w:tr>
      <w:tr>
        <w:tc>
          <w:tcPr>
            <w:tcW w:type="dxa" w:w="5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03</w:t>
            </w:r>
          </w:p>
        </w:tc>
        <w:tc>
          <w:tcPr>
            <w:tcW w:type="dxa" w:w="22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Career Aptitude Test</w:t>
            </w:r>
          </w:p>
        </w:tc>
        <w:tc>
          <w:tcPr>
            <w:tcW w:type="dxa" w:w="666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3-stage RIASEC assessment: Interest Inventory (36 items) + Aptitude Confidence Assessment (24 items) + Domain Aptitude Modules. Produces RIASEC hexagon, Career Aptitude Index per type, top 20 career match list, and domain direction recommendation.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Skill Discovery Questionnaire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5-section structured intake (Academic / Extracurricular / Work &amp; Projects / Learning Style / Career Aspirations). SEC Agent processes responses to build initial Skill Vector seed with confidence scores. Falsification detection active.</w:t>
            </w:r>
          </w:p>
        </w:tc>
      </w:tr>
      <w:tr>
        <w:tc>
          <w:tcPr>
            <w:tcW w:type="dxa" w:w="5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05</w:t>
            </w:r>
          </w:p>
        </w:tc>
        <w:tc>
          <w:tcPr>
            <w:tcW w:type="dxa" w:w="22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AI Career Recommendations</w:t>
            </w:r>
          </w:p>
        </w:tc>
        <w:tc>
          <w:tcPr>
            <w:tcW w:type="dxa" w:w="666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ASRA Skill Gravity Score (8 signals, W1–W8) computes career direction fit. 5 priority tiers (CRITICAL/HIGH/MEDIUM/LOW/SUPPRESSED). Every recommendation includes fit score, gap map, time-to-readiness, salary benchmark, next action, and evidence trail. 24hr demand refresh.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Strength &amp; Weakness Analysis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4-dimension strength classification (Cognitive/Behavioral/Skill/Interest) × 3-type weakness classification (Performance Gap/Behavioral Risk/Market Alignment). Benchmarked against cohort, career-track, and successfully-placed populations. Four-quadrant summary card.</w:t>
            </w:r>
          </w:p>
        </w:tc>
      </w:tr>
      <w:tr>
        <w:tc>
          <w:tcPr>
            <w:tcW w:type="dxa" w:w="5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07</w:t>
            </w:r>
          </w:p>
        </w:tc>
        <w:tc>
          <w:tcPr>
            <w:tcW w:type="dxa" w:w="22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Learning Path Suggestions</w:t>
            </w:r>
          </w:p>
        </w:tc>
        <w:tc>
          <w:tcPr>
            <w:tcW w:type="dxa" w:w="666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ALPA 10-step DAG construction algorithm. 9 node types. 12 mutation triggers. 15 execution laws. Intelligence modality weighting from Appendix A matrix. Belt gates mandatory. Path confidence minimum 0.60. Adaptive mutation on all verified behavioral events.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Personalized Career Roadmap</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4 planning horizons (Sprint/Quarterly/Semi-Annual/Annual). Real-time velocity computation. 3 pathway options (Primary/Accelerated/Alternative). Milestone gate system. Burnout prevention design with 110% capacity cap and mandatory recovery periods.</w:t>
            </w:r>
          </w:p>
        </w:tc>
      </w:tr>
      <w:tr>
        <w:tc>
          <w:tcPr>
            <w:tcW w:type="dxa" w:w="5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09</w:t>
            </w:r>
          </w:p>
        </w:tc>
        <w:tc>
          <w:tcPr>
            <w:tcW w:type="dxa" w:w="220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Intelligence Report Generation</w:t>
            </w:r>
          </w:p>
        </w:tc>
        <w:tc>
          <w:tcPr>
            <w:tcW w:type="dxa" w:w="6660"/>
            <w:tcBorders>
              <w:top w:val="single" w:color="CCCCCC" w:sz="1"/>
              <w:left w:val="single" w:color="CCCCCC" w:sz="1"/>
              <w:bottom w:val="single" w:color="CCCCCC" w:sz="1"/>
              <w:right w:val="single" w:color="CCCCCC" w:sz="1"/>
            </w:tcBorders>
            <w:shd w:fill="DDE0F7"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10-section comprehensive PDF. Unique Report ID verifiable at public portal. DigiLocker push within 24 hours. Privacy-controlled shareable export. Mentor-access version with additional technical detail. Version history archived. Cryptographically signed.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Mentor Recommendations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C2331"/>
                <w:sz w:val="20"/>
                <w:szCs w:val="20"/>
              </w:rPr>
              <w:t xml:space="preserve">MMA deterministic matching via 6-criteria eligibility gate + 4-factor Mentor Fit Score. 7 mentor types. Intelligence profile compatibility weighting. Bias Index computation and monitoring. 6 absolute safety guardrails enforced at system level. Session request with capacity lock.</w:t>
            </w:r>
          </w:p>
        </w:tc>
      </w:tr>
    </w:tbl>
    <w:p>
      <w:pPr>
        <w:spacing w:before="200" w:after="0"/>
      </w:pPr>
      <w:r>
        <w:rPr>
          <w:rFonts w:ascii="Arial" w:cs="Arial" w:eastAsia="Arial" w:hAnsi="Arial"/>
          <w:color w:val="1C2331"/>
          <w:sz w:val="22"/>
          <w:szCs w:val="22"/>
        </w:rPr>
        <w:t xml:space="preserve"/>
      </w:r>
    </w:p>
    <w:p>
      <w:pPr>
        <w:pBdr>
          <w:bottom w:val="single" w:color="2E3A8C" w:sz="4" w:space="2"/>
        </w:pBdr>
        <w:spacing w:before="80" w:after="80"/>
      </w:pPr>
      <w:r>
        <w:rPr>
          <w:rFonts w:ascii="Arial" w:cs="Arial" w:eastAsia="Arial" w:hAnsi="Arial"/>
          <w:color w:val="1C2331"/>
          <w:sz w:val="22"/>
          <w:szCs w:val="22"/>
        </w:rPr>
        <w:t xml:space="preserve"/>
      </w:r>
    </w:p>
    <w:p>
      <w:pPr>
        <w:spacing w:before="80" w:after="0"/>
      </w:pPr>
      <w:r>
        <w:rPr>
          <w:rFonts w:ascii="Arial" w:cs="Arial" w:eastAsia="Arial" w:hAnsi="Arial"/>
          <w:color w:val="1C2331"/>
          <w:sz w:val="22"/>
          <w:szCs w:val="22"/>
        </w:rPr>
        <w:t xml:space="preserve"/>
      </w:r>
    </w:p>
    <w:p>
      <w:pPr>
        <w:jc w:val="center"/>
      </w:pPr>
      <w:r>
        <w:rPr>
          <w:rFonts w:ascii="Arial" w:cs="Arial" w:eastAsia="Arial" w:hAnsi="Arial"/>
          <w:color w:val="666666"/>
          <w:sz w:val="20"/>
          <w:szCs w:val="20"/>
        </w:rPr>
        <w:t xml:space="preserve">ECOSKILLER  |  Module 11: Intelligence Discovery — Candidate Feature Guide  |  Version 1.0  |  2026</w:t>
      </w:r>
    </w:p>
    <w:p>
      <w:pPr>
        <w:spacing w:before="60" w:after="0"/>
        <w:jc w:val="center"/>
      </w:pPr>
      <w:r>
        <w:rPr>
          <w:rFonts w:ascii="Arial" w:cs="Arial" w:eastAsia="Arial" w:hAnsi="Arial"/>
          <w:i/>
          <w:iCs/>
          <w:color w:val="2E3A8C"/>
          <w:sz w:val="22"/>
          <w:szCs w:val="22"/>
        </w:rPr>
        <w:t xml:space="preserve">Know yourself deeply. Act on evidence. Build the career you were designed for.</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EcoSkiller Platform  |  Module 11: Intelligence Discovery — Candidate Feature Guide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none"/>
        <w:left w:val="none"/>
        <w:bottom w:val="single" w:color="2E3A8C" w:sz="6"/>
        <w:right w:val="none"/>
        <w:insideH w:val="single" w:color="auto" w:sz="4"/>
        <w:insideV w:val="single" w:color="auto" w:sz="4"/>
      </w:tblBorders>
    </w:tblPr>
    <w:tblGrid>
      <w:gridCol w:w="7000"/>
      <w:gridCol w:w="2720"/>
    </w:tblGrid>
    <w:tr>
      <w:tc>
        <w:tcPr>
          <w:tcW w:type="dxa" w:w="7000"/>
          <w:tcBorders>
            <w:top w:val="none"/>
            <w:left w:val="none"/>
            <w:bottom w:val="none"/>
            <w:right w:val="none"/>
          </w:tcBorders>
          <w:shd w:fill="FFFFFF" w:val="clear"/>
          <w:tcMar>
            <w:top w:type="dxa" w:w="60"/>
            <w:left w:type="dxa" w:w="0"/>
            <w:bottom w:type="dxa" w:w="60"/>
            <w:right w:type="dxa" w:w="0"/>
          </w:tcMar>
        </w:tcPr>
        <w:p>
          <w:r>
            <w:rPr>
              <w:rFonts w:ascii="Arial" w:cs="Arial" w:eastAsia="Arial" w:hAnsi="Arial"/>
              <w:b/>
              <w:bCs/>
              <w:color w:val="2E3A8C"/>
              <w:sz w:val="28"/>
              <w:szCs w:val="28"/>
            </w:rPr>
            <w:t xml:space="preserve">ECOSKILLER</w:t>
          </w:r>
          <w:r>
            <w:rPr>
              <w:rFonts w:ascii="Arial" w:cs="Arial" w:eastAsia="Arial" w:hAnsi="Arial"/>
              <w:color w:val="666666"/>
              <w:sz w:val="21"/>
              <w:szCs w:val="21"/>
            </w:rPr>
            <w:t xml:space="preserve">  |  Module 11: Intelligence Discovery System</w:t>
          </w:r>
        </w:p>
      </w:tc>
      <w:tc>
        <w:tcPr>
          <w:tcW w:type="dxa" w:w="2720"/>
          <w:tcBorders>
            <w:top w:val="none"/>
            <w:left w:val="none"/>
            <w:bottom w:val="none"/>
            <w:right w:val="none"/>
          </w:tcBorders>
          <w:shd w:fill="FFFFFF" w:val="clear"/>
          <w:tcMar>
            <w:top w:type="dxa" w:w="60"/>
            <w:left w:type="dxa" w:w="0"/>
            <w:bottom w:type="dxa" w:w="60"/>
            <w:right w:type="dxa" w:w="0"/>
          </w:tcMar>
        </w:tcPr>
        <w:p>
          <w:pPr>
            <w:jc w:val="right"/>
          </w:pPr>
          <w:r>
            <w:rPr>
              <w:rFonts w:ascii="Arial" w:cs="Arial" w:eastAsia="Arial" w:hAnsi="Arial"/>
              <w:color w:val="888888"/>
              <w:sz w:val="18"/>
              <w:szCs w:val="18"/>
            </w:rPr>
            <w:t xml:space="preserve">v1.0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2B55"/>
      <w:sz w:val="40"/>
      <w:szCs w:val="40"/>
    </w:rPr>
  </w:style>
  <w:style w:type="paragraph" w:styleId="Heading2">
    <w:name w:val="Heading 2"/>
    <w:basedOn w:val="Normal"/>
    <w:next w:val="Normal"/>
    <w:qFormat/>
    <w:pPr>
      <w:spacing w:before="300" w:after="120"/>
      <w:outlineLvl w:val="1"/>
    </w:pPr>
    <w:rPr>
      <w:rFonts w:ascii="Arial" w:cs="Arial" w:eastAsia="Arial" w:hAnsi="Arial"/>
      <w:b/>
      <w:bCs/>
      <w:color w:val="0B6E6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2026-03-10T08:03:52.803Z</dcterms:created>
  <dcterms:modified xsi:type="dcterms:W3CDTF">2026-03-10T08:03:52.804Z</dcterms:modified>
</cp:coreProperties>
</file>

<file path=docProps/custom.xml><?xml version="1.0" encoding="utf-8"?>
<Properties xmlns="http://schemas.openxmlformats.org/officeDocument/2006/custom-properties" xmlns:vt="http://schemas.openxmlformats.org/officeDocument/2006/docPropsVTypes"/>
</file>